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66249" cy="4238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49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