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1B4CA" w14:textId="4D4286DE" w:rsidR="00F46C23" w:rsidRDefault="00F46C23">
      <w:pPr>
        <w:rPr>
          <w:b/>
          <w:bCs/>
          <w:sz w:val="36"/>
          <w:szCs w:val="36"/>
        </w:rPr>
      </w:pPr>
      <w:bookmarkStart w:id="0" w:name="_Hlk86319834"/>
      <w:r>
        <w:rPr>
          <w:b/>
          <w:bCs/>
          <w:noProof/>
          <w:sz w:val="36"/>
          <w:szCs w:val="36"/>
        </w:rPr>
        <w:drawing>
          <wp:anchor distT="0" distB="0" distL="114300" distR="114300" simplePos="0" relativeHeight="251658240" behindDoc="0" locked="0" layoutInCell="1" allowOverlap="1" wp14:anchorId="0C3CCF90" wp14:editId="1B68AB47">
            <wp:simplePos x="0" y="0"/>
            <wp:positionH relativeFrom="column">
              <wp:posOffset>-899886</wp:posOffset>
            </wp:positionH>
            <wp:positionV relativeFrom="page">
              <wp:posOffset>14605</wp:posOffset>
            </wp:positionV>
            <wp:extent cx="7527925" cy="10653395"/>
            <wp:effectExtent l="0" t="0" r="3175" b="1905"/>
            <wp:wrapNone/>
            <wp:docPr id="50" name="Picture 50" descr="A picture containing text, cow, mammal, bo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cow, mammal, bov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27925" cy="10653395"/>
                    </a:xfrm>
                    <a:prstGeom prst="rect">
                      <a:avLst/>
                    </a:prstGeom>
                  </pic:spPr>
                </pic:pic>
              </a:graphicData>
            </a:graphic>
            <wp14:sizeRelH relativeFrom="page">
              <wp14:pctWidth>0</wp14:pctWidth>
            </wp14:sizeRelH>
            <wp14:sizeRelV relativeFrom="page">
              <wp14:pctHeight>0</wp14:pctHeight>
            </wp14:sizeRelV>
          </wp:anchor>
        </w:drawing>
      </w:r>
      <w:r>
        <w:rPr>
          <w:b/>
          <w:bCs/>
          <w:sz w:val="36"/>
          <w:szCs w:val="36"/>
        </w:rPr>
        <w:br w:type="page"/>
      </w:r>
    </w:p>
    <w:p w14:paraId="0B9335B6" w14:textId="58189396" w:rsidR="00C178E2" w:rsidRDefault="00C178E2" w:rsidP="00F46C23">
      <w:pPr>
        <w:widowControl w:val="0"/>
        <w:rPr>
          <w:b/>
          <w:bCs/>
          <w:sz w:val="36"/>
          <w:szCs w:val="36"/>
        </w:rPr>
      </w:pPr>
    </w:p>
    <w:bookmarkEnd w:id="0"/>
    <w:p w14:paraId="3D3787F3" w14:textId="25F57FA2" w:rsidR="00E14CD9" w:rsidRDefault="00E14CD9">
      <w:pPr>
        <w:rPr>
          <w:b/>
          <w:bCs/>
        </w:rPr>
      </w:pPr>
    </w:p>
    <w:tbl>
      <w:tblPr>
        <w:tblW w:w="5000" w:type="pct"/>
        <w:jc w:val="center"/>
        <w:tblCellMar>
          <w:left w:w="0" w:type="dxa"/>
          <w:right w:w="0" w:type="dxa"/>
        </w:tblCellMar>
        <w:tblLook w:val="0420" w:firstRow="1" w:lastRow="0" w:firstColumn="0" w:lastColumn="0" w:noHBand="0" w:noVBand="1"/>
      </w:tblPr>
      <w:tblGrid>
        <w:gridCol w:w="3568"/>
        <w:gridCol w:w="5442"/>
      </w:tblGrid>
      <w:tr w:rsidR="00D90027" w:rsidRPr="005F75A5" w14:paraId="26D21367" w14:textId="77777777" w:rsidTr="004262E5">
        <w:trPr>
          <w:trHeight w:val="113"/>
          <w:jc w:val="center"/>
        </w:trPr>
        <w:tc>
          <w:tcPr>
            <w:tcW w:w="198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48EB7B0" w14:textId="77777777" w:rsidR="00D90027" w:rsidRPr="005F75A5" w:rsidRDefault="00D90027" w:rsidP="00CC23D5">
            <w:r w:rsidRPr="00555923">
              <w:rPr>
                <w:b/>
                <w:bCs/>
                <w:lang w:val="en-US"/>
              </w:rPr>
              <w:t>Project Team</w:t>
            </w:r>
          </w:p>
        </w:tc>
        <w:tc>
          <w:tcPr>
            <w:tcW w:w="302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229C0B0" w14:textId="20041A90" w:rsidR="00D90027" w:rsidRPr="005F75A5" w:rsidRDefault="00D90027" w:rsidP="00CC23D5">
            <w:proofErr w:type="spellStart"/>
            <w:r w:rsidRPr="005F75A5">
              <w:rPr>
                <w:b/>
                <w:bCs/>
                <w:lang w:val="en-US"/>
              </w:rPr>
              <w:t>Organisation</w:t>
            </w:r>
            <w:proofErr w:type="spellEnd"/>
          </w:p>
        </w:tc>
      </w:tr>
      <w:tr w:rsidR="00ED7E4B" w:rsidRPr="005F75A5" w14:paraId="7CD5B439" w14:textId="77777777" w:rsidTr="004262E5">
        <w:trPr>
          <w:trHeight w:val="113"/>
          <w:jc w:val="center"/>
        </w:trPr>
        <w:tc>
          <w:tcPr>
            <w:tcW w:w="198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559B182" w14:textId="77777777" w:rsidR="00ED7E4B" w:rsidRPr="005F75A5" w:rsidRDefault="00ED7E4B" w:rsidP="00CC23D5">
            <w:r>
              <w:t xml:space="preserve">Emeritus </w:t>
            </w:r>
            <w:r w:rsidRPr="00555923">
              <w:t xml:space="preserve">Prof </w:t>
            </w:r>
            <w:r w:rsidRPr="005F75A5">
              <w:t>Robert Banks</w:t>
            </w:r>
          </w:p>
        </w:tc>
        <w:tc>
          <w:tcPr>
            <w:tcW w:w="302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CFBA42B" w14:textId="652F109C" w:rsidR="00ED7E4B" w:rsidRPr="005F75A5" w:rsidRDefault="00ED7E4B" w:rsidP="00CC23D5">
            <w:r w:rsidRPr="005F75A5">
              <w:t>Animal Genetics and Breeding Unit</w:t>
            </w:r>
            <w:r w:rsidRPr="00555923">
              <w:t xml:space="preserve"> (retired)</w:t>
            </w:r>
          </w:p>
        </w:tc>
      </w:tr>
      <w:tr w:rsidR="004262E5" w:rsidRPr="005F75A5" w14:paraId="1ED16E69" w14:textId="77777777" w:rsidTr="004262E5">
        <w:trPr>
          <w:trHeight w:val="113"/>
          <w:jc w:val="center"/>
        </w:trPr>
        <w:tc>
          <w:tcPr>
            <w:tcW w:w="198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E93D885" w14:textId="06EAAB64" w:rsidR="004262E5" w:rsidRPr="005F75A5" w:rsidRDefault="004262E5" w:rsidP="00CC23D5">
            <w:r>
              <w:t>Prof</w:t>
            </w:r>
            <w:r w:rsidRPr="005F75A5">
              <w:t xml:space="preserve"> Stephen Miller</w:t>
            </w:r>
            <w:r>
              <w:t xml:space="preserve"> (Project Leader)</w:t>
            </w:r>
          </w:p>
        </w:tc>
        <w:tc>
          <w:tcPr>
            <w:tcW w:w="302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28E61C1E" w14:textId="62ADBC2E" w:rsidR="004262E5" w:rsidRPr="005F75A5" w:rsidRDefault="004262E5" w:rsidP="00CC23D5">
            <w:r w:rsidRPr="005F75A5">
              <w:t>Animal Genetics and Breeding Unit</w:t>
            </w:r>
          </w:p>
        </w:tc>
      </w:tr>
      <w:tr w:rsidR="00D90027" w:rsidRPr="005F75A5" w14:paraId="5761D181" w14:textId="77777777" w:rsidTr="004262E5">
        <w:trPr>
          <w:trHeight w:val="113"/>
          <w:jc w:val="center"/>
        </w:trPr>
        <w:tc>
          <w:tcPr>
            <w:tcW w:w="198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C80035B" w14:textId="77777777" w:rsidR="00D90027" w:rsidRPr="005F75A5" w:rsidRDefault="00D90027" w:rsidP="00CC23D5">
            <w:r w:rsidRPr="00555923">
              <w:t>Prof</w:t>
            </w:r>
            <w:r w:rsidRPr="005F75A5">
              <w:t xml:space="preserve"> Julius van der Werf</w:t>
            </w:r>
          </w:p>
        </w:tc>
        <w:tc>
          <w:tcPr>
            <w:tcW w:w="302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60DB83E" w14:textId="77777777" w:rsidR="00D90027" w:rsidRPr="005F75A5" w:rsidRDefault="00D90027" w:rsidP="00CC23D5">
            <w:r w:rsidRPr="005F75A5">
              <w:t>University of New England</w:t>
            </w:r>
          </w:p>
        </w:tc>
      </w:tr>
      <w:tr w:rsidR="00D90027" w:rsidRPr="005F75A5" w14:paraId="0763E4FB" w14:textId="77777777" w:rsidTr="004262E5">
        <w:trPr>
          <w:trHeight w:val="113"/>
          <w:jc w:val="center"/>
        </w:trPr>
        <w:tc>
          <w:tcPr>
            <w:tcW w:w="198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69B8A90" w14:textId="77777777" w:rsidR="00D90027" w:rsidRPr="005F75A5" w:rsidRDefault="00D90027" w:rsidP="00CC23D5">
            <w:r w:rsidRPr="005F75A5">
              <w:t>Dr. Alex Ball</w:t>
            </w:r>
          </w:p>
        </w:tc>
        <w:tc>
          <w:tcPr>
            <w:tcW w:w="302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81F649F" w14:textId="77777777" w:rsidR="00D90027" w:rsidRPr="005F75A5" w:rsidRDefault="00D90027" w:rsidP="00CC23D5">
            <w:r w:rsidRPr="005F75A5">
              <w:t>Rural Analytics</w:t>
            </w:r>
          </w:p>
        </w:tc>
      </w:tr>
      <w:tr w:rsidR="00D90027" w:rsidRPr="005F75A5" w14:paraId="3A6FE627" w14:textId="77777777" w:rsidTr="004262E5">
        <w:trPr>
          <w:trHeight w:val="113"/>
          <w:jc w:val="center"/>
        </w:trPr>
        <w:tc>
          <w:tcPr>
            <w:tcW w:w="198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E543406" w14:textId="77777777" w:rsidR="00D90027" w:rsidRPr="005F75A5" w:rsidRDefault="00D90027" w:rsidP="00CC23D5">
            <w:r w:rsidRPr="005F75A5">
              <w:t xml:space="preserve">Dr. Rob </w:t>
            </w:r>
            <w:proofErr w:type="spellStart"/>
            <w:r w:rsidRPr="005F75A5">
              <w:t>Woolaston</w:t>
            </w:r>
            <w:proofErr w:type="spellEnd"/>
          </w:p>
        </w:tc>
        <w:tc>
          <w:tcPr>
            <w:tcW w:w="302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F5C7E8F" w14:textId="77777777" w:rsidR="00D90027" w:rsidRPr="005F75A5" w:rsidRDefault="00D90027" w:rsidP="00CC23D5">
            <w:r w:rsidRPr="005F75A5">
              <w:t>Airlie Solutions Pty Ltd</w:t>
            </w:r>
          </w:p>
        </w:tc>
      </w:tr>
    </w:tbl>
    <w:p w14:paraId="1C6EDFDC" w14:textId="77777777" w:rsidR="00D90027" w:rsidRDefault="00D90027">
      <w:pPr>
        <w:rPr>
          <w:b/>
          <w:bCs/>
        </w:rPr>
      </w:pPr>
    </w:p>
    <w:p w14:paraId="1259BE55" w14:textId="77777777" w:rsidR="00EF6AE9" w:rsidRDefault="00EF6AE9" w:rsidP="00692AE1"/>
    <w:sdt>
      <w:sdtPr>
        <w:rPr>
          <w:rFonts w:asciiTheme="minorHAnsi" w:eastAsiaTheme="minorHAnsi" w:hAnsiTheme="minorHAnsi" w:cstheme="minorBidi"/>
          <w:b w:val="0"/>
          <w:color w:val="auto"/>
          <w:sz w:val="22"/>
          <w:szCs w:val="22"/>
          <w:lang w:val="en-AU"/>
        </w:rPr>
        <w:id w:val="-1101560735"/>
        <w:docPartObj>
          <w:docPartGallery w:val="Table of Contents"/>
          <w:docPartUnique/>
        </w:docPartObj>
      </w:sdtPr>
      <w:sdtEndPr>
        <w:rPr>
          <w:bCs/>
          <w:noProof/>
        </w:rPr>
      </w:sdtEndPr>
      <w:sdtContent>
        <w:p w14:paraId="4F69FDEE" w14:textId="04377912" w:rsidR="00A36043" w:rsidRDefault="00A36043" w:rsidP="002D5B3D">
          <w:pPr>
            <w:pStyle w:val="TOCHeading"/>
          </w:pPr>
          <w:r w:rsidRPr="002D5B3D">
            <w:t>Contents</w:t>
          </w:r>
        </w:p>
        <w:p w14:paraId="3AE739DE" w14:textId="36B3B8A4" w:rsidR="00D1005E" w:rsidRDefault="00A36043">
          <w:pPr>
            <w:pStyle w:val="TOC1"/>
            <w:rPr>
              <w:rFonts w:eastAsiaTheme="minorEastAsia"/>
              <w:lang w:eastAsia="en-AU"/>
            </w:rPr>
          </w:pPr>
          <w:r>
            <w:fldChar w:fldCharType="begin"/>
          </w:r>
          <w:r>
            <w:instrText xml:space="preserve"> TOC \o "1-3" \h \z \u </w:instrText>
          </w:r>
          <w:r>
            <w:fldChar w:fldCharType="separate"/>
          </w:r>
          <w:hyperlink w:anchor="_Toc95983370" w:history="1">
            <w:r w:rsidR="00D1005E" w:rsidRPr="00B82BDB">
              <w:rPr>
                <w:rStyle w:val="Hyperlink"/>
              </w:rPr>
              <w:t>Abstract</w:t>
            </w:r>
            <w:r w:rsidR="00D1005E">
              <w:rPr>
                <w:webHidden/>
              </w:rPr>
              <w:tab/>
            </w:r>
            <w:r w:rsidR="00D1005E">
              <w:rPr>
                <w:webHidden/>
              </w:rPr>
              <w:fldChar w:fldCharType="begin"/>
            </w:r>
            <w:r w:rsidR="00D1005E">
              <w:rPr>
                <w:webHidden/>
              </w:rPr>
              <w:instrText xml:space="preserve"> PAGEREF _Toc95983370 \h </w:instrText>
            </w:r>
            <w:r w:rsidR="00D1005E">
              <w:rPr>
                <w:webHidden/>
              </w:rPr>
            </w:r>
            <w:r w:rsidR="00D1005E">
              <w:rPr>
                <w:webHidden/>
              </w:rPr>
              <w:fldChar w:fldCharType="separate"/>
            </w:r>
            <w:r w:rsidR="008D0D42">
              <w:rPr>
                <w:webHidden/>
              </w:rPr>
              <w:t>9</w:t>
            </w:r>
            <w:r w:rsidR="00D1005E">
              <w:rPr>
                <w:webHidden/>
              </w:rPr>
              <w:fldChar w:fldCharType="end"/>
            </w:r>
          </w:hyperlink>
        </w:p>
        <w:p w14:paraId="53A3C853" w14:textId="6952777A" w:rsidR="00D1005E" w:rsidRDefault="009A5F60">
          <w:pPr>
            <w:pStyle w:val="TOC1"/>
            <w:rPr>
              <w:rFonts w:eastAsiaTheme="minorEastAsia"/>
              <w:lang w:eastAsia="en-AU"/>
            </w:rPr>
          </w:pPr>
          <w:hyperlink w:anchor="_Toc95983371" w:history="1">
            <w:r w:rsidR="00D1005E" w:rsidRPr="00B82BDB">
              <w:rPr>
                <w:rStyle w:val="Hyperlink"/>
              </w:rPr>
              <w:t>Executive summary</w:t>
            </w:r>
            <w:r w:rsidR="00D1005E">
              <w:rPr>
                <w:webHidden/>
              </w:rPr>
              <w:tab/>
            </w:r>
            <w:r w:rsidR="00D1005E">
              <w:rPr>
                <w:webHidden/>
              </w:rPr>
              <w:fldChar w:fldCharType="begin"/>
            </w:r>
            <w:r w:rsidR="00D1005E">
              <w:rPr>
                <w:webHidden/>
              </w:rPr>
              <w:instrText xml:space="preserve"> PAGEREF _Toc95983371 \h </w:instrText>
            </w:r>
            <w:r w:rsidR="00D1005E">
              <w:rPr>
                <w:webHidden/>
              </w:rPr>
            </w:r>
            <w:r w:rsidR="00D1005E">
              <w:rPr>
                <w:webHidden/>
              </w:rPr>
              <w:fldChar w:fldCharType="separate"/>
            </w:r>
            <w:r w:rsidR="008D0D42">
              <w:rPr>
                <w:webHidden/>
              </w:rPr>
              <w:t>10</w:t>
            </w:r>
            <w:r w:rsidR="00D1005E">
              <w:rPr>
                <w:webHidden/>
              </w:rPr>
              <w:fldChar w:fldCharType="end"/>
            </w:r>
          </w:hyperlink>
        </w:p>
        <w:p w14:paraId="4D48E75A" w14:textId="740DFCC6" w:rsidR="00D1005E" w:rsidRDefault="009A5F60">
          <w:pPr>
            <w:pStyle w:val="TOC1"/>
            <w:rPr>
              <w:rFonts w:eastAsiaTheme="minorEastAsia"/>
              <w:lang w:eastAsia="en-AU"/>
            </w:rPr>
          </w:pPr>
          <w:hyperlink w:anchor="_Toc95983372" w:history="1">
            <w:r w:rsidR="00D1005E" w:rsidRPr="00B82BDB">
              <w:rPr>
                <w:rStyle w:val="Hyperlink"/>
              </w:rPr>
              <w:t>Project outputs against objectives</w:t>
            </w:r>
            <w:r w:rsidR="00D1005E">
              <w:rPr>
                <w:webHidden/>
              </w:rPr>
              <w:tab/>
            </w:r>
            <w:r w:rsidR="00D1005E">
              <w:rPr>
                <w:webHidden/>
              </w:rPr>
              <w:fldChar w:fldCharType="begin"/>
            </w:r>
            <w:r w:rsidR="00D1005E">
              <w:rPr>
                <w:webHidden/>
              </w:rPr>
              <w:instrText xml:space="preserve"> PAGEREF _Toc95983372 \h </w:instrText>
            </w:r>
            <w:r w:rsidR="00D1005E">
              <w:rPr>
                <w:webHidden/>
              </w:rPr>
            </w:r>
            <w:r w:rsidR="00D1005E">
              <w:rPr>
                <w:webHidden/>
              </w:rPr>
              <w:fldChar w:fldCharType="separate"/>
            </w:r>
            <w:r w:rsidR="008D0D42">
              <w:rPr>
                <w:webHidden/>
              </w:rPr>
              <w:t>12</w:t>
            </w:r>
            <w:r w:rsidR="00D1005E">
              <w:rPr>
                <w:webHidden/>
              </w:rPr>
              <w:fldChar w:fldCharType="end"/>
            </w:r>
          </w:hyperlink>
        </w:p>
        <w:p w14:paraId="00E04150" w14:textId="45A85C18" w:rsidR="00D1005E" w:rsidRDefault="009A5F60">
          <w:pPr>
            <w:pStyle w:val="TOC1"/>
            <w:rPr>
              <w:rFonts w:eastAsiaTheme="minorEastAsia"/>
              <w:lang w:eastAsia="en-AU"/>
            </w:rPr>
          </w:pPr>
          <w:hyperlink w:anchor="_Toc95983373" w:history="1">
            <w:r w:rsidR="00D1005E" w:rsidRPr="00B82BDB">
              <w:rPr>
                <w:rStyle w:val="Hyperlink"/>
              </w:rPr>
              <w:t>1.</w:t>
            </w:r>
            <w:r w:rsidR="00D1005E">
              <w:rPr>
                <w:rFonts w:eastAsiaTheme="minorEastAsia"/>
                <w:lang w:eastAsia="en-AU"/>
              </w:rPr>
              <w:tab/>
            </w:r>
            <w:r w:rsidR="00D1005E" w:rsidRPr="00B82BDB">
              <w:rPr>
                <w:rStyle w:val="Hyperlink"/>
              </w:rPr>
              <w:t>Introduction</w:t>
            </w:r>
            <w:r w:rsidR="00D1005E">
              <w:rPr>
                <w:webHidden/>
              </w:rPr>
              <w:tab/>
            </w:r>
            <w:r w:rsidR="00D1005E">
              <w:rPr>
                <w:webHidden/>
              </w:rPr>
              <w:fldChar w:fldCharType="begin"/>
            </w:r>
            <w:r w:rsidR="00D1005E">
              <w:rPr>
                <w:webHidden/>
              </w:rPr>
              <w:instrText xml:space="preserve"> PAGEREF _Toc95983373 \h </w:instrText>
            </w:r>
            <w:r w:rsidR="00D1005E">
              <w:rPr>
                <w:webHidden/>
              </w:rPr>
            </w:r>
            <w:r w:rsidR="00D1005E">
              <w:rPr>
                <w:webHidden/>
              </w:rPr>
              <w:fldChar w:fldCharType="separate"/>
            </w:r>
            <w:r w:rsidR="008D0D42">
              <w:rPr>
                <w:webHidden/>
              </w:rPr>
              <w:t>14</w:t>
            </w:r>
            <w:r w:rsidR="00D1005E">
              <w:rPr>
                <w:webHidden/>
              </w:rPr>
              <w:fldChar w:fldCharType="end"/>
            </w:r>
          </w:hyperlink>
        </w:p>
        <w:p w14:paraId="363656D5" w14:textId="03E17194" w:rsidR="00D1005E" w:rsidRDefault="009A5F60">
          <w:pPr>
            <w:pStyle w:val="TOC1"/>
            <w:rPr>
              <w:rFonts w:eastAsiaTheme="minorEastAsia"/>
              <w:lang w:eastAsia="en-AU"/>
            </w:rPr>
          </w:pPr>
          <w:hyperlink w:anchor="_Toc95983374" w:history="1">
            <w:r w:rsidR="00D1005E" w:rsidRPr="00B82BDB">
              <w:rPr>
                <w:rStyle w:val="Hyperlink"/>
              </w:rPr>
              <w:t>2.</w:t>
            </w:r>
            <w:r w:rsidR="00D1005E">
              <w:rPr>
                <w:rFonts w:eastAsiaTheme="minorEastAsia"/>
                <w:lang w:eastAsia="en-AU"/>
              </w:rPr>
              <w:tab/>
            </w:r>
            <w:r w:rsidR="00D1005E" w:rsidRPr="00B82BDB">
              <w:rPr>
                <w:rStyle w:val="Hyperlink"/>
              </w:rPr>
              <w:t>Industry structures</w:t>
            </w:r>
            <w:r w:rsidR="00D1005E">
              <w:rPr>
                <w:webHidden/>
              </w:rPr>
              <w:tab/>
            </w:r>
            <w:r w:rsidR="00D1005E">
              <w:rPr>
                <w:webHidden/>
              </w:rPr>
              <w:fldChar w:fldCharType="begin"/>
            </w:r>
            <w:r w:rsidR="00D1005E">
              <w:rPr>
                <w:webHidden/>
              </w:rPr>
              <w:instrText xml:space="preserve"> PAGEREF _Toc95983374 \h </w:instrText>
            </w:r>
            <w:r w:rsidR="00D1005E">
              <w:rPr>
                <w:webHidden/>
              </w:rPr>
            </w:r>
            <w:r w:rsidR="00D1005E">
              <w:rPr>
                <w:webHidden/>
              </w:rPr>
              <w:fldChar w:fldCharType="separate"/>
            </w:r>
            <w:r w:rsidR="008D0D42">
              <w:rPr>
                <w:webHidden/>
              </w:rPr>
              <w:t>16</w:t>
            </w:r>
            <w:r w:rsidR="00D1005E">
              <w:rPr>
                <w:webHidden/>
              </w:rPr>
              <w:fldChar w:fldCharType="end"/>
            </w:r>
          </w:hyperlink>
        </w:p>
        <w:p w14:paraId="5DADE8C5" w14:textId="7187DBD2" w:rsidR="00D1005E" w:rsidRDefault="009A5F60">
          <w:pPr>
            <w:pStyle w:val="TOC2"/>
            <w:rPr>
              <w:rFonts w:eastAsiaTheme="minorEastAsia"/>
              <w:noProof/>
              <w:lang w:eastAsia="en-AU"/>
            </w:rPr>
          </w:pPr>
          <w:hyperlink w:anchor="_Toc95983375" w:history="1">
            <w:r w:rsidR="00D1005E" w:rsidRPr="00B82BDB">
              <w:rPr>
                <w:rStyle w:val="Hyperlink"/>
                <w:noProof/>
              </w:rPr>
              <w:t>Seedstock breeders</w:t>
            </w:r>
            <w:r w:rsidR="00D1005E">
              <w:rPr>
                <w:noProof/>
                <w:webHidden/>
              </w:rPr>
              <w:tab/>
            </w:r>
            <w:r w:rsidR="00D1005E">
              <w:rPr>
                <w:noProof/>
                <w:webHidden/>
              </w:rPr>
              <w:fldChar w:fldCharType="begin"/>
            </w:r>
            <w:r w:rsidR="00D1005E">
              <w:rPr>
                <w:noProof/>
                <w:webHidden/>
              </w:rPr>
              <w:instrText xml:space="preserve"> PAGEREF _Toc95983375 \h </w:instrText>
            </w:r>
            <w:r w:rsidR="00D1005E">
              <w:rPr>
                <w:noProof/>
                <w:webHidden/>
              </w:rPr>
            </w:r>
            <w:r w:rsidR="00D1005E">
              <w:rPr>
                <w:noProof/>
                <w:webHidden/>
              </w:rPr>
              <w:fldChar w:fldCharType="separate"/>
            </w:r>
            <w:r w:rsidR="008D0D42">
              <w:rPr>
                <w:noProof/>
                <w:webHidden/>
              </w:rPr>
              <w:t>17</w:t>
            </w:r>
            <w:r w:rsidR="00D1005E">
              <w:rPr>
                <w:noProof/>
                <w:webHidden/>
              </w:rPr>
              <w:fldChar w:fldCharType="end"/>
            </w:r>
          </w:hyperlink>
        </w:p>
        <w:p w14:paraId="73C7A621" w14:textId="660765D5" w:rsidR="00D1005E" w:rsidRDefault="009A5F60">
          <w:pPr>
            <w:pStyle w:val="TOC2"/>
            <w:rPr>
              <w:rFonts w:eastAsiaTheme="minorEastAsia"/>
              <w:noProof/>
              <w:lang w:eastAsia="en-AU"/>
            </w:rPr>
          </w:pPr>
          <w:hyperlink w:anchor="_Toc95983376" w:history="1">
            <w:r w:rsidR="00D1005E" w:rsidRPr="00B82BDB">
              <w:rPr>
                <w:rStyle w:val="Hyperlink"/>
                <w:noProof/>
              </w:rPr>
              <w:t>Commercial producers</w:t>
            </w:r>
            <w:r w:rsidR="00D1005E">
              <w:rPr>
                <w:noProof/>
                <w:webHidden/>
              </w:rPr>
              <w:tab/>
            </w:r>
            <w:r w:rsidR="00D1005E">
              <w:rPr>
                <w:noProof/>
                <w:webHidden/>
              </w:rPr>
              <w:fldChar w:fldCharType="begin"/>
            </w:r>
            <w:r w:rsidR="00D1005E">
              <w:rPr>
                <w:noProof/>
                <w:webHidden/>
              </w:rPr>
              <w:instrText xml:space="preserve"> PAGEREF _Toc95983376 \h </w:instrText>
            </w:r>
            <w:r w:rsidR="00D1005E">
              <w:rPr>
                <w:noProof/>
                <w:webHidden/>
              </w:rPr>
            </w:r>
            <w:r w:rsidR="00D1005E">
              <w:rPr>
                <w:noProof/>
                <w:webHidden/>
              </w:rPr>
              <w:fldChar w:fldCharType="separate"/>
            </w:r>
            <w:r w:rsidR="008D0D42">
              <w:rPr>
                <w:noProof/>
                <w:webHidden/>
              </w:rPr>
              <w:t>18</w:t>
            </w:r>
            <w:r w:rsidR="00D1005E">
              <w:rPr>
                <w:noProof/>
                <w:webHidden/>
              </w:rPr>
              <w:fldChar w:fldCharType="end"/>
            </w:r>
          </w:hyperlink>
        </w:p>
        <w:p w14:paraId="4D3D34A7" w14:textId="10B5FD50" w:rsidR="00D1005E" w:rsidRDefault="009A5F60">
          <w:pPr>
            <w:pStyle w:val="TOC2"/>
            <w:rPr>
              <w:rFonts w:eastAsiaTheme="minorEastAsia"/>
              <w:noProof/>
              <w:lang w:eastAsia="en-AU"/>
            </w:rPr>
          </w:pPr>
          <w:hyperlink w:anchor="_Toc95983377" w:history="1">
            <w:r w:rsidR="00D1005E" w:rsidRPr="00B82BDB">
              <w:rPr>
                <w:rStyle w:val="Hyperlink"/>
                <w:noProof/>
              </w:rPr>
              <w:t>Backgrounders and Finishers</w:t>
            </w:r>
            <w:r w:rsidR="00D1005E">
              <w:rPr>
                <w:noProof/>
                <w:webHidden/>
              </w:rPr>
              <w:tab/>
            </w:r>
            <w:r w:rsidR="00D1005E">
              <w:rPr>
                <w:noProof/>
                <w:webHidden/>
              </w:rPr>
              <w:fldChar w:fldCharType="begin"/>
            </w:r>
            <w:r w:rsidR="00D1005E">
              <w:rPr>
                <w:noProof/>
                <w:webHidden/>
              </w:rPr>
              <w:instrText xml:space="preserve"> PAGEREF _Toc95983377 \h </w:instrText>
            </w:r>
            <w:r w:rsidR="00D1005E">
              <w:rPr>
                <w:noProof/>
                <w:webHidden/>
              </w:rPr>
            </w:r>
            <w:r w:rsidR="00D1005E">
              <w:rPr>
                <w:noProof/>
                <w:webHidden/>
              </w:rPr>
              <w:fldChar w:fldCharType="separate"/>
            </w:r>
            <w:r w:rsidR="008D0D42">
              <w:rPr>
                <w:noProof/>
                <w:webHidden/>
              </w:rPr>
              <w:t>20</w:t>
            </w:r>
            <w:r w:rsidR="00D1005E">
              <w:rPr>
                <w:noProof/>
                <w:webHidden/>
              </w:rPr>
              <w:fldChar w:fldCharType="end"/>
            </w:r>
          </w:hyperlink>
        </w:p>
        <w:p w14:paraId="4019BD77" w14:textId="5E0DD076" w:rsidR="00D1005E" w:rsidRDefault="009A5F60">
          <w:pPr>
            <w:pStyle w:val="TOC2"/>
            <w:rPr>
              <w:rFonts w:eastAsiaTheme="minorEastAsia"/>
              <w:noProof/>
              <w:lang w:eastAsia="en-AU"/>
            </w:rPr>
          </w:pPr>
          <w:hyperlink w:anchor="_Toc95983378" w:history="1">
            <w:r w:rsidR="00D1005E" w:rsidRPr="00B82BDB">
              <w:rPr>
                <w:rStyle w:val="Hyperlink"/>
                <w:noProof/>
              </w:rPr>
              <w:t>Lot Feeders</w:t>
            </w:r>
            <w:r w:rsidR="00D1005E">
              <w:rPr>
                <w:noProof/>
                <w:webHidden/>
              </w:rPr>
              <w:tab/>
            </w:r>
            <w:r w:rsidR="00D1005E">
              <w:rPr>
                <w:noProof/>
                <w:webHidden/>
              </w:rPr>
              <w:fldChar w:fldCharType="begin"/>
            </w:r>
            <w:r w:rsidR="00D1005E">
              <w:rPr>
                <w:noProof/>
                <w:webHidden/>
              </w:rPr>
              <w:instrText xml:space="preserve"> PAGEREF _Toc95983378 \h </w:instrText>
            </w:r>
            <w:r w:rsidR="00D1005E">
              <w:rPr>
                <w:noProof/>
                <w:webHidden/>
              </w:rPr>
            </w:r>
            <w:r w:rsidR="00D1005E">
              <w:rPr>
                <w:noProof/>
                <w:webHidden/>
              </w:rPr>
              <w:fldChar w:fldCharType="separate"/>
            </w:r>
            <w:r w:rsidR="008D0D42">
              <w:rPr>
                <w:noProof/>
                <w:webHidden/>
              </w:rPr>
              <w:t>21</w:t>
            </w:r>
            <w:r w:rsidR="00D1005E">
              <w:rPr>
                <w:noProof/>
                <w:webHidden/>
              </w:rPr>
              <w:fldChar w:fldCharType="end"/>
            </w:r>
          </w:hyperlink>
        </w:p>
        <w:p w14:paraId="36864D0E" w14:textId="3D751446" w:rsidR="00D1005E" w:rsidRDefault="009A5F60">
          <w:pPr>
            <w:pStyle w:val="TOC2"/>
            <w:rPr>
              <w:rFonts w:eastAsiaTheme="minorEastAsia"/>
              <w:noProof/>
              <w:lang w:eastAsia="en-AU"/>
            </w:rPr>
          </w:pPr>
          <w:hyperlink w:anchor="_Toc95983379" w:history="1">
            <w:r w:rsidR="00D1005E" w:rsidRPr="00B82BDB">
              <w:rPr>
                <w:rStyle w:val="Hyperlink"/>
                <w:noProof/>
              </w:rPr>
              <w:t>Processors and smallgoods manufacturers</w:t>
            </w:r>
            <w:r w:rsidR="00D1005E">
              <w:rPr>
                <w:noProof/>
                <w:webHidden/>
              </w:rPr>
              <w:tab/>
            </w:r>
            <w:r w:rsidR="00D1005E">
              <w:rPr>
                <w:noProof/>
                <w:webHidden/>
              </w:rPr>
              <w:fldChar w:fldCharType="begin"/>
            </w:r>
            <w:r w:rsidR="00D1005E">
              <w:rPr>
                <w:noProof/>
                <w:webHidden/>
              </w:rPr>
              <w:instrText xml:space="preserve"> PAGEREF _Toc95983379 \h </w:instrText>
            </w:r>
            <w:r w:rsidR="00D1005E">
              <w:rPr>
                <w:noProof/>
                <w:webHidden/>
              </w:rPr>
            </w:r>
            <w:r w:rsidR="00D1005E">
              <w:rPr>
                <w:noProof/>
                <w:webHidden/>
              </w:rPr>
              <w:fldChar w:fldCharType="separate"/>
            </w:r>
            <w:r w:rsidR="008D0D42">
              <w:rPr>
                <w:noProof/>
                <w:webHidden/>
              </w:rPr>
              <w:t>21</w:t>
            </w:r>
            <w:r w:rsidR="00D1005E">
              <w:rPr>
                <w:noProof/>
                <w:webHidden/>
              </w:rPr>
              <w:fldChar w:fldCharType="end"/>
            </w:r>
          </w:hyperlink>
        </w:p>
        <w:p w14:paraId="5946EF38" w14:textId="053DE27A" w:rsidR="00D1005E" w:rsidRDefault="009A5F60">
          <w:pPr>
            <w:pStyle w:val="TOC2"/>
            <w:rPr>
              <w:rFonts w:eastAsiaTheme="minorEastAsia"/>
              <w:noProof/>
              <w:lang w:eastAsia="en-AU"/>
            </w:rPr>
          </w:pPr>
          <w:hyperlink w:anchor="_Toc95983380" w:history="1">
            <w:r w:rsidR="00D1005E" w:rsidRPr="00B82BDB">
              <w:rPr>
                <w:rStyle w:val="Hyperlink"/>
                <w:noProof/>
              </w:rPr>
              <w:t>Wholesalers and retailers</w:t>
            </w:r>
            <w:r w:rsidR="00D1005E">
              <w:rPr>
                <w:noProof/>
                <w:webHidden/>
              </w:rPr>
              <w:tab/>
            </w:r>
            <w:r w:rsidR="00D1005E">
              <w:rPr>
                <w:noProof/>
                <w:webHidden/>
              </w:rPr>
              <w:fldChar w:fldCharType="begin"/>
            </w:r>
            <w:r w:rsidR="00D1005E">
              <w:rPr>
                <w:noProof/>
                <w:webHidden/>
              </w:rPr>
              <w:instrText xml:space="preserve"> PAGEREF _Toc95983380 \h </w:instrText>
            </w:r>
            <w:r w:rsidR="00D1005E">
              <w:rPr>
                <w:noProof/>
                <w:webHidden/>
              </w:rPr>
            </w:r>
            <w:r w:rsidR="00D1005E">
              <w:rPr>
                <w:noProof/>
                <w:webHidden/>
              </w:rPr>
              <w:fldChar w:fldCharType="separate"/>
            </w:r>
            <w:r w:rsidR="008D0D42">
              <w:rPr>
                <w:noProof/>
                <w:webHidden/>
              </w:rPr>
              <w:t>22</w:t>
            </w:r>
            <w:r w:rsidR="00D1005E">
              <w:rPr>
                <w:noProof/>
                <w:webHidden/>
              </w:rPr>
              <w:fldChar w:fldCharType="end"/>
            </w:r>
          </w:hyperlink>
        </w:p>
        <w:p w14:paraId="11542F15" w14:textId="79922B1D" w:rsidR="00D1005E" w:rsidRDefault="009A5F60">
          <w:pPr>
            <w:pStyle w:val="TOC2"/>
            <w:rPr>
              <w:rFonts w:eastAsiaTheme="minorEastAsia"/>
              <w:noProof/>
              <w:lang w:eastAsia="en-AU"/>
            </w:rPr>
          </w:pPr>
          <w:hyperlink w:anchor="_Toc95983381" w:history="1">
            <w:r w:rsidR="00D1005E" w:rsidRPr="00B82BDB">
              <w:rPr>
                <w:rStyle w:val="Hyperlink"/>
                <w:noProof/>
              </w:rPr>
              <w:t>Exporters</w:t>
            </w:r>
            <w:r w:rsidR="00D1005E">
              <w:rPr>
                <w:noProof/>
                <w:webHidden/>
              </w:rPr>
              <w:tab/>
            </w:r>
            <w:r w:rsidR="00D1005E">
              <w:rPr>
                <w:noProof/>
                <w:webHidden/>
              </w:rPr>
              <w:fldChar w:fldCharType="begin"/>
            </w:r>
            <w:r w:rsidR="00D1005E">
              <w:rPr>
                <w:noProof/>
                <w:webHidden/>
              </w:rPr>
              <w:instrText xml:space="preserve"> PAGEREF _Toc95983381 \h </w:instrText>
            </w:r>
            <w:r w:rsidR="00D1005E">
              <w:rPr>
                <w:noProof/>
                <w:webHidden/>
              </w:rPr>
            </w:r>
            <w:r w:rsidR="00D1005E">
              <w:rPr>
                <w:noProof/>
                <w:webHidden/>
              </w:rPr>
              <w:fldChar w:fldCharType="separate"/>
            </w:r>
            <w:r w:rsidR="008D0D42">
              <w:rPr>
                <w:noProof/>
                <w:webHidden/>
              </w:rPr>
              <w:t>22</w:t>
            </w:r>
            <w:r w:rsidR="00D1005E">
              <w:rPr>
                <w:noProof/>
                <w:webHidden/>
              </w:rPr>
              <w:fldChar w:fldCharType="end"/>
            </w:r>
          </w:hyperlink>
        </w:p>
        <w:p w14:paraId="659EF625" w14:textId="777BAEA5" w:rsidR="00D1005E" w:rsidRDefault="009A5F60">
          <w:pPr>
            <w:pStyle w:val="TOC2"/>
            <w:rPr>
              <w:rFonts w:eastAsiaTheme="minorEastAsia"/>
              <w:noProof/>
              <w:lang w:eastAsia="en-AU"/>
            </w:rPr>
          </w:pPr>
          <w:hyperlink w:anchor="_Toc95983382" w:history="1">
            <w:r w:rsidR="00D1005E" w:rsidRPr="00B82BDB">
              <w:rPr>
                <w:rStyle w:val="Hyperlink"/>
                <w:noProof/>
              </w:rPr>
              <w:t>Consumers</w:t>
            </w:r>
            <w:r w:rsidR="00D1005E">
              <w:rPr>
                <w:noProof/>
                <w:webHidden/>
              </w:rPr>
              <w:tab/>
            </w:r>
            <w:r w:rsidR="00D1005E">
              <w:rPr>
                <w:noProof/>
                <w:webHidden/>
              </w:rPr>
              <w:fldChar w:fldCharType="begin"/>
            </w:r>
            <w:r w:rsidR="00D1005E">
              <w:rPr>
                <w:noProof/>
                <w:webHidden/>
              </w:rPr>
              <w:instrText xml:space="preserve"> PAGEREF _Toc95983382 \h </w:instrText>
            </w:r>
            <w:r w:rsidR="00D1005E">
              <w:rPr>
                <w:noProof/>
                <w:webHidden/>
              </w:rPr>
            </w:r>
            <w:r w:rsidR="00D1005E">
              <w:rPr>
                <w:noProof/>
                <w:webHidden/>
              </w:rPr>
              <w:fldChar w:fldCharType="separate"/>
            </w:r>
            <w:r w:rsidR="008D0D42">
              <w:rPr>
                <w:noProof/>
                <w:webHidden/>
              </w:rPr>
              <w:t>23</w:t>
            </w:r>
            <w:r w:rsidR="00D1005E">
              <w:rPr>
                <w:noProof/>
                <w:webHidden/>
              </w:rPr>
              <w:fldChar w:fldCharType="end"/>
            </w:r>
          </w:hyperlink>
        </w:p>
        <w:p w14:paraId="1E55C827" w14:textId="03B80466" w:rsidR="00D1005E" w:rsidRDefault="009A5F60">
          <w:pPr>
            <w:pStyle w:val="TOC1"/>
            <w:rPr>
              <w:rFonts w:eastAsiaTheme="minorEastAsia"/>
              <w:lang w:eastAsia="en-AU"/>
            </w:rPr>
          </w:pPr>
          <w:hyperlink w:anchor="_Toc95983383" w:history="1">
            <w:r w:rsidR="00D1005E" w:rsidRPr="00B82BDB">
              <w:rPr>
                <w:rStyle w:val="Hyperlink"/>
              </w:rPr>
              <w:t>3.</w:t>
            </w:r>
            <w:r w:rsidR="00D1005E">
              <w:rPr>
                <w:rFonts w:eastAsiaTheme="minorEastAsia"/>
                <w:lang w:eastAsia="en-AU"/>
              </w:rPr>
              <w:tab/>
            </w:r>
            <w:r w:rsidR="00D1005E" w:rsidRPr="00B82BDB">
              <w:rPr>
                <w:rStyle w:val="Hyperlink"/>
              </w:rPr>
              <w:t>Traceability and associated applications</w:t>
            </w:r>
            <w:r w:rsidR="00D1005E">
              <w:rPr>
                <w:webHidden/>
              </w:rPr>
              <w:tab/>
            </w:r>
            <w:r w:rsidR="00D1005E">
              <w:rPr>
                <w:webHidden/>
              </w:rPr>
              <w:fldChar w:fldCharType="begin"/>
            </w:r>
            <w:r w:rsidR="00D1005E">
              <w:rPr>
                <w:webHidden/>
              </w:rPr>
              <w:instrText xml:space="preserve"> PAGEREF _Toc95983383 \h </w:instrText>
            </w:r>
            <w:r w:rsidR="00D1005E">
              <w:rPr>
                <w:webHidden/>
              </w:rPr>
            </w:r>
            <w:r w:rsidR="00D1005E">
              <w:rPr>
                <w:webHidden/>
              </w:rPr>
              <w:fldChar w:fldCharType="separate"/>
            </w:r>
            <w:r w:rsidR="008D0D42">
              <w:rPr>
                <w:webHidden/>
              </w:rPr>
              <w:t>24</w:t>
            </w:r>
            <w:r w:rsidR="00D1005E">
              <w:rPr>
                <w:webHidden/>
              </w:rPr>
              <w:fldChar w:fldCharType="end"/>
            </w:r>
          </w:hyperlink>
        </w:p>
        <w:p w14:paraId="5BEC4A6C" w14:textId="5D5C8C00" w:rsidR="00D1005E" w:rsidRDefault="009A5F60">
          <w:pPr>
            <w:pStyle w:val="TOC2"/>
            <w:rPr>
              <w:rFonts w:eastAsiaTheme="minorEastAsia"/>
              <w:noProof/>
              <w:lang w:eastAsia="en-AU"/>
            </w:rPr>
          </w:pPr>
          <w:hyperlink w:anchor="_Toc95983384" w:history="1">
            <w:r w:rsidR="00D1005E" w:rsidRPr="00B82BDB">
              <w:rPr>
                <w:rStyle w:val="Hyperlink"/>
                <w:noProof/>
              </w:rPr>
              <w:t>Traceability</w:t>
            </w:r>
            <w:r w:rsidR="00D1005E">
              <w:rPr>
                <w:noProof/>
                <w:webHidden/>
              </w:rPr>
              <w:tab/>
            </w:r>
            <w:r w:rsidR="00D1005E">
              <w:rPr>
                <w:noProof/>
                <w:webHidden/>
              </w:rPr>
              <w:fldChar w:fldCharType="begin"/>
            </w:r>
            <w:r w:rsidR="00D1005E">
              <w:rPr>
                <w:noProof/>
                <w:webHidden/>
              </w:rPr>
              <w:instrText xml:space="preserve"> PAGEREF _Toc95983384 \h </w:instrText>
            </w:r>
            <w:r w:rsidR="00D1005E">
              <w:rPr>
                <w:noProof/>
                <w:webHidden/>
              </w:rPr>
            </w:r>
            <w:r w:rsidR="00D1005E">
              <w:rPr>
                <w:noProof/>
                <w:webHidden/>
              </w:rPr>
              <w:fldChar w:fldCharType="separate"/>
            </w:r>
            <w:r w:rsidR="008D0D42">
              <w:rPr>
                <w:noProof/>
                <w:webHidden/>
              </w:rPr>
              <w:t>24</w:t>
            </w:r>
            <w:r w:rsidR="00D1005E">
              <w:rPr>
                <w:noProof/>
                <w:webHidden/>
              </w:rPr>
              <w:fldChar w:fldCharType="end"/>
            </w:r>
          </w:hyperlink>
        </w:p>
        <w:p w14:paraId="12EFEB4D" w14:textId="6E611043" w:rsidR="00D1005E" w:rsidRDefault="009A5F60">
          <w:pPr>
            <w:pStyle w:val="TOC2"/>
            <w:rPr>
              <w:rFonts w:eastAsiaTheme="minorEastAsia"/>
              <w:noProof/>
              <w:lang w:eastAsia="en-AU"/>
            </w:rPr>
          </w:pPr>
          <w:hyperlink w:anchor="_Toc95983385" w:history="1">
            <w:r w:rsidR="00D1005E" w:rsidRPr="00B82BDB">
              <w:rPr>
                <w:rStyle w:val="Hyperlink"/>
                <w:noProof/>
              </w:rPr>
              <w:t>Vulnerabilities</w:t>
            </w:r>
            <w:r w:rsidR="00D1005E">
              <w:rPr>
                <w:noProof/>
                <w:webHidden/>
              </w:rPr>
              <w:tab/>
            </w:r>
            <w:r w:rsidR="00D1005E">
              <w:rPr>
                <w:noProof/>
                <w:webHidden/>
              </w:rPr>
              <w:fldChar w:fldCharType="begin"/>
            </w:r>
            <w:r w:rsidR="00D1005E">
              <w:rPr>
                <w:noProof/>
                <w:webHidden/>
              </w:rPr>
              <w:instrText xml:space="preserve"> PAGEREF _Toc95983385 \h </w:instrText>
            </w:r>
            <w:r w:rsidR="00D1005E">
              <w:rPr>
                <w:noProof/>
                <w:webHidden/>
              </w:rPr>
            </w:r>
            <w:r w:rsidR="00D1005E">
              <w:rPr>
                <w:noProof/>
                <w:webHidden/>
              </w:rPr>
              <w:fldChar w:fldCharType="separate"/>
            </w:r>
            <w:r w:rsidR="008D0D42">
              <w:rPr>
                <w:noProof/>
                <w:webHidden/>
              </w:rPr>
              <w:t>26</w:t>
            </w:r>
            <w:r w:rsidR="00D1005E">
              <w:rPr>
                <w:noProof/>
                <w:webHidden/>
              </w:rPr>
              <w:fldChar w:fldCharType="end"/>
            </w:r>
          </w:hyperlink>
        </w:p>
        <w:p w14:paraId="1922A930" w14:textId="20D0FA85" w:rsidR="00D1005E" w:rsidRDefault="009A5F60">
          <w:pPr>
            <w:pStyle w:val="TOC2"/>
            <w:rPr>
              <w:rFonts w:eastAsiaTheme="minorEastAsia"/>
              <w:noProof/>
              <w:lang w:eastAsia="en-AU"/>
            </w:rPr>
          </w:pPr>
          <w:hyperlink w:anchor="_Toc95983386" w:history="1">
            <w:r w:rsidR="00D1005E" w:rsidRPr="00B82BDB">
              <w:rPr>
                <w:rStyle w:val="Hyperlink"/>
                <w:noProof/>
              </w:rPr>
              <w:t>Systems allowing complete trace-back</w:t>
            </w:r>
            <w:r w:rsidR="00D1005E">
              <w:rPr>
                <w:noProof/>
                <w:webHidden/>
              </w:rPr>
              <w:tab/>
            </w:r>
            <w:r w:rsidR="00D1005E">
              <w:rPr>
                <w:noProof/>
                <w:webHidden/>
              </w:rPr>
              <w:fldChar w:fldCharType="begin"/>
            </w:r>
            <w:r w:rsidR="00D1005E">
              <w:rPr>
                <w:noProof/>
                <w:webHidden/>
              </w:rPr>
              <w:instrText xml:space="preserve"> PAGEREF _Toc95983386 \h </w:instrText>
            </w:r>
            <w:r w:rsidR="00D1005E">
              <w:rPr>
                <w:noProof/>
                <w:webHidden/>
              </w:rPr>
            </w:r>
            <w:r w:rsidR="00D1005E">
              <w:rPr>
                <w:noProof/>
                <w:webHidden/>
              </w:rPr>
              <w:fldChar w:fldCharType="separate"/>
            </w:r>
            <w:r w:rsidR="008D0D42">
              <w:rPr>
                <w:noProof/>
                <w:webHidden/>
              </w:rPr>
              <w:t>26</w:t>
            </w:r>
            <w:r w:rsidR="00D1005E">
              <w:rPr>
                <w:noProof/>
                <w:webHidden/>
              </w:rPr>
              <w:fldChar w:fldCharType="end"/>
            </w:r>
          </w:hyperlink>
        </w:p>
        <w:p w14:paraId="61C16376" w14:textId="619798A6" w:rsidR="00D1005E" w:rsidRDefault="009A5F60">
          <w:pPr>
            <w:pStyle w:val="TOC3"/>
            <w:tabs>
              <w:tab w:val="right" w:leader="dot" w:pos="9016"/>
            </w:tabs>
            <w:rPr>
              <w:rFonts w:eastAsiaTheme="minorEastAsia"/>
              <w:noProof/>
              <w:lang w:eastAsia="en-AU"/>
            </w:rPr>
          </w:pPr>
          <w:hyperlink w:anchor="_Toc95983387" w:history="1">
            <w:r w:rsidR="00D1005E" w:rsidRPr="00B82BDB">
              <w:rPr>
                <w:rStyle w:val="Hyperlink"/>
                <w:noProof/>
              </w:rPr>
              <w:t>Chemical composition</w:t>
            </w:r>
            <w:r w:rsidR="00D1005E">
              <w:rPr>
                <w:noProof/>
                <w:webHidden/>
              </w:rPr>
              <w:tab/>
            </w:r>
            <w:r w:rsidR="00D1005E">
              <w:rPr>
                <w:noProof/>
                <w:webHidden/>
              </w:rPr>
              <w:fldChar w:fldCharType="begin"/>
            </w:r>
            <w:r w:rsidR="00D1005E">
              <w:rPr>
                <w:noProof/>
                <w:webHidden/>
              </w:rPr>
              <w:instrText xml:space="preserve"> PAGEREF _Toc95983387 \h </w:instrText>
            </w:r>
            <w:r w:rsidR="00D1005E">
              <w:rPr>
                <w:noProof/>
                <w:webHidden/>
              </w:rPr>
            </w:r>
            <w:r w:rsidR="00D1005E">
              <w:rPr>
                <w:noProof/>
                <w:webHidden/>
              </w:rPr>
              <w:fldChar w:fldCharType="separate"/>
            </w:r>
            <w:r w:rsidR="008D0D42">
              <w:rPr>
                <w:noProof/>
                <w:webHidden/>
              </w:rPr>
              <w:t>26</w:t>
            </w:r>
            <w:r w:rsidR="00D1005E">
              <w:rPr>
                <w:noProof/>
                <w:webHidden/>
              </w:rPr>
              <w:fldChar w:fldCharType="end"/>
            </w:r>
          </w:hyperlink>
        </w:p>
        <w:p w14:paraId="53119B94" w14:textId="05DA9905" w:rsidR="00D1005E" w:rsidRDefault="009A5F60">
          <w:pPr>
            <w:pStyle w:val="TOC3"/>
            <w:tabs>
              <w:tab w:val="right" w:leader="dot" w:pos="9016"/>
            </w:tabs>
            <w:rPr>
              <w:rFonts w:eastAsiaTheme="minorEastAsia"/>
              <w:noProof/>
              <w:lang w:eastAsia="en-AU"/>
            </w:rPr>
          </w:pPr>
          <w:hyperlink w:anchor="_Toc95983388" w:history="1">
            <w:r w:rsidR="00D1005E" w:rsidRPr="00B82BDB">
              <w:rPr>
                <w:rStyle w:val="Hyperlink"/>
                <w:noProof/>
              </w:rPr>
              <w:t>Genomics</w:t>
            </w:r>
            <w:r w:rsidR="00D1005E">
              <w:rPr>
                <w:noProof/>
                <w:webHidden/>
              </w:rPr>
              <w:tab/>
            </w:r>
            <w:r w:rsidR="00D1005E">
              <w:rPr>
                <w:noProof/>
                <w:webHidden/>
              </w:rPr>
              <w:fldChar w:fldCharType="begin"/>
            </w:r>
            <w:r w:rsidR="00D1005E">
              <w:rPr>
                <w:noProof/>
                <w:webHidden/>
              </w:rPr>
              <w:instrText xml:space="preserve"> PAGEREF _Toc95983388 \h </w:instrText>
            </w:r>
            <w:r w:rsidR="00D1005E">
              <w:rPr>
                <w:noProof/>
                <w:webHidden/>
              </w:rPr>
            </w:r>
            <w:r w:rsidR="00D1005E">
              <w:rPr>
                <w:noProof/>
                <w:webHidden/>
              </w:rPr>
              <w:fldChar w:fldCharType="separate"/>
            </w:r>
            <w:r w:rsidR="008D0D42">
              <w:rPr>
                <w:noProof/>
                <w:webHidden/>
              </w:rPr>
              <w:t>28</w:t>
            </w:r>
            <w:r w:rsidR="00D1005E">
              <w:rPr>
                <w:noProof/>
                <w:webHidden/>
              </w:rPr>
              <w:fldChar w:fldCharType="end"/>
            </w:r>
          </w:hyperlink>
        </w:p>
        <w:p w14:paraId="658A6451" w14:textId="123F046D" w:rsidR="00D1005E" w:rsidRDefault="009A5F60">
          <w:pPr>
            <w:pStyle w:val="TOC2"/>
            <w:rPr>
              <w:rFonts w:eastAsiaTheme="minorEastAsia"/>
              <w:noProof/>
              <w:lang w:eastAsia="en-AU"/>
            </w:rPr>
          </w:pPr>
          <w:hyperlink w:anchor="_Toc95983389" w:history="1">
            <w:r w:rsidR="00D1005E" w:rsidRPr="00B82BDB">
              <w:rPr>
                <w:rStyle w:val="Hyperlink"/>
                <w:noProof/>
              </w:rPr>
              <w:t>Other applications of genomic information</w:t>
            </w:r>
            <w:r w:rsidR="00D1005E">
              <w:rPr>
                <w:noProof/>
                <w:webHidden/>
              </w:rPr>
              <w:tab/>
            </w:r>
            <w:r w:rsidR="00D1005E">
              <w:rPr>
                <w:noProof/>
                <w:webHidden/>
              </w:rPr>
              <w:fldChar w:fldCharType="begin"/>
            </w:r>
            <w:r w:rsidR="00D1005E">
              <w:rPr>
                <w:noProof/>
                <w:webHidden/>
              </w:rPr>
              <w:instrText xml:space="preserve"> PAGEREF _Toc95983389 \h </w:instrText>
            </w:r>
            <w:r w:rsidR="00D1005E">
              <w:rPr>
                <w:noProof/>
                <w:webHidden/>
              </w:rPr>
            </w:r>
            <w:r w:rsidR="00D1005E">
              <w:rPr>
                <w:noProof/>
                <w:webHidden/>
              </w:rPr>
              <w:fldChar w:fldCharType="separate"/>
            </w:r>
            <w:r w:rsidR="008D0D42">
              <w:rPr>
                <w:noProof/>
                <w:webHidden/>
              </w:rPr>
              <w:t>29</w:t>
            </w:r>
            <w:r w:rsidR="00D1005E">
              <w:rPr>
                <w:noProof/>
                <w:webHidden/>
              </w:rPr>
              <w:fldChar w:fldCharType="end"/>
            </w:r>
          </w:hyperlink>
        </w:p>
        <w:p w14:paraId="09375251" w14:textId="1CFACA10" w:rsidR="00D1005E" w:rsidRDefault="009A5F60">
          <w:pPr>
            <w:pStyle w:val="TOC1"/>
            <w:rPr>
              <w:rFonts w:eastAsiaTheme="minorEastAsia"/>
              <w:lang w:eastAsia="en-AU"/>
            </w:rPr>
          </w:pPr>
          <w:hyperlink w:anchor="_Toc95983390" w:history="1">
            <w:r w:rsidR="00D1005E" w:rsidRPr="00B82BDB">
              <w:rPr>
                <w:rStyle w:val="Hyperlink"/>
              </w:rPr>
              <w:t>4.</w:t>
            </w:r>
            <w:r w:rsidR="00D1005E">
              <w:rPr>
                <w:rFonts w:eastAsiaTheme="minorEastAsia"/>
                <w:lang w:eastAsia="en-AU"/>
              </w:rPr>
              <w:tab/>
            </w:r>
            <w:r w:rsidR="00D1005E" w:rsidRPr="00B82BDB">
              <w:rPr>
                <w:rStyle w:val="Hyperlink"/>
              </w:rPr>
              <w:t>Industry views on traceability options</w:t>
            </w:r>
            <w:r w:rsidR="00D1005E">
              <w:rPr>
                <w:webHidden/>
              </w:rPr>
              <w:tab/>
            </w:r>
            <w:r w:rsidR="00D1005E">
              <w:rPr>
                <w:webHidden/>
              </w:rPr>
              <w:fldChar w:fldCharType="begin"/>
            </w:r>
            <w:r w:rsidR="00D1005E">
              <w:rPr>
                <w:webHidden/>
              </w:rPr>
              <w:instrText xml:space="preserve"> PAGEREF _Toc95983390 \h </w:instrText>
            </w:r>
            <w:r w:rsidR="00D1005E">
              <w:rPr>
                <w:webHidden/>
              </w:rPr>
            </w:r>
            <w:r w:rsidR="00D1005E">
              <w:rPr>
                <w:webHidden/>
              </w:rPr>
              <w:fldChar w:fldCharType="separate"/>
            </w:r>
            <w:r w:rsidR="008D0D42">
              <w:rPr>
                <w:webHidden/>
              </w:rPr>
              <w:t>33</w:t>
            </w:r>
            <w:r w:rsidR="00D1005E">
              <w:rPr>
                <w:webHidden/>
              </w:rPr>
              <w:fldChar w:fldCharType="end"/>
            </w:r>
          </w:hyperlink>
        </w:p>
        <w:p w14:paraId="2A5DAD91" w14:textId="4E3D160F" w:rsidR="00D1005E" w:rsidRDefault="009A5F60">
          <w:pPr>
            <w:pStyle w:val="TOC2"/>
            <w:rPr>
              <w:rFonts w:eastAsiaTheme="minorEastAsia"/>
              <w:noProof/>
              <w:lang w:eastAsia="en-AU"/>
            </w:rPr>
          </w:pPr>
          <w:hyperlink w:anchor="_Toc95983391" w:history="1">
            <w:r w:rsidR="00D1005E" w:rsidRPr="00B82BDB">
              <w:rPr>
                <w:rStyle w:val="Hyperlink"/>
                <w:noProof/>
              </w:rPr>
              <w:t>Online survey questionnaire</w:t>
            </w:r>
            <w:r w:rsidR="00D1005E">
              <w:rPr>
                <w:noProof/>
                <w:webHidden/>
              </w:rPr>
              <w:tab/>
            </w:r>
            <w:r w:rsidR="00D1005E">
              <w:rPr>
                <w:noProof/>
                <w:webHidden/>
              </w:rPr>
              <w:fldChar w:fldCharType="begin"/>
            </w:r>
            <w:r w:rsidR="00D1005E">
              <w:rPr>
                <w:noProof/>
                <w:webHidden/>
              </w:rPr>
              <w:instrText xml:space="preserve"> PAGEREF _Toc95983391 \h </w:instrText>
            </w:r>
            <w:r w:rsidR="00D1005E">
              <w:rPr>
                <w:noProof/>
                <w:webHidden/>
              </w:rPr>
            </w:r>
            <w:r w:rsidR="00D1005E">
              <w:rPr>
                <w:noProof/>
                <w:webHidden/>
              </w:rPr>
              <w:fldChar w:fldCharType="separate"/>
            </w:r>
            <w:r w:rsidR="008D0D42">
              <w:rPr>
                <w:noProof/>
                <w:webHidden/>
              </w:rPr>
              <w:t>33</w:t>
            </w:r>
            <w:r w:rsidR="00D1005E">
              <w:rPr>
                <w:noProof/>
                <w:webHidden/>
              </w:rPr>
              <w:fldChar w:fldCharType="end"/>
            </w:r>
          </w:hyperlink>
        </w:p>
        <w:p w14:paraId="66D859BB" w14:textId="1F729890" w:rsidR="00D1005E" w:rsidRDefault="009A5F60">
          <w:pPr>
            <w:pStyle w:val="TOC3"/>
            <w:tabs>
              <w:tab w:val="right" w:leader="dot" w:pos="9016"/>
            </w:tabs>
            <w:rPr>
              <w:rFonts w:eastAsiaTheme="minorEastAsia"/>
              <w:noProof/>
              <w:lang w:eastAsia="en-AU"/>
            </w:rPr>
          </w:pPr>
          <w:hyperlink w:anchor="_Toc95983392" w:history="1">
            <w:r w:rsidR="00D1005E" w:rsidRPr="00B82BDB">
              <w:rPr>
                <w:rStyle w:val="Hyperlink"/>
                <w:noProof/>
              </w:rPr>
              <w:t>Expectations, features and benefits of the current traceability system</w:t>
            </w:r>
            <w:r w:rsidR="00D1005E">
              <w:rPr>
                <w:noProof/>
                <w:webHidden/>
              </w:rPr>
              <w:tab/>
            </w:r>
            <w:r w:rsidR="00D1005E">
              <w:rPr>
                <w:noProof/>
                <w:webHidden/>
              </w:rPr>
              <w:fldChar w:fldCharType="begin"/>
            </w:r>
            <w:r w:rsidR="00D1005E">
              <w:rPr>
                <w:noProof/>
                <w:webHidden/>
              </w:rPr>
              <w:instrText xml:space="preserve"> PAGEREF _Toc95983392 \h </w:instrText>
            </w:r>
            <w:r w:rsidR="00D1005E">
              <w:rPr>
                <w:noProof/>
                <w:webHidden/>
              </w:rPr>
            </w:r>
            <w:r w:rsidR="00D1005E">
              <w:rPr>
                <w:noProof/>
                <w:webHidden/>
              </w:rPr>
              <w:fldChar w:fldCharType="separate"/>
            </w:r>
            <w:r w:rsidR="008D0D42">
              <w:rPr>
                <w:noProof/>
                <w:webHidden/>
              </w:rPr>
              <w:t>33</w:t>
            </w:r>
            <w:r w:rsidR="00D1005E">
              <w:rPr>
                <w:noProof/>
                <w:webHidden/>
              </w:rPr>
              <w:fldChar w:fldCharType="end"/>
            </w:r>
          </w:hyperlink>
        </w:p>
        <w:p w14:paraId="14F754C5" w14:textId="45482148" w:rsidR="00D1005E" w:rsidRDefault="009A5F60">
          <w:pPr>
            <w:pStyle w:val="TOC2"/>
            <w:rPr>
              <w:rFonts w:eastAsiaTheme="minorEastAsia"/>
              <w:noProof/>
              <w:lang w:eastAsia="en-AU"/>
            </w:rPr>
          </w:pPr>
          <w:hyperlink w:anchor="_Toc95983393" w:history="1">
            <w:r w:rsidR="00D1005E" w:rsidRPr="00B82BDB">
              <w:rPr>
                <w:rStyle w:val="Hyperlink"/>
                <w:noProof/>
              </w:rPr>
              <w:t>Targeted Interviews</w:t>
            </w:r>
            <w:r w:rsidR="00D1005E">
              <w:rPr>
                <w:noProof/>
                <w:webHidden/>
              </w:rPr>
              <w:tab/>
            </w:r>
            <w:r w:rsidR="00D1005E">
              <w:rPr>
                <w:noProof/>
                <w:webHidden/>
              </w:rPr>
              <w:fldChar w:fldCharType="begin"/>
            </w:r>
            <w:r w:rsidR="00D1005E">
              <w:rPr>
                <w:noProof/>
                <w:webHidden/>
              </w:rPr>
              <w:instrText xml:space="preserve"> PAGEREF _Toc95983393 \h </w:instrText>
            </w:r>
            <w:r w:rsidR="00D1005E">
              <w:rPr>
                <w:noProof/>
                <w:webHidden/>
              </w:rPr>
            </w:r>
            <w:r w:rsidR="00D1005E">
              <w:rPr>
                <w:noProof/>
                <w:webHidden/>
              </w:rPr>
              <w:fldChar w:fldCharType="separate"/>
            </w:r>
            <w:r w:rsidR="008D0D42">
              <w:rPr>
                <w:noProof/>
                <w:webHidden/>
              </w:rPr>
              <w:t>56</w:t>
            </w:r>
            <w:r w:rsidR="00D1005E">
              <w:rPr>
                <w:noProof/>
                <w:webHidden/>
              </w:rPr>
              <w:fldChar w:fldCharType="end"/>
            </w:r>
          </w:hyperlink>
        </w:p>
        <w:p w14:paraId="6F7BCA60" w14:textId="39001390" w:rsidR="00D1005E" w:rsidRDefault="009A5F60">
          <w:pPr>
            <w:pStyle w:val="TOC3"/>
            <w:tabs>
              <w:tab w:val="right" w:leader="dot" w:pos="9016"/>
            </w:tabs>
            <w:rPr>
              <w:rFonts w:eastAsiaTheme="minorEastAsia"/>
              <w:noProof/>
              <w:lang w:eastAsia="en-AU"/>
            </w:rPr>
          </w:pPr>
          <w:hyperlink w:anchor="_Toc95983394" w:history="1">
            <w:r w:rsidR="00D1005E" w:rsidRPr="00B82BDB">
              <w:rPr>
                <w:rStyle w:val="Hyperlink"/>
                <w:noProof/>
              </w:rPr>
              <w:t>Genotyping companies and service providers</w:t>
            </w:r>
            <w:r w:rsidR="00D1005E">
              <w:rPr>
                <w:noProof/>
                <w:webHidden/>
              </w:rPr>
              <w:tab/>
            </w:r>
            <w:r w:rsidR="00D1005E">
              <w:rPr>
                <w:noProof/>
                <w:webHidden/>
              </w:rPr>
              <w:fldChar w:fldCharType="begin"/>
            </w:r>
            <w:r w:rsidR="00D1005E">
              <w:rPr>
                <w:noProof/>
                <w:webHidden/>
              </w:rPr>
              <w:instrText xml:space="preserve"> PAGEREF _Toc95983394 \h </w:instrText>
            </w:r>
            <w:r w:rsidR="00D1005E">
              <w:rPr>
                <w:noProof/>
                <w:webHidden/>
              </w:rPr>
            </w:r>
            <w:r w:rsidR="00D1005E">
              <w:rPr>
                <w:noProof/>
                <w:webHidden/>
              </w:rPr>
              <w:fldChar w:fldCharType="separate"/>
            </w:r>
            <w:r w:rsidR="008D0D42">
              <w:rPr>
                <w:noProof/>
                <w:webHidden/>
              </w:rPr>
              <w:t>56</w:t>
            </w:r>
            <w:r w:rsidR="00D1005E">
              <w:rPr>
                <w:noProof/>
                <w:webHidden/>
              </w:rPr>
              <w:fldChar w:fldCharType="end"/>
            </w:r>
          </w:hyperlink>
        </w:p>
        <w:p w14:paraId="7B0FC9A5" w14:textId="0B2D36D0" w:rsidR="00D1005E" w:rsidRDefault="009A5F60">
          <w:pPr>
            <w:pStyle w:val="TOC3"/>
            <w:tabs>
              <w:tab w:val="right" w:leader="dot" w:pos="9016"/>
            </w:tabs>
            <w:rPr>
              <w:rFonts w:eastAsiaTheme="minorEastAsia"/>
              <w:noProof/>
              <w:lang w:eastAsia="en-AU"/>
            </w:rPr>
          </w:pPr>
          <w:hyperlink w:anchor="_Toc95983395" w:history="1">
            <w:r w:rsidR="00D1005E" w:rsidRPr="00B82BDB">
              <w:rPr>
                <w:rStyle w:val="Hyperlink"/>
                <w:noProof/>
              </w:rPr>
              <w:t>Vertically integrated companies</w:t>
            </w:r>
            <w:r w:rsidR="00D1005E">
              <w:rPr>
                <w:noProof/>
                <w:webHidden/>
              </w:rPr>
              <w:tab/>
            </w:r>
            <w:r w:rsidR="00D1005E">
              <w:rPr>
                <w:noProof/>
                <w:webHidden/>
              </w:rPr>
              <w:fldChar w:fldCharType="begin"/>
            </w:r>
            <w:r w:rsidR="00D1005E">
              <w:rPr>
                <w:noProof/>
                <w:webHidden/>
              </w:rPr>
              <w:instrText xml:space="preserve"> PAGEREF _Toc95983395 \h </w:instrText>
            </w:r>
            <w:r w:rsidR="00D1005E">
              <w:rPr>
                <w:noProof/>
                <w:webHidden/>
              </w:rPr>
            </w:r>
            <w:r w:rsidR="00D1005E">
              <w:rPr>
                <w:noProof/>
                <w:webHidden/>
              </w:rPr>
              <w:fldChar w:fldCharType="separate"/>
            </w:r>
            <w:r w:rsidR="008D0D42">
              <w:rPr>
                <w:noProof/>
                <w:webHidden/>
              </w:rPr>
              <w:t>57</w:t>
            </w:r>
            <w:r w:rsidR="00D1005E">
              <w:rPr>
                <w:noProof/>
                <w:webHidden/>
              </w:rPr>
              <w:fldChar w:fldCharType="end"/>
            </w:r>
          </w:hyperlink>
        </w:p>
        <w:p w14:paraId="27B7BA0D" w14:textId="7166D86B" w:rsidR="00D1005E" w:rsidRDefault="009A5F60">
          <w:pPr>
            <w:pStyle w:val="TOC1"/>
            <w:rPr>
              <w:rFonts w:eastAsiaTheme="minorEastAsia"/>
              <w:lang w:eastAsia="en-AU"/>
            </w:rPr>
          </w:pPr>
          <w:hyperlink w:anchor="_Toc95983396" w:history="1">
            <w:r w:rsidR="00D1005E" w:rsidRPr="00B82BDB">
              <w:rPr>
                <w:rStyle w:val="Hyperlink"/>
              </w:rPr>
              <w:t>5.</w:t>
            </w:r>
            <w:r w:rsidR="00D1005E">
              <w:rPr>
                <w:rFonts w:eastAsiaTheme="minorEastAsia"/>
                <w:lang w:eastAsia="en-AU"/>
              </w:rPr>
              <w:tab/>
            </w:r>
            <w:r w:rsidR="00D1005E" w:rsidRPr="00B82BDB">
              <w:rPr>
                <w:rStyle w:val="Hyperlink"/>
              </w:rPr>
              <w:t>Requirements of an operational DNA-based tracing system</w:t>
            </w:r>
            <w:r w:rsidR="00D1005E">
              <w:rPr>
                <w:webHidden/>
              </w:rPr>
              <w:tab/>
            </w:r>
            <w:r w:rsidR="00D1005E">
              <w:rPr>
                <w:webHidden/>
              </w:rPr>
              <w:fldChar w:fldCharType="begin"/>
            </w:r>
            <w:r w:rsidR="00D1005E">
              <w:rPr>
                <w:webHidden/>
              </w:rPr>
              <w:instrText xml:space="preserve"> PAGEREF _Toc95983396 \h </w:instrText>
            </w:r>
            <w:r w:rsidR="00D1005E">
              <w:rPr>
                <w:webHidden/>
              </w:rPr>
            </w:r>
            <w:r w:rsidR="00D1005E">
              <w:rPr>
                <w:webHidden/>
              </w:rPr>
              <w:fldChar w:fldCharType="separate"/>
            </w:r>
            <w:r w:rsidR="008D0D42">
              <w:rPr>
                <w:webHidden/>
              </w:rPr>
              <w:t>58</w:t>
            </w:r>
            <w:r w:rsidR="00D1005E">
              <w:rPr>
                <w:webHidden/>
              </w:rPr>
              <w:fldChar w:fldCharType="end"/>
            </w:r>
          </w:hyperlink>
        </w:p>
        <w:p w14:paraId="4E6948FB" w14:textId="624391FE" w:rsidR="00D1005E" w:rsidRDefault="009A5F60">
          <w:pPr>
            <w:pStyle w:val="TOC2"/>
            <w:rPr>
              <w:rFonts w:eastAsiaTheme="minorEastAsia"/>
              <w:noProof/>
              <w:lang w:eastAsia="en-AU"/>
            </w:rPr>
          </w:pPr>
          <w:hyperlink w:anchor="_Toc95983397" w:history="1">
            <w:r w:rsidR="00D1005E" w:rsidRPr="00B82BDB">
              <w:rPr>
                <w:rStyle w:val="Hyperlink"/>
                <w:noProof/>
              </w:rPr>
              <w:t>Genotyping</w:t>
            </w:r>
            <w:r w:rsidR="00D1005E">
              <w:rPr>
                <w:noProof/>
                <w:webHidden/>
              </w:rPr>
              <w:tab/>
            </w:r>
            <w:r w:rsidR="00D1005E">
              <w:rPr>
                <w:noProof/>
                <w:webHidden/>
              </w:rPr>
              <w:fldChar w:fldCharType="begin"/>
            </w:r>
            <w:r w:rsidR="00D1005E">
              <w:rPr>
                <w:noProof/>
                <w:webHidden/>
              </w:rPr>
              <w:instrText xml:space="preserve"> PAGEREF _Toc95983397 \h </w:instrText>
            </w:r>
            <w:r w:rsidR="00D1005E">
              <w:rPr>
                <w:noProof/>
                <w:webHidden/>
              </w:rPr>
            </w:r>
            <w:r w:rsidR="00D1005E">
              <w:rPr>
                <w:noProof/>
                <w:webHidden/>
              </w:rPr>
              <w:fldChar w:fldCharType="separate"/>
            </w:r>
            <w:r w:rsidR="008D0D42">
              <w:rPr>
                <w:noProof/>
                <w:webHidden/>
              </w:rPr>
              <w:t>58</w:t>
            </w:r>
            <w:r w:rsidR="00D1005E">
              <w:rPr>
                <w:noProof/>
                <w:webHidden/>
              </w:rPr>
              <w:fldChar w:fldCharType="end"/>
            </w:r>
          </w:hyperlink>
        </w:p>
        <w:p w14:paraId="3821B13B" w14:textId="47C9F2A4" w:rsidR="00D1005E" w:rsidRDefault="009A5F60">
          <w:pPr>
            <w:pStyle w:val="TOC2"/>
            <w:rPr>
              <w:rFonts w:eastAsiaTheme="minorEastAsia"/>
              <w:noProof/>
              <w:lang w:eastAsia="en-AU"/>
            </w:rPr>
          </w:pPr>
          <w:hyperlink w:anchor="_Toc95983398" w:history="1">
            <w:r w:rsidR="00D1005E" w:rsidRPr="00B82BDB">
              <w:rPr>
                <w:rStyle w:val="Hyperlink"/>
                <w:noProof/>
              </w:rPr>
              <w:t>Database</w:t>
            </w:r>
            <w:r w:rsidR="00D1005E">
              <w:rPr>
                <w:noProof/>
                <w:webHidden/>
              </w:rPr>
              <w:tab/>
            </w:r>
            <w:r w:rsidR="00D1005E">
              <w:rPr>
                <w:noProof/>
                <w:webHidden/>
              </w:rPr>
              <w:fldChar w:fldCharType="begin"/>
            </w:r>
            <w:r w:rsidR="00D1005E">
              <w:rPr>
                <w:noProof/>
                <w:webHidden/>
              </w:rPr>
              <w:instrText xml:space="preserve"> PAGEREF _Toc95983398 \h </w:instrText>
            </w:r>
            <w:r w:rsidR="00D1005E">
              <w:rPr>
                <w:noProof/>
                <w:webHidden/>
              </w:rPr>
            </w:r>
            <w:r w:rsidR="00D1005E">
              <w:rPr>
                <w:noProof/>
                <w:webHidden/>
              </w:rPr>
              <w:fldChar w:fldCharType="separate"/>
            </w:r>
            <w:r w:rsidR="008D0D42">
              <w:rPr>
                <w:noProof/>
                <w:webHidden/>
              </w:rPr>
              <w:t>58</w:t>
            </w:r>
            <w:r w:rsidR="00D1005E">
              <w:rPr>
                <w:noProof/>
                <w:webHidden/>
              </w:rPr>
              <w:fldChar w:fldCharType="end"/>
            </w:r>
          </w:hyperlink>
        </w:p>
        <w:p w14:paraId="7F98FB6C" w14:textId="09085674" w:rsidR="00D1005E" w:rsidRDefault="009A5F60">
          <w:pPr>
            <w:pStyle w:val="TOC2"/>
            <w:rPr>
              <w:rFonts w:eastAsiaTheme="minorEastAsia"/>
              <w:noProof/>
              <w:lang w:eastAsia="en-AU"/>
            </w:rPr>
          </w:pPr>
          <w:hyperlink w:anchor="_Toc95983399" w:history="1">
            <w:r w:rsidR="00D1005E" w:rsidRPr="00B82BDB">
              <w:rPr>
                <w:rStyle w:val="Hyperlink"/>
                <w:noProof/>
              </w:rPr>
              <w:t>Analytics</w:t>
            </w:r>
            <w:r w:rsidR="00D1005E">
              <w:rPr>
                <w:noProof/>
                <w:webHidden/>
              </w:rPr>
              <w:tab/>
            </w:r>
            <w:r w:rsidR="00D1005E">
              <w:rPr>
                <w:noProof/>
                <w:webHidden/>
              </w:rPr>
              <w:fldChar w:fldCharType="begin"/>
            </w:r>
            <w:r w:rsidR="00D1005E">
              <w:rPr>
                <w:noProof/>
                <w:webHidden/>
              </w:rPr>
              <w:instrText xml:space="preserve"> PAGEREF _Toc95983399 \h </w:instrText>
            </w:r>
            <w:r w:rsidR="00D1005E">
              <w:rPr>
                <w:noProof/>
                <w:webHidden/>
              </w:rPr>
            </w:r>
            <w:r w:rsidR="00D1005E">
              <w:rPr>
                <w:noProof/>
                <w:webHidden/>
              </w:rPr>
              <w:fldChar w:fldCharType="separate"/>
            </w:r>
            <w:r w:rsidR="008D0D42">
              <w:rPr>
                <w:noProof/>
                <w:webHidden/>
              </w:rPr>
              <w:t>58</w:t>
            </w:r>
            <w:r w:rsidR="00D1005E">
              <w:rPr>
                <w:noProof/>
                <w:webHidden/>
              </w:rPr>
              <w:fldChar w:fldCharType="end"/>
            </w:r>
          </w:hyperlink>
        </w:p>
        <w:p w14:paraId="2AF25A04" w14:textId="53BB5745" w:rsidR="00D1005E" w:rsidRDefault="009A5F60">
          <w:pPr>
            <w:pStyle w:val="TOC2"/>
            <w:rPr>
              <w:rFonts w:eastAsiaTheme="minorEastAsia"/>
              <w:noProof/>
              <w:lang w:eastAsia="en-AU"/>
            </w:rPr>
          </w:pPr>
          <w:hyperlink w:anchor="_Toc95983400" w:history="1">
            <w:r w:rsidR="00D1005E" w:rsidRPr="00B82BDB">
              <w:rPr>
                <w:rStyle w:val="Hyperlink"/>
                <w:noProof/>
              </w:rPr>
              <w:t>Benefits of genotyping</w:t>
            </w:r>
            <w:r w:rsidR="00D1005E">
              <w:rPr>
                <w:noProof/>
                <w:webHidden/>
              </w:rPr>
              <w:tab/>
            </w:r>
            <w:r w:rsidR="00D1005E">
              <w:rPr>
                <w:noProof/>
                <w:webHidden/>
              </w:rPr>
              <w:fldChar w:fldCharType="begin"/>
            </w:r>
            <w:r w:rsidR="00D1005E">
              <w:rPr>
                <w:noProof/>
                <w:webHidden/>
              </w:rPr>
              <w:instrText xml:space="preserve"> PAGEREF _Toc95983400 \h </w:instrText>
            </w:r>
            <w:r w:rsidR="00D1005E">
              <w:rPr>
                <w:noProof/>
                <w:webHidden/>
              </w:rPr>
            </w:r>
            <w:r w:rsidR="00D1005E">
              <w:rPr>
                <w:noProof/>
                <w:webHidden/>
              </w:rPr>
              <w:fldChar w:fldCharType="separate"/>
            </w:r>
            <w:r w:rsidR="008D0D42">
              <w:rPr>
                <w:noProof/>
                <w:webHidden/>
              </w:rPr>
              <w:t>58</w:t>
            </w:r>
            <w:r w:rsidR="00D1005E">
              <w:rPr>
                <w:noProof/>
                <w:webHidden/>
              </w:rPr>
              <w:fldChar w:fldCharType="end"/>
            </w:r>
          </w:hyperlink>
        </w:p>
        <w:p w14:paraId="2E7427FE" w14:textId="5BA3A2B7" w:rsidR="00D1005E" w:rsidRDefault="009A5F60">
          <w:pPr>
            <w:pStyle w:val="TOC1"/>
            <w:rPr>
              <w:rFonts w:eastAsiaTheme="minorEastAsia"/>
              <w:lang w:eastAsia="en-AU"/>
            </w:rPr>
          </w:pPr>
          <w:hyperlink w:anchor="_Toc95983401" w:history="1">
            <w:r w:rsidR="00D1005E" w:rsidRPr="00B82BDB">
              <w:rPr>
                <w:rStyle w:val="Hyperlink"/>
              </w:rPr>
              <w:t>6.</w:t>
            </w:r>
            <w:r w:rsidR="00D1005E">
              <w:rPr>
                <w:rFonts w:eastAsiaTheme="minorEastAsia"/>
                <w:lang w:eastAsia="en-AU"/>
              </w:rPr>
              <w:tab/>
            </w:r>
            <w:r w:rsidR="00D1005E" w:rsidRPr="00B82BDB">
              <w:rPr>
                <w:rStyle w:val="Hyperlink"/>
              </w:rPr>
              <w:t>DNA technology and traceability – economic aspects</w:t>
            </w:r>
            <w:r w:rsidR="00D1005E">
              <w:rPr>
                <w:webHidden/>
              </w:rPr>
              <w:tab/>
            </w:r>
            <w:r w:rsidR="00D1005E">
              <w:rPr>
                <w:webHidden/>
              </w:rPr>
              <w:fldChar w:fldCharType="begin"/>
            </w:r>
            <w:r w:rsidR="00D1005E">
              <w:rPr>
                <w:webHidden/>
              </w:rPr>
              <w:instrText xml:space="preserve"> PAGEREF _Toc95983401 \h </w:instrText>
            </w:r>
            <w:r w:rsidR="00D1005E">
              <w:rPr>
                <w:webHidden/>
              </w:rPr>
            </w:r>
            <w:r w:rsidR="00D1005E">
              <w:rPr>
                <w:webHidden/>
              </w:rPr>
              <w:fldChar w:fldCharType="separate"/>
            </w:r>
            <w:r w:rsidR="008D0D42">
              <w:rPr>
                <w:webHidden/>
              </w:rPr>
              <w:t>60</w:t>
            </w:r>
            <w:r w:rsidR="00D1005E">
              <w:rPr>
                <w:webHidden/>
              </w:rPr>
              <w:fldChar w:fldCharType="end"/>
            </w:r>
          </w:hyperlink>
        </w:p>
        <w:p w14:paraId="392EFB43" w14:textId="1809A3B9" w:rsidR="00D1005E" w:rsidRDefault="009A5F60">
          <w:pPr>
            <w:pStyle w:val="TOC2"/>
            <w:rPr>
              <w:rFonts w:eastAsiaTheme="minorEastAsia"/>
              <w:noProof/>
              <w:lang w:eastAsia="en-AU"/>
            </w:rPr>
          </w:pPr>
          <w:hyperlink w:anchor="_Toc95983402" w:history="1">
            <w:r w:rsidR="00D1005E" w:rsidRPr="00B82BDB">
              <w:rPr>
                <w:rStyle w:val="Hyperlink"/>
                <w:noProof/>
              </w:rPr>
              <w:t>Previous approaches to assess benefit-cost of NLIS</w:t>
            </w:r>
            <w:r w:rsidR="00D1005E">
              <w:rPr>
                <w:noProof/>
                <w:webHidden/>
              </w:rPr>
              <w:tab/>
            </w:r>
            <w:r w:rsidR="00D1005E">
              <w:rPr>
                <w:noProof/>
                <w:webHidden/>
              </w:rPr>
              <w:fldChar w:fldCharType="begin"/>
            </w:r>
            <w:r w:rsidR="00D1005E">
              <w:rPr>
                <w:noProof/>
                <w:webHidden/>
              </w:rPr>
              <w:instrText xml:space="preserve"> PAGEREF _Toc95983402 \h </w:instrText>
            </w:r>
            <w:r w:rsidR="00D1005E">
              <w:rPr>
                <w:noProof/>
                <w:webHidden/>
              </w:rPr>
            </w:r>
            <w:r w:rsidR="00D1005E">
              <w:rPr>
                <w:noProof/>
                <w:webHidden/>
              </w:rPr>
              <w:fldChar w:fldCharType="separate"/>
            </w:r>
            <w:r w:rsidR="008D0D42">
              <w:rPr>
                <w:noProof/>
                <w:webHidden/>
              </w:rPr>
              <w:t>60</w:t>
            </w:r>
            <w:r w:rsidR="00D1005E">
              <w:rPr>
                <w:noProof/>
                <w:webHidden/>
              </w:rPr>
              <w:fldChar w:fldCharType="end"/>
            </w:r>
          </w:hyperlink>
        </w:p>
        <w:p w14:paraId="5A6A17D3" w14:textId="16BCF499" w:rsidR="00D1005E" w:rsidRDefault="009A5F60">
          <w:pPr>
            <w:pStyle w:val="TOC2"/>
            <w:rPr>
              <w:rFonts w:eastAsiaTheme="minorEastAsia"/>
              <w:noProof/>
              <w:lang w:eastAsia="en-AU"/>
            </w:rPr>
          </w:pPr>
          <w:hyperlink w:anchor="_Toc95983403" w:history="1">
            <w:r w:rsidR="00D1005E" w:rsidRPr="00B82BDB">
              <w:rPr>
                <w:rStyle w:val="Hyperlink"/>
                <w:noProof/>
              </w:rPr>
              <w:t>Key sensitivity/parameters</w:t>
            </w:r>
            <w:r w:rsidR="00D1005E">
              <w:rPr>
                <w:noProof/>
                <w:webHidden/>
              </w:rPr>
              <w:tab/>
            </w:r>
            <w:r w:rsidR="00D1005E">
              <w:rPr>
                <w:noProof/>
                <w:webHidden/>
              </w:rPr>
              <w:fldChar w:fldCharType="begin"/>
            </w:r>
            <w:r w:rsidR="00D1005E">
              <w:rPr>
                <w:noProof/>
                <w:webHidden/>
              </w:rPr>
              <w:instrText xml:space="preserve"> PAGEREF _Toc95983403 \h </w:instrText>
            </w:r>
            <w:r w:rsidR="00D1005E">
              <w:rPr>
                <w:noProof/>
                <w:webHidden/>
              </w:rPr>
            </w:r>
            <w:r w:rsidR="00D1005E">
              <w:rPr>
                <w:noProof/>
                <w:webHidden/>
              </w:rPr>
              <w:fldChar w:fldCharType="separate"/>
            </w:r>
            <w:r w:rsidR="008D0D42">
              <w:rPr>
                <w:noProof/>
                <w:webHidden/>
              </w:rPr>
              <w:t>62</w:t>
            </w:r>
            <w:r w:rsidR="00D1005E">
              <w:rPr>
                <w:noProof/>
                <w:webHidden/>
              </w:rPr>
              <w:fldChar w:fldCharType="end"/>
            </w:r>
          </w:hyperlink>
        </w:p>
        <w:p w14:paraId="3320D55E" w14:textId="27CABD99" w:rsidR="00D1005E" w:rsidRDefault="009A5F60">
          <w:pPr>
            <w:pStyle w:val="TOC3"/>
            <w:tabs>
              <w:tab w:val="right" w:leader="dot" w:pos="9016"/>
            </w:tabs>
            <w:rPr>
              <w:rFonts w:eastAsiaTheme="minorEastAsia"/>
              <w:noProof/>
              <w:lang w:eastAsia="en-AU"/>
            </w:rPr>
          </w:pPr>
          <w:hyperlink w:anchor="_Toc95983404" w:history="1">
            <w:r w:rsidR="00D1005E" w:rsidRPr="00B82BDB">
              <w:rPr>
                <w:rStyle w:val="Hyperlink"/>
                <w:noProof/>
              </w:rPr>
              <w:t>Basic proposition for traceability</w:t>
            </w:r>
            <w:r w:rsidR="00D1005E">
              <w:rPr>
                <w:noProof/>
                <w:webHidden/>
              </w:rPr>
              <w:tab/>
            </w:r>
            <w:r w:rsidR="00D1005E">
              <w:rPr>
                <w:noProof/>
                <w:webHidden/>
              </w:rPr>
              <w:fldChar w:fldCharType="begin"/>
            </w:r>
            <w:r w:rsidR="00D1005E">
              <w:rPr>
                <w:noProof/>
                <w:webHidden/>
              </w:rPr>
              <w:instrText xml:space="preserve"> PAGEREF _Toc95983404 \h </w:instrText>
            </w:r>
            <w:r w:rsidR="00D1005E">
              <w:rPr>
                <w:noProof/>
                <w:webHidden/>
              </w:rPr>
            </w:r>
            <w:r w:rsidR="00D1005E">
              <w:rPr>
                <w:noProof/>
                <w:webHidden/>
              </w:rPr>
              <w:fldChar w:fldCharType="separate"/>
            </w:r>
            <w:r w:rsidR="008D0D42">
              <w:rPr>
                <w:noProof/>
                <w:webHidden/>
              </w:rPr>
              <w:t>62</w:t>
            </w:r>
            <w:r w:rsidR="00D1005E">
              <w:rPr>
                <w:noProof/>
                <w:webHidden/>
              </w:rPr>
              <w:fldChar w:fldCharType="end"/>
            </w:r>
          </w:hyperlink>
        </w:p>
        <w:p w14:paraId="0DA63737" w14:textId="30EE43FE" w:rsidR="00D1005E" w:rsidRDefault="009A5F60">
          <w:pPr>
            <w:pStyle w:val="TOC2"/>
            <w:rPr>
              <w:rFonts w:eastAsiaTheme="minorEastAsia"/>
              <w:noProof/>
              <w:lang w:eastAsia="en-AU"/>
            </w:rPr>
          </w:pPr>
          <w:hyperlink w:anchor="_Toc95983405" w:history="1">
            <w:r w:rsidR="00D1005E" w:rsidRPr="00B82BDB">
              <w:rPr>
                <w:rStyle w:val="Hyperlink"/>
                <w:noProof/>
              </w:rPr>
              <w:t>a) Beef</w:t>
            </w:r>
            <w:r w:rsidR="00D1005E">
              <w:rPr>
                <w:noProof/>
                <w:webHidden/>
              </w:rPr>
              <w:tab/>
            </w:r>
            <w:r w:rsidR="00D1005E">
              <w:rPr>
                <w:noProof/>
                <w:webHidden/>
              </w:rPr>
              <w:fldChar w:fldCharType="begin"/>
            </w:r>
            <w:r w:rsidR="00D1005E">
              <w:rPr>
                <w:noProof/>
                <w:webHidden/>
              </w:rPr>
              <w:instrText xml:space="preserve"> PAGEREF _Toc95983405 \h </w:instrText>
            </w:r>
            <w:r w:rsidR="00D1005E">
              <w:rPr>
                <w:noProof/>
                <w:webHidden/>
              </w:rPr>
            </w:r>
            <w:r w:rsidR="00D1005E">
              <w:rPr>
                <w:noProof/>
                <w:webHidden/>
              </w:rPr>
              <w:fldChar w:fldCharType="separate"/>
            </w:r>
            <w:r w:rsidR="008D0D42">
              <w:rPr>
                <w:noProof/>
                <w:webHidden/>
              </w:rPr>
              <w:t>63</w:t>
            </w:r>
            <w:r w:rsidR="00D1005E">
              <w:rPr>
                <w:noProof/>
                <w:webHidden/>
              </w:rPr>
              <w:fldChar w:fldCharType="end"/>
            </w:r>
          </w:hyperlink>
        </w:p>
        <w:p w14:paraId="3CA0F812" w14:textId="57800D9E" w:rsidR="00D1005E" w:rsidRDefault="009A5F60">
          <w:pPr>
            <w:pStyle w:val="TOC3"/>
            <w:tabs>
              <w:tab w:val="right" w:leader="dot" w:pos="9016"/>
            </w:tabs>
            <w:rPr>
              <w:rFonts w:eastAsiaTheme="minorEastAsia"/>
              <w:noProof/>
              <w:lang w:eastAsia="en-AU"/>
            </w:rPr>
          </w:pPr>
          <w:hyperlink w:anchor="_Toc95983406" w:history="1">
            <w:r w:rsidR="00D1005E" w:rsidRPr="00B82BDB">
              <w:rPr>
                <w:rStyle w:val="Hyperlink"/>
                <w:noProof/>
              </w:rPr>
              <w:t>Traceability in the beef value chain</w:t>
            </w:r>
            <w:r w:rsidR="00D1005E">
              <w:rPr>
                <w:noProof/>
                <w:webHidden/>
              </w:rPr>
              <w:tab/>
            </w:r>
            <w:r w:rsidR="00D1005E">
              <w:rPr>
                <w:noProof/>
                <w:webHidden/>
              </w:rPr>
              <w:fldChar w:fldCharType="begin"/>
            </w:r>
            <w:r w:rsidR="00D1005E">
              <w:rPr>
                <w:noProof/>
                <w:webHidden/>
              </w:rPr>
              <w:instrText xml:space="preserve"> PAGEREF _Toc95983406 \h </w:instrText>
            </w:r>
            <w:r w:rsidR="00D1005E">
              <w:rPr>
                <w:noProof/>
                <w:webHidden/>
              </w:rPr>
            </w:r>
            <w:r w:rsidR="00D1005E">
              <w:rPr>
                <w:noProof/>
                <w:webHidden/>
              </w:rPr>
              <w:fldChar w:fldCharType="separate"/>
            </w:r>
            <w:r w:rsidR="008D0D42">
              <w:rPr>
                <w:noProof/>
                <w:webHidden/>
              </w:rPr>
              <w:t>63</w:t>
            </w:r>
            <w:r w:rsidR="00D1005E">
              <w:rPr>
                <w:noProof/>
                <w:webHidden/>
              </w:rPr>
              <w:fldChar w:fldCharType="end"/>
            </w:r>
          </w:hyperlink>
        </w:p>
        <w:p w14:paraId="0659A222" w14:textId="52EA1CF2" w:rsidR="00D1005E" w:rsidRDefault="009A5F60">
          <w:pPr>
            <w:pStyle w:val="TOC3"/>
            <w:tabs>
              <w:tab w:val="right" w:leader="dot" w:pos="9016"/>
            </w:tabs>
            <w:rPr>
              <w:rFonts w:eastAsiaTheme="minorEastAsia"/>
              <w:noProof/>
              <w:lang w:eastAsia="en-AU"/>
            </w:rPr>
          </w:pPr>
          <w:hyperlink w:anchor="_Toc95983407" w:history="1">
            <w:r w:rsidR="00D1005E" w:rsidRPr="00B82BDB">
              <w:rPr>
                <w:rStyle w:val="Hyperlink"/>
                <w:noProof/>
              </w:rPr>
              <w:t>Ancillary benefits from DNA information</w:t>
            </w:r>
            <w:r w:rsidR="00D1005E">
              <w:rPr>
                <w:noProof/>
                <w:webHidden/>
              </w:rPr>
              <w:tab/>
            </w:r>
            <w:r w:rsidR="00D1005E">
              <w:rPr>
                <w:noProof/>
                <w:webHidden/>
              </w:rPr>
              <w:fldChar w:fldCharType="begin"/>
            </w:r>
            <w:r w:rsidR="00D1005E">
              <w:rPr>
                <w:noProof/>
                <w:webHidden/>
              </w:rPr>
              <w:instrText xml:space="preserve"> PAGEREF _Toc95983407 \h </w:instrText>
            </w:r>
            <w:r w:rsidR="00D1005E">
              <w:rPr>
                <w:noProof/>
                <w:webHidden/>
              </w:rPr>
            </w:r>
            <w:r w:rsidR="00D1005E">
              <w:rPr>
                <w:noProof/>
                <w:webHidden/>
              </w:rPr>
              <w:fldChar w:fldCharType="separate"/>
            </w:r>
            <w:r w:rsidR="008D0D42">
              <w:rPr>
                <w:noProof/>
                <w:webHidden/>
              </w:rPr>
              <w:t>65</w:t>
            </w:r>
            <w:r w:rsidR="00D1005E">
              <w:rPr>
                <w:noProof/>
                <w:webHidden/>
              </w:rPr>
              <w:fldChar w:fldCharType="end"/>
            </w:r>
          </w:hyperlink>
        </w:p>
        <w:p w14:paraId="37ADB2CA" w14:textId="1A32E9A4" w:rsidR="00D1005E" w:rsidRDefault="009A5F60">
          <w:pPr>
            <w:pStyle w:val="TOC3"/>
            <w:tabs>
              <w:tab w:val="right" w:leader="dot" w:pos="9016"/>
            </w:tabs>
            <w:rPr>
              <w:rFonts w:eastAsiaTheme="minorEastAsia"/>
              <w:noProof/>
              <w:lang w:eastAsia="en-AU"/>
            </w:rPr>
          </w:pPr>
          <w:hyperlink w:anchor="_Toc95983408" w:history="1">
            <w:r w:rsidR="00D1005E" w:rsidRPr="00B82BDB">
              <w:rPr>
                <w:rStyle w:val="Hyperlink"/>
                <w:noProof/>
              </w:rPr>
              <w:t>Additional data for genomic selection</w:t>
            </w:r>
            <w:r w:rsidR="00D1005E">
              <w:rPr>
                <w:noProof/>
                <w:webHidden/>
              </w:rPr>
              <w:tab/>
            </w:r>
            <w:r w:rsidR="00D1005E">
              <w:rPr>
                <w:noProof/>
                <w:webHidden/>
              </w:rPr>
              <w:fldChar w:fldCharType="begin"/>
            </w:r>
            <w:r w:rsidR="00D1005E">
              <w:rPr>
                <w:noProof/>
                <w:webHidden/>
              </w:rPr>
              <w:instrText xml:space="preserve"> PAGEREF _Toc95983408 \h </w:instrText>
            </w:r>
            <w:r w:rsidR="00D1005E">
              <w:rPr>
                <w:noProof/>
                <w:webHidden/>
              </w:rPr>
            </w:r>
            <w:r w:rsidR="00D1005E">
              <w:rPr>
                <w:noProof/>
                <w:webHidden/>
              </w:rPr>
              <w:fldChar w:fldCharType="separate"/>
            </w:r>
            <w:r w:rsidR="008D0D42">
              <w:rPr>
                <w:noProof/>
                <w:webHidden/>
              </w:rPr>
              <w:t>65</w:t>
            </w:r>
            <w:r w:rsidR="00D1005E">
              <w:rPr>
                <w:noProof/>
                <w:webHidden/>
              </w:rPr>
              <w:fldChar w:fldCharType="end"/>
            </w:r>
          </w:hyperlink>
        </w:p>
        <w:p w14:paraId="1DB0D151" w14:textId="030FB97F" w:rsidR="00D1005E" w:rsidRDefault="009A5F60">
          <w:pPr>
            <w:pStyle w:val="TOC3"/>
            <w:tabs>
              <w:tab w:val="right" w:leader="dot" w:pos="9016"/>
            </w:tabs>
            <w:rPr>
              <w:rFonts w:eastAsiaTheme="minorEastAsia"/>
              <w:noProof/>
              <w:lang w:eastAsia="en-AU"/>
            </w:rPr>
          </w:pPr>
          <w:hyperlink w:anchor="_Toc95983409" w:history="1">
            <w:r w:rsidR="00D1005E" w:rsidRPr="00B82BDB">
              <w:rPr>
                <w:rStyle w:val="Hyperlink"/>
                <w:noProof/>
              </w:rPr>
              <w:t>Genomic screening to guide management decisions</w:t>
            </w:r>
            <w:r w:rsidR="00D1005E">
              <w:rPr>
                <w:noProof/>
                <w:webHidden/>
              </w:rPr>
              <w:tab/>
            </w:r>
            <w:r w:rsidR="00D1005E">
              <w:rPr>
                <w:noProof/>
                <w:webHidden/>
              </w:rPr>
              <w:fldChar w:fldCharType="begin"/>
            </w:r>
            <w:r w:rsidR="00D1005E">
              <w:rPr>
                <w:noProof/>
                <w:webHidden/>
              </w:rPr>
              <w:instrText xml:space="preserve"> PAGEREF _Toc95983409 \h </w:instrText>
            </w:r>
            <w:r w:rsidR="00D1005E">
              <w:rPr>
                <w:noProof/>
                <w:webHidden/>
              </w:rPr>
            </w:r>
            <w:r w:rsidR="00D1005E">
              <w:rPr>
                <w:noProof/>
                <w:webHidden/>
              </w:rPr>
              <w:fldChar w:fldCharType="separate"/>
            </w:r>
            <w:r w:rsidR="008D0D42">
              <w:rPr>
                <w:noProof/>
                <w:webHidden/>
              </w:rPr>
              <w:t>66</w:t>
            </w:r>
            <w:r w:rsidR="00D1005E">
              <w:rPr>
                <w:noProof/>
                <w:webHidden/>
              </w:rPr>
              <w:fldChar w:fldCharType="end"/>
            </w:r>
          </w:hyperlink>
        </w:p>
        <w:p w14:paraId="235AD36A" w14:textId="37996ED8" w:rsidR="00D1005E" w:rsidRDefault="009A5F60">
          <w:pPr>
            <w:pStyle w:val="TOC3"/>
            <w:tabs>
              <w:tab w:val="right" w:leader="dot" w:pos="9016"/>
            </w:tabs>
            <w:rPr>
              <w:rFonts w:eastAsiaTheme="minorEastAsia"/>
              <w:noProof/>
              <w:lang w:eastAsia="en-AU"/>
            </w:rPr>
          </w:pPr>
          <w:hyperlink w:anchor="_Toc95983410" w:history="1">
            <w:r w:rsidR="00D1005E" w:rsidRPr="00B82BDB">
              <w:rPr>
                <w:rStyle w:val="Hyperlink"/>
                <w:noProof/>
              </w:rPr>
              <w:t>Total benefits</w:t>
            </w:r>
            <w:r w:rsidR="00D1005E">
              <w:rPr>
                <w:noProof/>
                <w:webHidden/>
              </w:rPr>
              <w:tab/>
            </w:r>
            <w:r w:rsidR="00D1005E">
              <w:rPr>
                <w:noProof/>
                <w:webHidden/>
              </w:rPr>
              <w:fldChar w:fldCharType="begin"/>
            </w:r>
            <w:r w:rsidR="00D1005E">
              <w:rPr>
                <w:noProof/>
                <w:webHidden/>
              </w:rPr>
              <w:instrText xml:space="preserve"> PAGEREF _Toc95983410 \h </w:instrText>
            </w:r>
            <w:r w:rsidR="00D1005E">
              <w:rPr>
                <w:noProof/>
                <w:webHidden/>
              </w:rPr>
            </w:r>
            <w:r w:rsidR="00D1005E">
              <w:rPr>
                <w:noProof/>
                <w:webHidden/>
              </w:rPr>
              <w:fldChar w:fldCharType="separate"/>
            </w:r>
            <w:r w:rsidR="008D0D42">
              <w:rPr>
                <w:noProof/>
                <w:webHidden/>
              </w:rPr>
              <w:t>67</w:t>
            </w:r>
            <w:r w:rsidR="00D1005E">
              <w:rPr>
                <w:noProof/>
                <w:webHidden/>
              </w:rPr>
              <w:fldChar w:fldCharType="end"/>
            </w:r>
          </w:hyperlink>
        </w:p>
        <w:p w14:paraId="6E6D4BD1" w14:textId="311B5B82" w:rsidR="00D1005E" w:rsidRDefault="009A5F60">
          <w:pPr>
            <w:pStyle w:val="TOC3"/>
            <w:tabs>
              <w:tab w:val="right" w:leader="dot" w:pos="9016"/>
            </w:tabs>
            <w:rPr>
              <w:rFonts w:eastAsiaTheme="minorEastAsia"/>
              <w:noProof/>
              <w:lang w:eastAsia="en-AU"/>
            </w:rPr>
          </w:pPr>
          <w:hyperlink w:anchor="_Toc95983411" w:history="1">
            <w:r w:rsidR="00D1005E" w:rsidRPr="00B82BDB">
              <w:rPr>
                <w:rStyle w:val="Hyperlink"/>
                <w:noProof/>
              </w:rPr>
              <w:t>Distribution of benefits by sector</w:t>
            </w:r>
            <w:r w:rsidR="00D1005E">
              <w:rPr>
                <w:noProof/>
                <w:webHidden/>
              </w:rPr>
              <w:tab/>
            </w:r>
            <w:r w:rsidR="00D1005E">
              <w:rPr>
                <w:noProof/>
                <w:webHidden/>
              </w:rPr>
              <w:fldChar w:fldCharType="begin"/>
            </w:r>
            <w:r w:rsidR="00D1005E">
              <w:rPr>
                <w:noProof/>
                <w:webHidden/>
              </w:rPr>
              <w:instrText xml:space="preserve"> PAGEREF _Toc95983411 \h </w:instrText>
            </w:r>
            <w:r w:rsidR="00D1005E">
              <w:rPr>
                <w:noProof/>
                <w:webHidden/>
              </w:rPr>
            </w:r>
            <w:r w:rsidR="00D1005E">
              <w:rPr>
                <w:noProof/>
                <w:webHidden/>
              </w:rPr>
              <w:fldChar w:fldCharType="separate"/>
            </w:r>
            <w:r w:rsidR="008D0D42">
              <w:rPr>
                <w:noProof/>
                <w:webHidden/>
              </w:rPr>
              <w:t>69</w:t>
            </w:r>
            <w:r w:rsidR="00D1005E">
              <w:rPr>
                <w:noProof/>
                <w:webHidden/>
              </w:rPr>
              <w:fldChar w:fldCharType="end"/>
            </w:r>
          </w:hyperlink>
        </w:p>
        <w:p w14:paraId="7202879C" w14:textId="63B78427" w:rsidR="00D1005E" w:rsidRDefault="009A5F60">
          <w:pPr>
            <w:pStyle w:val="TOC2"/>
            <w:rPr>
              <w:rFonts w:eastAsiaTheme="minorEastAsia"/>
              <w:noProof/>
              <w:lang w:eastAsia="en-AU"/>
            </w:rPr>
          </w:pPr>
          <w:hyperlink w:anchor="_Toc95983412" w:history="1">
            <w:r w:rsidR="00D1005E" w:rsidRPr="00B82BDB">
              <w:rPr>
                <w:rStyle w:val="Hyperlink"/>
                <w:noProof/>
              </w:rPr>
              <w:t>b) Sheep</w:t>
            </w:r>
            <w:r w:rsidR="00D1005E">
              <w:rPr>
                <w:noProof/>
                <w:webHidden/>
              </w:rPr>
              <w:tab/>
            </w:r>
            <w:r w:rsidR="00D1005E">
              <w:rPr>
                <w:noProof/>
                <w:webHidden/>
              </w:rPr>
              <w:fldChar w:fldCharType="begin"/>
            </w:r>
            <w:r w:rsidR="00D1005E">
              <w:rPr>
                <w:noProof/>
                <w:webHidden/>
              </w:rPr>
              <w:instrText xml:space="preserve"> PAGEREF _Toc95983412 \h </w:instrText>
            </w:r>
            <w:r w:rsidR="00D1005E">
              <w:rPr>
                <w:noProof/>
                <w:webHidden/>
              </w:rPr>
            </w:r>
            <w:r w:rsidR="00D1005E">
              <w:rPr>
                <w:noProof/>
                <w:webHidden/>
              </w:rPr>
              <w:fldChar w:fldCharType="separate"/>
            </w:r>
            <w:r w:rsidR="008D0D42">
              <w:rPr>
                <w:noProof/>
                <w:webHidden/>
              </w:rPr>
              <w:t>70</w:t>
            </w:r>
            <w:r w:rsidR="00D1005E">
              <w:rPr>
                <w:noProof/>
                <w:webHidden/>
              </w:rPr>
              <w:fldChar w:fldCharType="end"/>
            </w:r>
          </w:hyperlink>
        </w:p>
        <w:p w14:paraId="66196115" w14:textId="7F43A484" w:rsidR="00D1005E" w:rsidRDefault="009A5F60">
          <w:pPr>
            <w:pStyle w:val="TOC3"/>
            <w:tabs>
              <w:tab w:val="right" w:leader="dot" w:pos="9016"/>
            </w:tabs>
            <w:rPr>
              <w:rFonts w:eastAsiaTheme="minorEastAsia"/>
              <w:noProof/>
              <w:lang w:eastAsia="en-AU"/>
            </w:rPr>
          </w:pPr>
          <w:hyperlink w:anchor="_Toc95983413" w:history="1">
            <w:r w:rsidR="00D1005E" w:rsidRPr="00B82BDB">
              <w:rPr>
                <w:rStyle w:val="Hyperlink"/>
                <w:noProof/>
              </w:rPr>
              <w:t>Traceability in the sheep value chain</w:t>
            </w:r>
            <w:r w:rsidR="00D1005E">
              <w:rPr>
                <w:noProof/>
                <w:webHidden/>
              </w:rPr>
              <w:tab/>
            </w:r>
            <w:r w:rsidR="00D1005E">
              <w:rPr>
                <w:noProof/>
                <w:webHidden/>
              </w:rPr>
              <w:fldChar w:fldCharType="begin"/>
            </w:r>
            <w:r w:rsidR="00D1005E">
              <w:rPr>
                <w:noProof/>
                <w:webHidden/>
              </w:rPr>
              <w:instrText xml:space="preserve"> PAGEREF _Toc95983413 \h </w:instrText>
            </w:r>
            <w:r w:rsidR="00D1005E">
              <w:rPr>
                <w:noProof/>
                <w:webHidden/>
              </w:rPr>
            </w:r>
            <w:r w:rsidR="00D1005E">
              <w:rPr>
                <w:noProof/>
                <w:webHidden/>
              </w:rPr>
              <w:fldChar w:fldCharType="separate"/>
            </w:r>
            <w:r w:rsidR="008D0D42">
              <w:rPr>
                <w:noProof/>
                <w:webHidden/>
              </w:rPr>
              <w:t>70</w:t>
            </w:r>
            <w:r w:rsidR="00D1005E">
              <w:rPr>
                <w:noProof/>
                <w:webHidden/>
              </w:rPr>
              <w:fldChar w:fldCharType="end"/>
            </w:r>
          </w:hyperlink>
        </w:p>
        <w:p w14:paraId="76AE54BE" w14:textId="0C9EB37D" w:rsidR="00D1005E" w:rsidRDefault="009A5F60">
          <w:pPr>
            <w:pStyle w:val="TOC3"/>
            <w:tabs>
              <w:tab w:val="right" w:leader="dot" w:pos="9016"/>
            </w:tabs>
            <w:rPr>
              <w:rFonts w:eastAsiaTheme="minorEastAsia"/>
              <w:noProof/>
              <w:lang w:eastAsia="en-AU"/>
            </w:rPr>
          </w:pPr>
          <w:hyperlink w:anchor="_Toc95983414" w:history="1">
            <w:r w:rsidR="00D1005E" w:rsidRPr="00B82BDB">
              <w:rPr>
                <w:rStyle w:val="Hyperlink"/>
                <w:noProof/>
              </w:rPr>
              <w:t>Flow-on or ancillary benefits</w:t>
            </w:r>
            <w:r w:rsidR="00D1005E">
              <w:rPr>
                <w:noProof/>
                <w:webHidden/>
              </w:rPr>
              <w:tab/>
            </w:r>
            <w:r w:rsidR="00D1005E">
              <w:rPr>
                <w:noProof/>
                <w:webHidden/>
              </w:rPr>
              <w:fldChar w:fldCharType="begin"/>
            </w:r>
            <w:r w:rsidR="00D1005E">
              <w:rPr>
                <w:noProof/>
                <w:webHidden/>
              </w:rPr>
              <w:instrText xml:space="preserve"> PAGEREF _Toc95983414 \h </w:instrText>
            </w:r>
            <w:r w:rsidR="00D1005E">
              <w:rPr>
                <w:noProof/>
                <w:webHidden/>
              </w:rPr>
            </w:r>
            <w:r w:rsidR="00D1005E">
              <w:rPr>
                <w:noProof/>
                <w:webHidden/>
              </w:rPr>
              <w:fldChar w:fldCharType="separate"/>
            </w:r>
            <w:r w:rsidR="008D0D42">
              <w:rPr>
                <w:noProof/>
                <w:webHidden/>
              </w:rPr>
              <w:t>70</w:t>
            </w:r>
            <w:r w:rsidR="00D1005E">
              <w:rPr>
                <w:noProof/>
                <w:webHidden/>
              </w:rPr>
              <w:fldChar w:fldCharType="end"/>
            </w:r>
          </w:hyperlink>
        </w:p>
        <w:p w14:paraId="18F5EF5E" w14:textId="3EE90010" w:rsidR="00D1005E" w:rsidRDefault="009A5F60">
          <w:pPr>
            <w:pStyle w:val="TOC3"/>
            <w:tabs>
              <w:tab w:val="right" w:leader="dot" w:pos="9016"/>
            </w:tabs>
            <w:rPr>
              <w:rFonts w:eastAsiaTheme="minorEastAsia"/>
              <w:noProof/>
              <w:lang w:eastAsia="en-AU"/>
            </w:rPr>
          </w:pPr>
          <w:hyperlink w:anchor="_Toc95983415" w:history="1">
            <w:r w:rsidR="00D1005E" w:rsidRPr="00B82BDB">
              <w:rPr>
                <w:rStyle w:val="Hyperlink"/>
                <w:noProof/>
              </w:rPr>
              <w:t>Additional data for genomic selection</w:t>
            </w:r>
            <w:r w:rsidR="00D1005E">
              <w:rPr>
                <w:noProof/>
                <w:webHidden/>
              </w:rPr>
              <w:tab/>
            </w:r>
            <w:r w:rsidR="00D1005E">
              <w:rPr>
                <w:noProof/>
                <w:webHidden/>
              </w:rPr>
              <w:fldChar w:fldCharType="begin"/>
            </w:r>
            <w:r w:rsidR="00D1005E">
              <w:rPr>
                <w:noProof/>
                <w:webHidden/>
              </w:rPr>
              <w:instrText xml:space="preserve"> PAGEREF _Toc95983415 \h </w:instrText>
            </w:r>
            <w:r w:rsidR="00D1005E">
              <w:rPr>
                <w:noProof/>
                <w:webHidden/>
              </w:rPr>
            </w:r>
            <w:r w:rsidR="00D1005E">
              <w:rPr>
                <w:noProof/>
                <w:webHidden/>
              </w:rPr>
              <w:fldChar w:fldCharType="separate"/>
            </w:r>
            <w:r w:rsidR="008D0D42">
              <w:rPr>
                <w:noProof/>
                <w:webHidden/>
              </w:rPr>
              <w:t>71</w:t>
            </w:r>
            <w:r w:rsidR="00D1005E">
              <w:rPr>
                <w:noProof/>
                <w:webHidden/>
              </w:rPr>
              <w:fldChar w:fldCharType="end"/>
            </w:r>
          </w:hyperlink>
        </w:p>
        <w:p w14:paraId="2DECA3D2" w14:textId="1988430C" w:rsidR="00D1005E" w:rsidRDefault="009A5F60">
          <w:pPr>
            <w:pStyle w:val="TOC3"/>
            <w:tabs>
              <w:tab w:val="right" w:leader="dot" w:pos="9016"/>
            </w:tabs>
            <w:rPr>
              <w:rFonts w:eastAsiaTheme="minorEastAsia"/>
              <w:noProof/>
              <w:lang w:eastAsia="en-AU"/>
            </w:rPr>
          </w:pPr>
          <w:hyperlink w:anchor="_Toc95983416" w:history="1">
            <w:r w:rsidR="00D1005E" w:rsidRPr="00B82BDB">
              <w:rPr>
                <w:rStyle w:val="Hyperlink"/>
                <w:noProof/>
              </w:rPr>
              <w:t>More informed ram buying decisions</w:t>
            </w:r>
            <w:r w:rsidR="00D1005E">
              <w:rPr>
                <w:noProof/>
                <w:webHidden/>
              </w:rPr>
              <w:tab/>
            </w:r>
            <w:r w:rsidR="00D1005E">
              <w:rPr>
                <w:noProof/>
                <w:webHidden/>
              </w:rPr>
              <w:fldChar w:fldCharType="begin"/>
            </w:r>
            <w:r w:rsidR="00D1005E">
              <w:rPr>
                <w:noProof/>
                <w:webHidden/>
              </w:rPr>
              <w:instrText xml:space="preserve"> PAGEREF _Toc95983416 \h </w:instrText>
            </w:r>
            <w:r w:rsidR="00D1005E">
              <w:rPr>
                <w:noProof/>
                <w:webHidden/>
              </w:rPr>
            </w:r>
            <w:r w:rsidR="00D1005E">
              <w:rPr>
                <w:noProof/>
                <w:webHidden/>
              </w:rPr>
              <w:fldChar w:fldCharType="separate"/>
            </w:r>
            <w:r w:rsidR="008D0D42">
              <w:rPr>
                <w:noProof/>
                <w:webHidden/>
              </w:rPr>
              <w:t>71</w:t>
            </w:r>
            <w:r w:rsidR="00D1005E">
              <w:rPr>
                <w:noProof/>
                <w:webHidden/>
              </w:rPr>
              <w:fldChar w:fldCharType="end"/>
            </w:r>
          </w:hyperlink>
        </w:p>
        <w:p w14:paraId="6A556B61" w14:textId="388DC39D" w:rsidR="00D1005E" w:rsidRDefault="009A5F60">
          <w:pPr>
            <w:pStyle w:val="TOC3"/>
            <w:tabs>
              <w:tab w:val="right" w:leader="dot" w:pos="9016"/>
            </w:tabs>
            <w:rPr>
              <w:rFonts w:eastAsiaTheme="minorEastAsia"/>
              <w:noProof/>
              <w:lang w:eastAsia="en-AU"/>
            </w:rPr>
          </w:pPr>
          <w:hyperlink w:anchor="_Toc95983417" w:history="1">
            <w:r w:rsidR="00D1005E" w:rsidRPr="00B82BDB">
              <w:rPr>
                <w:rStyle w:val="Hyperlink"/>
                <w:noProof/>
              </w:rPr>
              <w:t>Total benefits</w:t>
            </w:r>
            <w:r w:rsidR="00D1005E">
              <w:rPr>
                <w:noProof/>
                <w:webHidden/>
              </w:rPr>
              <w:tab/>
            </w:r>
            <w:r w:rsidR="00D1005E">
              <w:rPr>
                <w:noProof/>
                <w:webHidden/>
              </w:rPr>
              <w:fldChar w:fldCharType="begin"/>
            </w:r>
            <w:r w:rsidR="00D1005E">
              <w:rPr>
                <w:noProof/>
                <w:webHidden/>
              </w:rPr>
              <w:instrText xml:space="preserve"> PAGEREF _Toc95983417 \h </w:instrText>
            </w:r>
            <w:r w:rsidR="00D1005E">
              <w:rPr>
                <w:noProof/>
                <w:webHidden/>
              </w:rPr>
            </w:r>
            <w:r w:rsidR="00D1005E">
              <w:rPr>
                <w:noProof/>
                <w:webHidden/>
              </w:rPr>
              <w:fldChar w:fldCharType="separate"/>
            </w:r>
            <w:r w:rsidR="008D0D42">
              <w:rPr>
                <w:noProof/>
                <w:webHidden/>
              </w:rPr>
              <w:t>71</w:t>
            </w:r>
            <w:r w:rsidR="00D1005E">
              <w:rPr>
                <w:noProof/>
                <w:webHidden/>
              </w:rPr>
              <w:fldChar w:fldCharType="end"/>
            </w:r>
          </w:hyperlink>
        </w:p>
        <w:p w14:paraId="6A055C00" w14:textId="69D94A55" w:rsidR="00D1005E" w:rsidRDefault="009A5F60">
          <w:pPr>
            <w:pStyle w:val="TOC3"/>
            <w:tabs>
              <w:tab w:val="right" w:leader="dot" w:pos="9016"/>
            </w:tabs>
            <w:rPr>
              <w:rFonts w:eastAsiaTheme="minorEastAsia"/>
              <w:noProof/>
              <w:lang w:eastAsia="en-AU"/>
            </w:rPr>
          </w:pPr>
          <w:hyperlink w:anchor="_Toc95983418" w:history="1">
            <w:r w:rsidR="00D1005E" w:rsidRPr="00B82BDB">
              <w:rPr>
                <w:rStyle w:val="Hyperlink"/>
                <w:noProof/>
              </w:rPr>
              <w:t>Distribution of benefits by sector</w:t>
            </w:r>
            <w:r w:rsidR="00D1005E">
              <w:rPr>
                <w:noProof/>
                <w:webHidden/>
              </w:rPr>
              <w:tab/>
            </w:r>
            <w:r w:rsidR="00D1005E">
              <w:rPr>
                <w:noProof/>
                <w:webHidden/>
              </w:rPr>
              <w:fldChar w:fldCharType="begin"/>
            </w:r>
            <w:r w:rsidR="00D1005E">
              <w:rPr>
                <w:noProof/>
                <w:webHidden/>
              </w:rPr>
              <w:instrText xml:space="preserve"> PAGEREF _Toc95983418 \h </w:instrText>
            </w:r>
            <w:r w:rsidR="00D1005E">
              <w:rPr>
                <w:noProof/>
                <w:webHidden/>
              </w:rPr>
            </w:r>
            <w:r w:rsidR="00D1005E">
              <w:rPr>
                <w:noProof/>
                <w:webHidden/>
              </w:rPr>
              <w:fldChar w:fldCharType="separate"/>
            </w:r>
            <w:r w:rsidR="008D0D42">
              <w:rPr>
                <w:noProof/>
                <w:webHidden/>
              </w:rPr>
              <w:t>73</w:t>
            </w:r>
            <w:r w:rsidR="00D1005E">
              <w:rPr>
                <w:noProof/>
                <w:webHidden/>
              </w:rPr>
              <w:fldChar w:fldCharType="end"/>
            </w:r>
          </w:hyperlink>
        </w:p>
        <w:p w14:paraId="6AA75E30" w14:textId="7E118FB5" w:rsidR="00D1005E" w:rsidRDefault="009A5F60">
          <w:pPr>
            <w:pStyle w:val="TOC2"/>
            <w:rPr>
              <w:rFonts w:eastAsiaTheme="minorEastAsia"/>
              <w:noProof/>
              <w:lang w:eastAsia="en-AU"/>
            </w:rPr>
          </w:pPr>
          <w:hyperlink w:anchor="_Toc95983419" w:history="1">
            <w:r w:rsidR="00D1005E" w:rsidRPr="00B82BDB">
              <w:rPr>
                <w:rStyle w:val="Hyperlink"/>
                <w:noProof/>
              </w:rPr>
              <w:t>Other ancillary benefits</w:t>
            </w:r>
            <w:r w:rsidR="00D1005E">
              <w:rPr>
                <w:noProof/>
                <w:webHidden/>
              </w:rPr>
              <w:tab/>
            </w:r>
            <w:r w:rsidR="00D1005E">
              <w:rPr>
                <w:noProof/>
                <w:webHidden/>
              </w:rPr>
              <w:fldChar w:fldCharType="begin"/>
            </w:r>
            <w:r w:rsidR="00D1005E">
              <w:rPr>
                <w:noProof/>
                <w:webHidden/>
              </w:rPr>
              <w:instrText xml:space="preserve"> PAGEREF _Toc95983419 \h </w:instrText>
            </w:r>
            <w:r w:rsidR="00D1005E">
              <w:rPr>
                <w:noProof/>
                <w:webHidden/>
              </w:rPr>
            </w:r>
            <w:r w:rsidR="00D1005E">
              <w:rPr>
                <w:noProof/>
                <w:webHidden/>
              </w:rPr>
              <w:fldChar w:fldCharType="separate"/>
            </w:r>
            <w:r w:rsidR="008D0D42">
              <w:rPr>
                <w:noProof/>
                <w:webHidden/>
              </w:rPr>
              <w:t>73</w:t>
            </w:r>
            <w:r w:rsidR="00D1005E">
              <w:rPr>
                <w:noProof/>
                <w:webHidden/>
              </w:rPr>
              <w:fldChar w:fldCharType="end"/>
            </w:r>
          </w:hyperlink>
        </w:p>
        <w:p w14:paraId="31D550BF" w14:textId="12C35B45" w:rsidR="00D1005E" w:rsidRDefault="009A5F60">
          <w:pPr>
            <w:pStyle w:val="TOC2"/>
            <w:rPr>
              <w:rFonts w:eastAsiaTheme="minorEastAsia"/>
              <w:noProof/>
              <w:lang w:eastAsia="en-AU"/>
            </w:rPr>
          </w:pPr>
          <w:hyperlink w:anchor="_Toc95983420" w:history="1">
            <w:r w:rsidR="00D1005E" w:rsidRPr="00B82BDB">
              <w:rPr>
                <w:rStyle w:val="Hyperlink"/>
                <w:noProof/>
              </w:rPr>
              <w:t>Economic modelling - summary</w:t>
            </w:r>
            <w:r w:rsidR="00D1005E">
              <w:rPr>
                <w:noProof/>
                <w:webHidden/>
              </w:rPr>
              <w:tab/>
            </w:r>
            <w:r w:rsidR="00D1005E">
              <w:rPr>
                <w:noProof/>
                <w:webHidden/>
              </w:rPr>
              <w:fldChar w:fldCharType="begin"/>
            </w:r>
            <w:r w:rsidR="00D1005E">
              <w:rPr>
                <w:noProof/>
                <w:webHidden/>
              </w:rPr>
              <w:instrText xml:space="preserve"> PAGEREF _Toc95983420 \h </w:instrText>
            </w:r>
            <w:r w:rsidR="00D1005E">
              <w:rPr>
                <w:noProof/>
                <w:webHidden/>
              </w:rPr>
            </w:r>
            <w:r w:rsidR="00D1005E">
              <w:rPr>
                <w:noProof/>
                <w:webHidden/>
              </w:rPr>
              <w:fldChar w:fldCharType="separate"/>
            </w:r>
            <w:r w:rsidR="008D0D42">
              <w:rPr>
                <w:noProof/>
                <w:webHidden/>
              </w:rPr>
              <w:t>73</w:t>
            </w:r>
            <w:r w:rsidR="00D1005E">
              <w:rPr>
                <w:noProof/>
                <w:webHidden/>
              </w:rPr>
              <w:fldChar w:fldCharType="end"/>
            </w:r>
          </w:hyperlink>
        </w:p>
        <w:p w14:paraId="5F878C25" w14:textId="3BAFCE17" w:rsidR="00D1005E" w:rsidRDefault="009A5F60">
          <w:pPr>
            <w:pStyle w:val="TOC1"/>
            <w:rPr>
              <w:rFonts w:eastAsiaTheme="minorEastAsia"/>
              <w:lang w:eastAsia="en-AU"/>
            </w:rPr>
          </w:pPr>
          <w:hyperlink w:anchor="_Toc95983421" w:history="1">
            <w:r w:rsidR="00D1005E" w:rsidRPr="00B82BDB">
              <w:rPr>
                <w:rStyle w:val="Hyperlink"/>
              </w:rPr>
              <w:t>7.</w:t>
            </w:r>
            <w:r w:rsidR="00D1005E">
              <w:rPr>
                <w:rFonts w:eastAsiaTheme="minorEastAsia"/>
                <w:lang w:eastAsia="en-AU"/>
              </w:rPr>
              <w:tab/>
            </w:r>
            <w:r w:rsidR="00D1005E" w:rsidRPr="00B82BDB">
              <w:rPr>
                <w:rStyle w:val="Hyperlink"/>
              </w:rPr>
              <w:t>Strategic and governance dimensions</w:t>
            </w:r>
            <w:r w:rsidR="00D1005E">
              <w:rPr>
                <w:webHidden/>
              </w:rPr>
              <w:tab/>
            </w:r>
            <w:r w:rsidR="00D1005E">
              <w:rPr>
                <w:webHidden/>
              </w:rPr>
              <w:fldChar w:fldCharType="begin"/>
            </w:r>
            <w:r w:rsidR="00D1005E">
              <w:rPr>
                <w:webHidden/>
              </w:rPr>
              <w:instrText xml:space="preserve"> PAGEREF _Toc95983421 \h </w:instrText>
            </w:r>
            <w:r w:rsidR="00D1005E">
              <w:rPr>
                <w:webHidden/>
              </w:rPr>
            </w:r>
            <w:r w:rsidR="00D1005E">
              <w:rPr>
                <w:webHidden/>
              </w:rPr>
              <w:fldChar w:fldCharType="separate"/>
            </w:r>
            <w:r w:rsidR="008D0D42">
              <w:rPr>
                <w:webHidden/>
              </w:rPr>
              <w:t>76</w:t>
            </w:r>
            <w:r w:rsidR="00D1005E">
              <w:rPr>
                <w:webHidden/>
              </w:rPr>
              <w:fldChar w:fldCharType="end"/>
            </w:r>
          </w:hyperlink>
        </w:p>
        <w:p w14:paraId="6E1862B2" w14:textId="3424B852" w:rsidR="00D1005E" w:rsidRDefault="009A5F60">
          <w:pPr>
            <w:pStyle w:val="TOC2"/>
            <w:rPr>
              <w:rFonts w:eastAsiaTheme="minorEastAsia"/>
              <w:noProof/>
              <w:lang w:eastAsia="en-AU"/>
            </w:rPr>
          </w:pPr>
          <w:hyperlink w:anchor="_Toc95983422" w:history="1">
            <w:r w:rsidR="00D1005E" w:rsidRPr="00B82BDB">
              <w:rPr>
                <w:rStyle w:val="Hyperlink"/>
                <w:noProof/>
              </w:rPr>
              <w:t>Data Dependence</w:t>
            </w:r>
            <w:r w:rsidR="00D1005E">
              <w:rPr>
                <w:noProof/>
                <w:webHidden/>
              </w:rPr>
              <w:tab/>
            </w:r>
            <w:r w:rsidR="00D1005E">
              <w:rPr>
                <w:noProof/>
                <w:webHidden/>
              </w:rPr>
              <w:fldChar w:fldCharType="begin"/>
            </w:r>
            <w:r w:rsidR="00D1005E">
              <w:rPr>
                <w:noProof/>
                <w:webHidden/>
              </w:rPr>
              <w:instrText xml:space="preserve"> PAGEREF _Toc95983422 \h </w:instrText>
            </w:r>
            <w:r w:rsidR="00D1005E">
              <w:rPr>
                <w:noProof/>
                <w:webHidden/>
              </w:rPr>
            </w:r>
            <w:r w:rsidR="00D1005E">
              <w:rPr>
                <w:noProof/>
                <w:webHidden/>
              </w:rPr>
              <w:fldChar w:fldCharType="separate"/>
            </w:r>
            <w:r w:rsidR="008D0D42">
              <w:rPr>
                <w:noProof/>
                <w:webHidden/>
              </w:rPr>
              <w:t>76</w:t>
            </w:r>
            <w:r w:rsidR="00D1005E">
              <w:rPr>
                <w:noProof/>
                <w:webHidden/>
              </w:rPr>
              <w:fldChar w:fldCharType="end"/>
            </w:r>
          </w:hyperlink>
        </w:p>
        <w:p w14:paraId="388F3F26" w14:textId="0341DFDF" w:rsidR="00D1005E" w:rsidRDefault="009A5F60">
          <w:pPr>
            <w:pStyle w:val="TOC1"/>
            <w:rPr>
              <w:rFonts w:eastAsiaTheme="minorEastAsia"/>
              <w:lang w:eastAsia="en-AU"/>
            </w:rPr>
          </w:pPr>
          <w:hyperlink w:anchor="_Toc95983423" w:history="1">
            <w:r w:rsidR="00D1005E" w:rsidRPr="00B82BDB">
              <w:rPr>
                <w:rStyle w:val="Hyperlink"/>
              </w:rPr>
              <w:t>8.</w:t>
            </w:r>
            <w:r w:rsidR="00D1005E">
              <w:rPr>
                <w:rFonts w:eastAsiaTheme="minorEastAsia"/>
                <w:lang w:eastAsia="en-AU"/>
              </w:rPr>
              <w:tab/>
            </w:r>
            <w:r w:rsidR="00D1005E" w:rsidRPr="00B82BDB">
              <w:rPr>
                <w:rStyle w:val="Hyperlink"/>
              </w:rPr>
              <w:t>Risks and opportunities</w:t>
            </w:r>
            <w:r w:rsidR="00D1005E">
              <w:rPr>
                <w:webHidden/>
              </w:rPr>
              <w:tab/>
            </w:r>
            <w:r w:rsidR="00D1005E">
              <w:rPr>
                <w:webHidden/>
              </w:rPr>
              <w:fldChar w:fldCharType="begin"/>
            </w:r>
            <w:r w:rsidR="00D1005E">
              <w:rPr>
                <w:webHidden/>
              </w:rPr>
              <w:instrText xml:space="preserve"> PAGEREF _Toc95983423 \h </w:instrText>
            </w:r>
            <w:r w:rsidR="00D1005E">
              <w:rPr>
                <w:webHidden/>
              </w:rPr>
            </w:r>
            <w:r w:rsidR="00D1005E">
              <w:rPr>
                <w:webHidden/>
              </w:rPr>
              <w:fldChar w:fldCharType="separate"/>
            </w:r>
            <w:r w:rsidR="008D0D42">
              <w:rPr>
                <w:webHidden/>
              </w:rPr>
              <w:t>78</w:t>
            </w:r>
            <w:r w:rsidR="00D1005E">
              <w:rPr>
                <w:webHidden/>
              </w:rPr>
              <w:fldChar w:fldCharType="end"/>
            </w:r>
          </w:hyperlink>
        </w:p>
        <w:p w14:paraId="6A7671A3" w14:textId="64310FC6" w:rsidR="00D1005E" w:rsidRDefault="009A5F60">
          <w:pPr>
            <w:pStyle w:val="TOC2"/>
            <w:rPr>
              <w:rFonts w:eastAsiaTheme="minorEastAsia"/>
              <w:noProof/>
              <w:lang w:eastAsia="en-AU"/>
            </w:rPr>
          </w:pPr>
          <w:hyperlink w:anchor="_Toc95983424" w:history="1">
            <w:r w:rsidR="00D1005E" w:rsidRPr="00B82BDB">
              <w:rPr>
                <w:rStyle w:val="Hyperlink"/>
                <w:noProof/>
              </w:rPr>
              <w:t>Economies of scale</w:t>
            </w:r>
            <w:r w:rsidR="00D1005E">
              <w:rPr>
                <w:noProof/>
                <w:webHidden/>
              </w:rPr>
              <w:tab/>
            </w:r>
            <w:r w:rsidR="00D1005E">
              <w:rPr>
                <w:noProof/>
                <w:webHidden/>
              </w:rPr>
              <w:fldChar w:fldCharType="begin"/>
            </w:r>
            <w:r w:rsidR="00D1005E">
              <w:rPr>
                <w:noProof/>
                <w:webHidden/>
              </w:rPr>
              <w:instrText xml:space="preserve"> PAGEREF _Toc95983424 \h </w:instrText>
            </w:r>
            <w:r w:rsidR="00D1005E">
              <w:rPr>
                <w:noProof/>
                <w:webHidden/>
              </w:rPr>
            </w:r>
            <w:r w:rsidR="00D1005E">
              <w:rPr>
                <w:noProof/>
                <w:webHidden/>
              </w:rPr>
              <w:fldChar w:fldCharType="separate"/>
            </w:r>
            <w:r w:rsidR="008D0D42">
              <w:rPr>
                <w:noProof/>
                <w:webHidden/>
              </w:rPr>
              <w:t>78</w:t>
            </w:r>
            <w:r w:rsidR="00D1005E">
              <w:rPr>
                <w:noProof/>
                <w:webHidden/>
              </w:rPr>
              <w:fldChar w:fldCharType="end"/>
            </w:r>
          </w:hyperlink>
        </w:p>
        <w:p w14:paraId="5CF27C70" w14:textId="5EC13A6A" w:rsidR="00D1005E" w:rsidRDefault="009A5F60">
          <w:pPr>
            <w:pStyle w:val="TOC2"/>
            <w:rPr>
              <w:rFonts w:eastAsiaTheme="minorEastAsia"/>
              <w:noProof/>
              <w:lang w:eastAsia="en-AU"/>
            </w:rPr>
          </w:pPr>
          <w:hyperlink w:anchor="_Toc95983425" w:history="1">
            <w:r w:rsidR="00D1005E" w:rsidRPr="00B82BDB">
              <w:rPr>
                <w:rStyle w:val="Hyperlink"/>
                <w:noProof/>
              </w:rPr>
              <w:t>Potential role of reduced SNP panels</w:t>
            </w:r>
            <w:r w:rsidR="00D1005E">
              <w:rPr>
                <w:noProof/>
                <w:webHidden/>
              </w:rPr>
              <w:tab/>
            </w:r>
            <w:r w:rsidR="00D1005E">
              <w:rPr>
                <w:noProof/>
                <w:webHidden/>
              </w:rPr>
              <w:fldChar w:fldCharType="begin"/>
            </w:r>
            <w:r w:rsidR="00D1005E">
              <w:rPr>
                <w:noProof/>
                <w:webHidden/>
              </w:rPr>
              <w:instrText xml:space="preserve"> PAGEREF _Toc95983425 \h </w:instrText>
            </w:r>
            <w:r w:rsidR="00D1005E">
              <w:rPr>
                <w:noProof/>
                <w:webHidden/>
              </w:rPr>
            </w:r>
            <w:r w:rsidR="00D1005E">
              <w:rPr>
                <w:noProof/>
                <w:webHidden/>
              </w:rPr>
              <w:fldChar w:fldCharType="separate"/>
            </w:r>
            <w:r w:rsidR="008D0D42">
              <w:rPr>
                <w:noProof/>
                <w:webHidden/>
              </w:rPr>
              <w:t>78</w:t>
            </w:r>
            <w:r w:rsidR="00D1005E">
              <w:rPr>
                <w:noProof/>
                <w:webHidden/>
              </w:rPr>
              <w:fldChar w:fldCharType="end"/>
            </w:r>
          </w:hyperlink>
        </w:p>
        <w:p w14:paraId="5D9CC90D" w14:textId="0FF77019" w:rsidR="00D1005E" w:rsidRDefault="009A5F60">
          <w:pPr>
            <w:pStyle w:val="TOC2"/>
            <w:rPr>
              <w:rFonts w:eastAsiaTheme="minorEastAsia"/>
              <w:noProof/>
              <w:lang w:eastAsia="en-AU"/>
            </w:rPr>
          </w:pPr>
          <w:hyperlink w:anchor="_Toc95983426" w:history="1">
            <w:r w:rsidR="00D1005E" w:rsidRPr="00B82BDB">
              <w:rPr>
                <w:rStyle w:val="Hyperlink"/>
                <w:noProof/>
              </w:rPr>
              <w:t>Data standards</w:t>
            </w:r>
            <w:r w:rsidR="00D1005E">
              <w:rPr>
                <w:noProof/>
                <w:webHidden/>
              </w:rPr>
              <w:tab/>
            </w:r>
            <w:r w:rsidR="00D1005E">
              <w:rPr>
                <w:noProof/>
                <w:webHidden/>
              </w:rPr>
              <w:fldChar w:fldCharType="begin"/>
            </w:r>
            <w:r w:rsidR="00D1005E">
              <w:rPr>
                <w:noProof/>
                <w:webHidden/>
              </w:rPr>
              <w:instrText xml:space="preserve"> PAGEREF _Toc95983426 \h </w:instrText>
            </w:r>
            <w:r w:rsidR="00D1005E">
              <w:rPr>
                <w:noProof/>
                <w:webHidden/>
              </w:rPr>
            </w:r>
            <w:r w:rsidR="00D1005E">
              <w:rPr>
                <w:noProof/>
                <w:webHidden/>
              </w:rPr>
              <w:fldChar w:fldCharType="separate"/>
            </w:r>
            <w:r w:rsidR="008D0D42">
              <w:rPr>
                <w:noProof/>
                <w:webHidden/>
              </w:rPr>
              <w:t>79</w:t>
            </w:r>
            <w:r w:rsidR="00D1005E">
              <w:rPr>
                <w:noProof/>
                <w:webHidden/>
              </w:rPr>
              <w:fldChar w:fldCharType="end"/>
            </w:r>
          </w:hyperlink>
        </w:p>
        <w:p w14:paraId="62D9D4EF" w14:textId="27270353" w:rsidR="00D1005E" w:rsidRDefault="009A5F60">
          <w:pPr>
            <w:pStyle w:val="TOC2"/>
            <w:rPr>
              <w:rFonts w:eastAsiaTheme="minorEastAsia"/>
              <w:noProof/>
              <w:lang w:eastAsia="en-AU"/>
            </w:rPr>
          </w:pPr>
          <w:hyperlink w:anchor="_Toc95983427" w:history="1">
            <w:r w:rsidR="00D1005E" w:rsidRPr="00B82BDB">
              <w:rPr>
                <w:rStyle w:val="Hyperlink"/>
                <w:noProof/>
              </w:rPr>
              <w:t xml:space="preserve">National system </w:t>
            </w:r>
            <w:r w:rsidR="00D1005E" w:rsidRPr="00B82BDB">
              <w:rPr>
                <w:rStyle w:val="Hyperlink"/>
                <w:i/>
                <w:iCs/>
                <w:noProof/>
              </w:rPr>
              <w:t>vs</w:t>
            </w:r>
            <w:r w:rsidR="00D1005E" w:rsidRPr="00B82BDB">
              <w:rPr>
                <w:rStyle w:val="Hyperlink"/>
                <w:noProof/>
              </w:rPr>
              <w:t xml:space="preserve"> fragmentation</w:t>
            </w:r>
            <w:r w:rsidR="00D1005E">
              <w:rPr>
                <w:noProof/>
                <w:webHidden/>
              </w:rPr>
              <w:tab/>
            </w:r>
            <w:r w:rsidR="00D1005E">
              <w:rPr>
                <w:noProof/>
                <w:webHidden/>
              </w:rPr>
              <w:fldChar w:fldCharType="begin"/>
            </w:r>
            <w:r w:rsidR="00D1005E">
              <w:rPr>
                <w:noProof/>
                <w:webHidden/>
              </w:rPr>
              <w:instrText xml:space="preserve"> PAGEREF _Toc95983427 \h </w:instrText>
            </w:r>
            <w:r w:rsidR="00D1005E">
              <w:rPr>
                <w:noProof/>
                <w:webHidden/>
              </w:rPr>
            </w:r>
            <w:r w:rsidR="00D1005E">
              <w:rPr>
                <w:noProof/>
                <w:webHidden/>
              </w:rPr>
              <w:fldChar w:fldCharType="separate"/>
            </w:r>
            <w:r w:rsidR="008D0D42">
              <w:rPr>
                <w:noProof/>
                <w:webHidden/>
              </w:rPr>
              <w:t>79</w:t>
            </w:r>
            <w:r w:rsidR="00D1005E">
              <w:rPr>
                <w:noProof/>
                <w:webHidden/>
              </w:rPr>
              <w:fldChar w:fldCharType="end"/>
            </w:r>
          </w:hyperlink>
        </w:p>
        <w:p w14:paraId="59CAAD2A" w14:textId="7693212F" w:rsidR="00D1005E" w:rsidRDefault="009A5F60">
          <w:pPr>
            <w:pStyle w:val="TOC2"/>
            <w:rPr>
              <w:rFonts w:eastAsiaTheme="minorEastAsia"/>
              <w:noProof/>
              <w:lang w:eastAsia="en-AU"/>
            </w:rPr>
          </w:pPr>
          <w:hyperlink w:anchor="_Toc95983428" w:history="1">
            <w:r w:rsidR="00D1005E" w:rsidRPr="00B82BDB">
              <w:rPr>
                <w:rStyle w:val="Hyperlink"/>
                <w:noProof/>
              </w:rPr>
              <w:t>NLIS in sheep</w:t>
            </w:r>
            <w:r w:rsidR="00D1005E">
              <w:rPr>
                <w:noProof/>
                <w:webHidden/>
              </w:rPr>
              <w:tab/>
            </w:r>
            <w:r w:rsidR="00D1005E">
              <w:rPr>
                <w:noProof/>
                <w:webHidden/>
              </w:rPr>
              <w:fldChar w:fldCharType="begin"/>
            </w:r>
            <w:r w:rsidR="00D1005E">
              <w:rPr>
                <w:noProof/>
                <w:webHidden/>
              </w:rPr>
              <w:instrText xml:space="preserve"> PAGEREF _Toc95983428 \h </w:instrText>
            </w:r>
            <w:r w:rsidR="00D1005E">
              <w:rPr>
                <w:noProof/>
                <w:webHidden/>
              </w:rPr>
            </w:r>
            <w:r w:rsidR="00D1005E">
              <w:rPr>
                <w:noProof/>
                <w:webHidden/>
              </w:rPr>
              <w:fldChar w:fldCharType="separate"/>
            </w:r>
            <w:r w:rsidR="008D0D42">
              <w:rPr>
                <w:noProof/>
                <w:webHidden/>
              </w:rPr>
              <w:t>80</w:t>
            </w:r>
            <w:r w:rsidR="00D1005E">
              <w:rPr>
                <w:noProof/>
                <w:webHidden/>
              </w:rPr>
              <w:fldChar w:fldCharType="end"/>
            </w:r>
          </w:hyperlink>
        </w:p>
        <w:p w14:paraId="4F620404" w14:textId="401D5D69" w:rsidR="00D1005E" w:rsidRDefault="009A5F60">
          <w:pPr>
            <w:pStyle w:val="TOC2"/>
            <w:rPr>
              <w:rFonts w:eastAsiaTheme="minorEastAsia"/>
              <w:noProof/>
              <w:lang w:eastAsia="en-AU"/>
            </w:rPr>
          </w:pPr>
          <w:hyperlink w:anchor="_Toc95983429" w:history="1">
            <w:r w:rsidR="00D1005E" w:rsidRPr="00B82BDB">
              <w:rPr>
                <w:rStyle w:val="Hyperlink"/>
                <w:noProof/>
              </w:rPr>
              <w:t>Selection for disease resistance</w:t>
            </w:r>
            <w:r w:rsidR="00D1005E">
              <w:rPr>
                <w:noProof/>
                <w:webHidden/>
              </w:rPr>
              <w:tab/>
            </w:r>
            <w:r w:rsidR="00D1005E">
              <w:rPr>
                <w:noProof/>
                <w:webHidden/>
              </w:rPr>
              <w:fldChar w:fldCharType="begin"/>
            </w:r>
            <w:r w:rsidR="00D1005E">
              <w:rPr>
                <w:noProof/>
                <w:webHidden/>
              </w:rPr>
              <w:instrText xml:space="preserve"> PAGEREF _Toc95983429 \h </w:instrText>
            </w:r>
            <w:r w:rsidR="00D1005E">
              <w:rPr>
                <w:noProof/>
                <w:webHidden/>
              </w:rPr>
            </w:r>
            <w:r w:rsidR="00D1005E">
              <w:rPr>
                <w:noProof/>
                <w:webHidden/>
              </w:rPr>
              <w:fldChar w:fldCharType="separate"/>
            </w:r>
            <w:r w:rsidR="008D0D42">
              <w:rPr>
                <w:noProof/>
                <w:webHidden/>
              </w:rPr>
              <w:t>80</w:t>
            </w:r>
            <w:r w:rsidR="00D1005E">
              <w:rPr>
                <w:noProof/>
                <w:webHidden/>
              </w:rPr>
              <w:fldChar w:fldCharType="end"/>
            </w:r>
          </w:hyperlink>
        </w:p>
        <w:p w14:paraId="7E40EC89" w14:textId="17A97AE8" w:rsidR="00D1005E" w:rsidRDefault="009A5F60">
          <w:pPr>
            <w:pStyle w:val="TOC2"/>
            <w:rPr>
              <w:rFonts w:eastAsiaTheme="minorEastAsia"/>
              <w:noProof/>
              <w:lang w:eastAsia="en-AU"/>
            </w:rPr>
          </w:pPr>
          <w:hyperlink w:anchor="_Toc95983430" w:history="1">
            <w:r w:rsidR="00D1005E" w:rsidRPr="00B82BDB">
              <w:rPr>
                <w:rStyle w:val="Hyperlink"/>
                <w:noProof/>
              </w:rPr>
              <w:t>Distribution of benefits</w:t>
            </w:r>
            <w:r w:rsidR="00D1005E">
              <w:rPr>
                <w:noProof/>
                <w:webHidden/>
              </w:rPr>
              <w:tab/>
            </w:r>
            <w:r w:rsidR="00D1005E">
              <w:rPr>
                <w:noProof/>
                <w:webHidden/>
              </w:rPr>
              <w:fldChar w:fldCharType="begin"/>
            </w:r>
            <w:r w:rsidR="00D1005E">
              <w:rPr>
                <w:noProof/>
                <w:webHidden/>
              </w:rPr>
              <w:instrText xml:space="preserve"> PAGEREF _Toc95983430 \h </w:instrText>
            </w:r>
            <w:r w:rsidR="00D1005E">
              <w:rPr>
                <w:noProof/>
                <w:webHidden/>
              </w:rPr>
            </w:r>
            <w:r w:rsidR="00D1005E">
              <w:rPr>
                <w:noProof/>
                <w:webHidden/>
              </w:rPr>
              <w:fldChar w:fldCharType="separate"/>
            </w:r>
            <w:r w:rsidR="008D0D42">
              <w:rPr>
                <w:noProof/>
                <w:webHidden/>
              </w:rPr>
              <w:t>80</w:t>
            </w:r>
            <w:r w:rsidR="00D1005E">
              <w:rPr>
                <w:noProof/>
                <w:webHidden/>
              </w:rPr>
              <w:fldChar w:fldCharType="end"/>
            </w:r>
          </w:hyperlink>
        </w:p>
        <w:p w14:paraId="1BBF30DE" w14:textId="41F834D8" w:rsidR="00D1005E" w:rsidRDefault="009A5F60">
          <w:pPr>
            <w:pStyle w:val="TOC2"/>
            <w:rPr>
              <w:rFonts w:eastAsiaTheme="minorEastAsia"/>
              <w:noProof/>
              <w:lang w:eastAsia="en-AU"/>
            </w:rPr>
          </w:pPr>
          <w:hyperlink w:anchor="_Toc95983431" w:history="1">
            <w:r w:rsidR="00D1005E" w:rsidRPr="00B82BDB">
              <w:rPr>
                <w:rStyle w:val="Hyperlink"/>
                <w:noProof/>
              </w:rPr>
              <w:t>Replace existing system, or extend/enhance it?</w:t>
            </w:r>
            <w:r w:rsidR="00D1005E">
              <w:rPr>
                <w:noProof/>
                <w:webHidden/>
              </w:rPr>
              <w:tab/>
            </w:r>
            <w:r w:rsidR="00D1005E">
              <w:rPr>
                <w:noProof/>
                <w:webHidden/>
              </w:rPr>
              <w:fldChar w:fldCharType="begin"/>
            </w:r>
            <w:r w:rsidR="00D1005E">
              <w:rPr>
                <w:noProof/>
                <w:webHidden/>
              </w:rPr>
              <w:instrText xml:space="preserve"> PAGEREF _Toc95983431 \h </w:instrText>
            </w:r>
            <w:r w:rsidR="00D1005E">
              <w:rPr>
                <w:noProof/>
                <w:webHidden/>
              </w:rPr>
            </w:r>
            <w:r w:rsidR="00D1005E">
              <w:rPr>
                <w:noProof/>
                <w:webHidden/>
              </w:rPr>
              <w:fldChar w:fldCharType="separate"/>
            </w:r>
            <w:r w:rsidR="008D0D42">
              <w:rPr>
                <w:noProof/>
                <w:webHidden/>
              </w:rPr>
              <w:t>82</w:t>
            </w:r>
            <w:r w:rsidR="00D1005E">
              <w:rPr>
                <w:noProof/>
                <w:webHidden/>
              </w:rPr>
              <w:fldChar w:fldCharType="end"/>
            </w:r>
          </w:hyperlink>
        </w:p>
        <w:p w14:paraId="10C27A1C" w14:textId="07CFEC3A" w:rsidR="00D1005E" w:rsidRDefault="009A5F60">
          <w:pPr>
            <w:pStyle w:val="TOC2"/>
            <w:rPr>
              <w:rFonts w:eastAsiaTheme="minorEastAsia"/>
              <w:noProof/>
              <w:lang w:eastAsia="en-AU"/>
            </w:rPr>
          </w:pPr>
          <w:hyperlink w:anchor="_Toc95983432" w:history="1">
            <w:r w:rsidR="00D1005E" w:rsidRPr="00B82BDB">
              <w:rPr>
                <w:rStyle w:val="Hyperlink"/>
                <w:noProof/>
              </w:rPr>
              <w:t>National governance and data rights</w:t>
            </w:r>
            <w:r w:rsidR="00D1005E">
              <w:rPr>
                <w:noProof/>
                <w:webHidden/>
              </w:rPr>
              <w:tab/>
            </w:r>
            <w:r w:rsidR="00D1005E">
              <w:rPr>
                <w:noProof/>
                <w:webHidden/>
              </w:rPr>
              <w:fldChar w:fldCharType="begin"/>
            </w:r>
            <w:r w:rsidR="00D1005E">
              <w:rPr>
                <w:noProof/>
                <w:webHidden/>
              </w:rPr>
              <w:instrText xml:space="preserve"> PAGEREF _Toc95983432 \h </w:instrText>
            </w:r>
            <w:r w:rsidR="00D1005E">
              <w:rPr>
                <w:noProof/>
                <w:webHidden/>
              </w:rPr>
            </w:r>
            <w:r w:rsidR="00D1005E">
              <w:rPr>
                <w:noProof/>
                <w:webHidden/>
              </w:rPr>
              <w:fldChar w:fldCharType="separate"/>
            </w:r>
            <w:r w:rsidR="008D0D42">
              <w:rPr>
                <w:noProof/>
                <w:webHidden/>
              </w:rPr>
              <w:t>82</w:t>
            </w:r>
            <w:r w:rsidR="00D1005E">
              <w:rPr>
                <w:noProof/>
                <w:webHidden/>
              </w:rPr>
              <w:fldChar w:fldCharType="end"/>
            </w:r>
          </w:hyperlink>
        </w:p>
        <w:p w14:paraId="0FD34643" w14:textId="57803DEB" w:rsidR="00D1005E" w:rsidRDefault="009A5F60">
          <w:pPr>
            <w:pStyle w:val="TOC2"/>
            <w:rPr>
              <w:rFonts w:eastAsiaTheme="minorEastAsia"/>
              <w:noProof/>
              <w:lang w:eastAsia="en-AU"/>
            </w:rPr>
          </w:pPr>
          <w:hyperlink w:anchor="_Toc95983433" w:history="1">
            <w:r w:rsidR="00D1005E" w:rsidRPr="00B82BDB">
              <w:rPr>
                <w:rStyle w:val="Hyperlink"/>
                <w:noProof/>
              </w:rPr>
              <w:t>Catalytic or transformative opportunities</w:t>
            </w:r>
            <w:r w:rsidR="00D1005E">
              <w:rPr>
                <w:noProof/>
                <w:webHidden/>
              </w:rPr>
              <w:tab/>
            </w:r>
            <w:r w:rsidR="00D1005E">
              <w:rPr>
                <w:noProof/>
                <w:webHidden/>
              </w:rPr>
              <w:fldChar w:fldCharType="begin"/>
            </w:r>
            <w:r w:rsidR="00D1005E">
              <w:rPr>
                <w:noProof/>
                <w:webHidden/>
              </w:rPr>
              <w:instrText xml:space="preserve"> PAGEREF _Toc95983433 \h </w:instrText>
            </w:r>
            <w:r w:rsidR="00D1005E">
              <w:rPr>
                <w:noProof/>
                <w:webHidden/>
              </w:rPr>
            </w:r>
            <w:r w:rsidR="00D1005E">
              <w:rPr>
                <w:noProof/>
                <w:webHidden/>
              </w:rPr>
              <w:fldChar w:fldCharType="separate"/>
            </w:r>
            <w:r w:rsidR="008D0D42">
              <w:rPr>
                <w:noProof/>
                <w:webHidden/>
              </w:rPr>
              <w:t>83</w:t>
            </w:r>
            <w:r w:rsidR="00D1005E">
              <w:rPr>
                <w:noProof/>
                <w:webHidden/>
              </w:rPr>
              <w:fldChar w:fldCharType="end"/>
            </w:r>
          </w:hyperlink>
        </w:p>
        <w:p w14:paraId="373B33C2" w14:textId="00ECA540" w:rsidR="00D1005E" w:rsidRDefault="009A5F60">
          <w:pPr>
            <w:pStyle w:val="TOC1"/>
            <w:rPr>
              <w:rFonts w:eastAsiaTheme="minorEastAsia"/>
              <w:lang w:eastAsia="en-AU"/>
            </w:rPr>
          </w:pPr>
          <w:hyperlink w:anchor="_Toc95983434" w:history="1">
            <w:r w:rsidR="00D1005E" w:rsidRPr="00B82BDB">
              <w:rPr>
                <w:rStyle w:val="Hyperlink"/>
              </w:rPr>
              <w:t>9.</w:t>
            </w:r>
            <w:r w:rsidR="00D1005E">
              <w:rPr>
                <w:rFonts w:eastAsiaTheme="minorEastAsia"/>
                <w:lang w:eastAsia="en-AU"/>
              </w:rPr>
              <w:tab/>
            </w:r>
            <w:r w:rsidR="00D1005E" w:rsidRPr="00B82BDB">
              <w:rPr>
                <w:rStyle w:val="Hyperlink"/>
              </w:rPr>
              <w:t>Implementation pathway</w:t>
            </w:r>
            <w:r w:rsidR="00D1005E">
              <w:rPr>
                <w:webHidden/>
              </w:rPr>
              <w:tab/>
            </w:r>
            <w:r w:rsidR="00D1005E">
              <w:rPr>
                <w:webHidden/>
              </w:rPr>
              <w:fldChar w:fldCharType="begin"/>
            </w:r>
            <w:r w:rsidR="00D1005E">
              <w:rPr>
                <w:webHidden/>
              </w:rPr>
              <w:instrText xml:space="preserve"> PAGEREF _Toc95983434 \h </w:instrText>
            </w:r>
            <w:r w:rsidR="00D1005E">
              <w:rPr>
                <w:webHidden/>
              </w:rPr>
            </w:r>
            <w:r w:rsidR="00D1005E">
              <w:rPr>
                <w:webHidden/>
              </w:rPr>
              <w:fldChar w:fldCharType="separate"/>
            </w:r>
            <w:r w:rsidR="008D0D42">
              <w:rPr>
                <w:webHidden/>
              </w:rPr>
              <w:t>84</w:t>
            </w:r>
            <w:r w:rsidR="00D1005E">
              <w:rPr>
                <w:webHidden/>
              </w:rPr>
              <w:fldChar w:fldCharType="end"/>
            </w:r>
          </w:hyperlink>
        </w:p>
        <w:p w14:paraId="753D74E3" w14:textId="4D5D4EEA" w:rsidR="00D1005E" w:rsidRDefault="009A5F60">
          <w:pPr>
            <w:pStyle w:val="TOC2"/>
            <w:rPr>
              <w:rFonts w:eastAsiaTheme="minorEastAsia"/>
              <w:noProof/>
              <w:lang w:eastAsia="en-AU"/>
            </w:rPr>
          </w:pPr>
          <w:hyperlink w:anchor="_Toc95983435" w:history="1">
            <w:r w:rsidR="00D1005E" w:rsidRPr="00B82BDB">
              <w:rPr>
                <w:rStyle w:val="Hyperlink"/>
                <w:bCs/>
                <w:noProof/>
              </w:rPr>
              <w:t>Recommendation</w:t>
            </w:r>
            <w:r w:rsidR="00D1005E">
              <w:rPr>
                <w:noProof/>
                <w:webHidden/>
              </w:rPr>
              <w:tab/>
            </w:r>
            <w:r w:rsidR="00D1005E">
              <w:rPr>
                <w:noProof/>
                <w:webHidden/>
              </w:rPr>
              <w:fldChar w:fldCharType="begin"/>
            </w:r>
            <w:r w:rsidR="00D1005E">
              <w:rPr>
                <w:noProof/>
                <w:webHidden/>
              </w:rPr>
              <w:instrText xml:space="preserve"> PAGEREF _Toc95983435 \h </w:instrText>
            </w:r>
            <w:r w:rsidR="00D1005E">
              <w:rPr>
                <w:noProof/>
                <w:webHidden/>
              </w:rPr>
            </w:r>
            <w:r w:rsidR="00D1005E">
              <w:rPr>
                <w:noProof/>
                <w:webHidden/>
              </w:rPr>
              <w:fldChar w:fldCharType="separate"/>
            </w:r>
            <w:r w:rsidR="008D0D42">
              <w:rPr>
                <w:noProof/>
                <w:webHidden/>
              </w:rPr>
              <w:t>84</w:t>
            </w:r>
            <w:r w:rsidR="00D1005E">
              <w:rPr>
                <w:noProof/>
                <w:webHidden/>
              </w:rPr>
              <w:fldChar w:fldCharType="end"/>
            </w:r>
          </w:hyperlink>
        </w:p>
        <w:p w14:paraId="51BA1962" w14:textId="6A8CED96" w:rsidR="00D1005E" w:rsidRDefault="009A5F60">
          <w:pPr>
            <w:pStyle w:val="TOC3"/>
            <w:tabs>
              <w:tab w:val="right" w:leader="dot" w:pos="9016"/>
            </w:tabs>
            <w:rPr>
              <w:rFonts w:eastAsiaTheme="minorEastAsia"/>
              <w:noProof/>
              <w:lang w:eastAsia="en-AU"/>
            </w:rPr>
          </w:pPr>
          <w:hyperlink w:anchor="_Toc95983436" w:history="1">
            <w:r w:rsidR="00D1005E" w:rsidRPr="00B82BDB">
              <w:rPr>
                <w:rStyle w:val="Hyperlink"/>
                <w:bCs/>
                <w:noProof/>
              </w:rPr>
              <w:t>Simulated tracing</w:t>
            </w:r>
            <w:r w:rsidR="00D1005E">
              <w:rPr>
                <w:noProof/>
                <w:webHidden/>
              </w:rPr>
              <w:tab/>
            </w:r>
            <w:r w:rsidR="00D1005E">
              <w:rPr>
                <w:noProof/>
                <w:webHidden/>
              </w:rPr>
              <w:fldChar w:fldCharType="begin"/>
            </w:r>
            <w:r w:rsidR="00D1005E">
              <w:rPr>
                <w:noProof/>
                <w:webHidden/>
              </w:rPr>
              <w:instrText xml:space="preserve"> PAGEREF _Toc95983436 \h </w:instrText>
            </w:r>
            <w:r w:rsidR="00D1005E">
              <w:rPr>
                <w:noProof/>
                <w:webHidden/>
              </w:rPr>
            </w:r>
            <w:r w:rsidR="00D1005E">
              <w:rPr>
                <w:noProof/>
                <w:webHidden/>
              </w:rPr>
              <w:fldChar w:fldCharType="separate"/>
            </w:r>
            <w:r w:rsidR="008D0D42">
              <w:rPr>
                <w:noProof/>
                <w:webHidden/>
              </w:rPr>
              <w:t>85</w:t>
            </w:r>
            <w:r w:rsidR="00D1005E">
              <w:rPr>
                <w:noProof/>
                <w:webHidden/>
              </w:rPr>
              <w:fldChar w:fldCharType="end"/>
            </w:r>
          </w:hyperlink>
        </w:p>
        <w:p w14:paraId="6B6C943F" w14:textId="416429BC" w:rsidR="00D1005E" w:rsidRDefault="009A5F60">
          <w:pPr>
            <w:pStyle w:val="TOC3"/>
            <w:tabs>
              <w:tab w:val="right" w:leader="dot" w:pos="9016"/>
            </w:tabs>
            <w:rPr>
              <w:rFonts w:eastAsiaTheme="minorEastAsia"/>
              <w:noProof/>
              <w:lang w:eastAsia="en-AU"/>
            </w:rPr>
          </w:pPr>
          <w:hyperlink w:anchor="_Toc95983437" w:history="1">
            <w:r w:rsidR="00D1005E" w:rsidRPr="00B82BDB">
              <w:rPr>
                <w:rStyle w:val="Hyperlink"/>
                <w:bCs/>
                <w:noProof/>
              </w:rPr>
              <w:t>Timeline</w:t>
            </w:r>
            <w:r w:rsidR="00D1005E">
              <w:rPr>
                <w:noProof/>
                <w:webHidden/>
              </w:rPr>
              <w:tab/>
            </w:r>
            <w:r w:rsidR="00D1005E">
              <w:rPr>
                <w:noProof/>
                <w:webHidden/>
              </w:rPr>
              <w:fldChar w:fldCharType="begin"/>
            </w:r>
            <w:r w:rsidR="00D1005E">
              <w:rPr>
                <w:noProof/>
                <w:webHidden/>
              </w:rPr>
              <w:instrText xml:space="preserve"> PAGEREF _Toc95983437 \h </w:instrText>
            </w:r>
            <w:r w:rsidR="00D1005E">
              <w:rPr>
                <w:noProof/>
                <w:webHidden/>
              </w:rPr>
            </w:r>
            <w:r w:rsidR="00D1005E">
              <w:rPr>
                <w:noProof/>
                <w:webHidden/>
              </w:rPr>
              <w:fldChar w:fldCharType="separate"/>
            </w:r>
            <w:r w:rsidR="008D0D42">
              <w:rPr>
                <w:noProof/>
                <w:webHidden/>
              </w:rPr>
              <w:t>85</w:t>
            </w:r>
            <w:r w:rsidR="00D1005E">
              <w:rPr>
                <w:noProof/>
                <w:webHidden/>
              </w:rPr>
              <w:fldChar w:fldCharType="end"/>
            </w:r>
          </w:hyperlink>
        </w:p>
        <w:p w14:paraId="3F803850" w14:textId="6EB5872E" w:rsidR="00D1005E" w:rsidRDefault="009A5F60">
          <w:pPr>
            <w:pStyle w:val="TOC1"/>
            <w:rPr>
              <w:rFonts w:eastAsiaTheme="minorEastAsia"/>
              <w:lang w:eastAsia="en-AU"/>
            </w:rPr>
          </w:pPr>
          <w:hyperlink w:anchor="_Toc95983438" w:history="1">
            <w:r w:rsidR="00D1005E" w:rsidRPr="00B82BDB">
              <w:rPr>
                <w:rStyle w:val="Hyperlink"/>
              </w:rPr>
              <w:t>Appendix 1.  Survey methodology</w:t>
            </w:r>
            <w:r w:rsidR="00D1005E">
              <w:rPr>
                <w:webHidden/>
              </w:rPr>
              <w:tab/>
            </w:r>
            <w:r w:rsidR="00D1005E">
              <w:rPr>
                <w:webHidden/>
              </w:rPr>
              <w:fldChar w:fldCharType="begin"/>
            </w:r>
            <w:r w:rsidR="00D1005E">
              <w:rPr>
                <w:webHidden/>
              </w:rPr>
              <w:instrText xml:space="preserve"> PAGEREF _Toc95983438 \h </w:instrText>
            </w:r>
            <w:r w:rsidR="00D1005E">
              <w:rPr>
                <w:webHidden/>
              </w:rPr>
            </w:r>
            <w:r w:rsidR="00D1005E">
              <w:rPr>
                <w:webHidden/>
              </w:rPr>
              <w:fldChar w:fldCharType="separate"/>
            </w:r>
            <w:r w:rsidR="008D0D42">
              <w:rPr>
                <w:webHidden/>
              </w:rPr>
              <w:t>86</w:t>
            </w:r>
            <w:r w:rsidR="00D1005E">
              <w:rPr>
                <w:webHidden/>
              </w:rPr>
              <w:fldChar w:fldCharType="end"/>
            </w:r>
          </w:hyperlink>
        </w:p>
        <w:p w14:paraId="34FD1F9E" w14:textId="0E09860E" w:rsidR="00D1005E" w:rsidRDefault="009A5F60">
          <w:pPr>
            <w:pStyle w:val="TOC1"/>
            <w:rPr>
              <w:rFonts w:eastAsiaTheme="minorEastAsia"/>
              <w:lang w:eastAsia="en-AU"/>
            </w:rPr>
          </w:pPr>
          <w:hyperlink w:anchor="_Toc95983439" w:history="1">
            <w:r w:rsidR="00D1005E" w:rsidRPr="00B82BDB">
              <w:rPr>
                <w:rStyle w:val="Hyperlink"/>
              </w:rPr>
              <w:t>Appendix 2.  The value of data</w:t>
            </w:r>
            <w:r w:rsidR="00D1005E">
              <w:rPr>
                <w:webHidden/>
              </w:rPr>
              <w:tab/>
            </w:r>
            <w:r w:rsidR="00D1005E">
              <w:rPr>
                <w:webHidden/>
              </w:rPr>
              <w:fldChar w:fldCharType="begin"/>
            </w:r>
            <w:r w:rsidR="00D1005E">
              <w:rPr>
                <w:webHidden/>
              </w:rPr>
              <w:instrText xml:space="preserve"> PAGEREF _Toc95983439 \h </w:instrText>
            </w:r>
            <w:r w:rsidR="00D1005E">
              <w:rPr>
                <w:webHidden/>
              </w:rPr>
            </w:r>
            <w:r w:rsidR="00D1005E">
              <w:rPr>
                <w:webHidden/>
              </w:rPr>
              <w:fldChar w:fldCharType="separate"/>
            </w:r>
            <w:r w:rsidR="008D0D42">
              <w:rPr>
                <w:webHidden/>
              </w:rPr>
              <w:t>89</w:t>
            </w:r>
            <w:r w:rsidR="00D1005E">
              <w:rPr>
                <w:webHidden/>
              </w:rPr>
              <w:fldChar w:fldCharType="end"/>
            </w:r>
          </w:hyperlink>
        </w:p>
        <w:p w14:paraId="6DB2BFF8" w14:textId="2780AB84" w:rsidR="00D1005E" w:rsidRDefault="009A5F60">
          <w:pPr>
            <w:pStyle w:val="TOC1"/>
            <w:rPr>
              <w:rFonts w:eastAsiaTheme="minorEastAsia"/>
              <w:lang w:eastAsia="en-AU"/>
            </w:rPr>
          </w:pPr>
          <w:hyperlink w:anchor="_Toc95983440" w:history="1">
            <w:r w:rsidR="00D1005E" w:rsidRPr="00B82BDB">
              <w:rPr>
                <w:rStyle w:val="Hyperlink"/>
              </w:rPr>
              <w:t>Appendix 3.  Modelling genetic benefits</w:t>
            </w:r>
            <w:r w:rsidR="00D1005E">
              <w:rPr>
                <w:webHidden/>
              </w:rPr>
              <w:tab/>
            </w:r>
            <w:r w:rsidR="00D1005E">
              <w:rPr>
                <w:webHidden/>
              </w:rPr>
              <w:fldChar w:fldCharType="begin"/>
            </w:r>
            <w:r w:rsidR="00D1005E">
              <w:rPr>
                <w:webHidden/>
              </w:rPr>
              <w:instrText xml:space="preserve"> PAGEREF _Toc95983440 \h </w:instrText>
            </w:r>
            <w:r w:rsidR="00D1005E">
              <w:rPr>
                <w:webHidden/>
              </w:rPr>
            </w:r>
            <w:r w:rsidR="00D1005E">
              <w:rPr>
                <w:webHidden/>
              </w:rPr>
              <w:fldChar w:fldCharType="separate"/>
            </w:r>
            <w:r w:rsidR="008D0D42">
              <w:rPr>
                <w:webHidden/>
              </w:rPr>
              <w:t>91</w:t>
            </w:r>
            <w:r w:rsidR="00D1005E">
              <w:rPr>
                <w:webHidden/>
              </w:rPr>
              <w:fldChar w:fldCharType="end"/>
            </w:r>
          </w:hyperlink>
        </w:p>
        <w:p w14:paraId="7D7B898C" w14:textId="60A4D1CB" w:rsidR="00D1005E" w:rsidRDefault="009A5F60">
          <w:pPr>
            <w:pStyle w:val="TOC1"/>
            <w:rPr>
              <w:rFonts w:eastAsiaTheme="minorEastAsia"/>
              <w:lang w:eastAsia="en-AU"/>
            </w:rPr>
          </w:pPr>
          <w:hyperlink w:anchor="_Toc95983441" w:history="1">
            <w:r w:rsidR="00D1005E" w:rsidRPr="00B82BDB">
              <w:rPr>
                <w:rStyle w:val="Hyperlink"/>
              </w:rPr>
              <w:t>Appendix 4.  Modelling genomic screening for management</w:t>
            </w:r>
            <w:r w:rsidR="00D1005E">
              <w:rPr>
                <w:webHidden/>
              </w:rPr>
              <w:tab/>
            </w:r>
            <w:r w:rsidR="00D1005E">
              <w:rPr>
                <w:webHidden/>
              </w:rPr>
              <w:fldChar w:fldCharType="begin"/>
            </w:r>
            <w:r w:rsidR="00D1005E">
              <w:rPr>
                <w:webHidden/>
              </w:rPr>
              <w:instrText xml:space="preserve"> PAGEREF _Toc95983441 \h </w:instrText>
            </w:r>
            <w:r w:rsidR="00D1005E">
              <w:rPr>
                <w:webHidden/>
              </w:rPr>
            </w:r>
            <w:r w:rsidR="00D1005E">
              <w:rPr>
                <w:webHidden/>
              </w:rPr>
              <w:fldChar w:fldCharType="separate"/>
            </w:r>
            <w:r w:rsidR="008D0D42">
              <w:rPr>
                <w:webHidden/>
              </w:rPr>
              <w:t>95</w:t>
            </w:r>
            <w:r w:rsidR="00D1005E">
              <w:rPr>
                <w:webHidden/>
              </w:rPr>
              <w:fldChar w:fldCharType="end"/>
            </w:r>
          </w:hyperlink>
        </w:p>
        <w:p w14:paraId="0758B4D4" w14:textId="67A5B571" w:rsidR="00D1005E" w:rsidRDefault="009A5F60">
          <w:pPr>
            <w:pStyle w:val="TOC1"/>
            <w:rPr>
              <w:rFonts w:eastAsiaTheme="minorEastAsia"/>
              <w:lang w:eastAsia="en-AU"/>
            </w:rPr>
          </w:pPr>
          <w:hyperlink w:anchor="_Toc95983442" w:history="1">
            <w:r w:rsidR="00D1005E" w:rsidRPr="00B82BDB">
              <w:rPr>
                <w:rStyle w:val="Hyperlink"/>
              </w:rPr>
              <w:t>Appendix 5. A possible framework for using Flock Profiling for traceability</w:t>
            </w:r>
            <w:r w:rsidR="00D1005E">
              <w:rPr>
                <w:webHidden/>
              </w:rPr>
              <w:tab/>
            </w:r>
            <w:r w:rsidR="00D1005E">
              <w:rPr>
                <w:webHidden/>
              </w:rPr>
              <w:fldChar w:fldCharType="begin"/>
            </w:r>
            <w:r w:rsidR="00D1005E">
              <w:rPr>
                <w:webHidden/>
              </w:rPr>
              <w:instrText xml:space="preserve"> PAGEREF _Toc95983442 \h </w:instrText>
            </w:r>
            <w:r w:rsidR="00D1005E">
              <w:rPr>
                <w:webHidden/>
              </w:rPr>
            </w:r>
            <w:r w:rsidR="00D1005E">
              <w:rPr>
                <w:webHidden/>
              </w:rPr>
              <w:fldChar w:fldCharType="separate"/>
            </w:r>
            <w:r w:rsidR="008D0D42">
              <w:rPr>
                <w:webHidden/>
              </w:rPr>
              <w:t>97</w:t>
            </w:r>
            <w:r w:rsidR="00D1005E">
              <w:rPr>
                <w:webHidden/>
              </w:rPr>
              <w:fldChar w:fldCharType="end"/>
            </w:r>
          </w:hyperlink>
        </w:p>
        <w:p w14:paraId="711DCAF5" w14:textId="2815ABD5" w:rsidR="00D1005E" w:rsidRDefault="009A5F60">
          <w:pPr>
            <w:pStyle w:val="TOC1"/>
            <w:rPr>
              <w:rFonts w:eastAsiaTheme="minorEastAsia"/>
              <w:lang w:eastAsia="en-AU"/>
            </w:rPr>
          </w:pPr>
          <w:hyperlink w:anchor="_Toc95983443" w:history="1">
            <w:r w:rsidR="00D1005E" w:rsidRPr="00B82BDB">
              <w:rPr>
                <w:rStyle w:val="Hyperlink"/>
              </w:rPr>
              <w:t>Appendix 6. Making use of genomic information in the Irish cattle industry</w:t>
            </w:r>
            <w:r w:rsidR="00D1005E">
              <w:rPr>
                <w:webHidden/>
              </w:rPr>
              <w:tab/>
            </w:r>
            <w:r w:rsidR="00D1005E">
              <w:rPr>
                <w:webHidden/>
              </w:rPr>
              <w:fldChar w:fldCharType="begin"/>
            </w:r>
            <w:r w:rsidR="00D1005E">
              <w:rPr>
                <w:webHidden/>
              </w:rPr>
              <w:instrText xml:space="preserve"> PAGEREF _Toc95983443 \h </w:instrText>
            </w:r>
            <w:r w:rsidR="00D1005E">
              <w:rPr>
                <w:webHidden/>
              </w:rPr>
            </w:r>
            <w:r w:rsidR="00D1005E">
              <w:rPr>
                <w:webHidden/>
              </w:rPr>
              <w:fldChar w:fldCharType="separate"/>
            </w:r>
            <w:r w:rsidR="008D0D42">
              <w:rPr>
                <w:webHidden/>
              </w:rPr>
              <w:t>98</w:t>
            </w:r>
            <w:r w:rsidR="00D1005E">
              <w:rPr>
                <w:webHidden/>
              </w:rPr>
              <w:fldChar w:fldCharType="end"/>
            </w:r>
          </w:hyperlink>
        </w:p>
        <w:p w14:paraId="303F7B3D" w14:textId="1EFFFDB6" w:rsidR="00A36043" w:rsidRDefault="00A36043">
          <w:r>
            <w:rPr>
              <w:b/>
              <w:bCs/>
              <w:noProof/>
            </w:rPr>
            <w:lastRenderedPageBreak/>
            <w:fldChar w:fldCharType="end"/>
          </w:r>
        </w:p>
      </w:sdtContent>
    </w:sdt>
    <w:p w14:paraId="4F09674C" w14:textId="771C0C18" w:rsidR="009E6019" w:rsidRDefault="009E6019">
      <w:pPr>
        <w:rPr>
          <w:b/>
          <w:bCs/>
        </w:rPr>
      </w:pPr>
    </w:p>
    <w:p w14:paraId="06642530" w14:textId="39B95095" w:rsidR="009E6019" w:rsidRPr="00874DE5" w:rsidRDefault="00874DE5" w:rsidP="00874DE5">
      <w:pPr>
        <w:rPr>
          <w:b/>
          <w:bCs/>
          <w:color w:val="0070C0"/>
          <w:sz w:val="32"/>
          <w:szCs w:val="32"/>
        </w:rPr>
      </w:pPr>
      <w:bookmarkStart w:id="1" w:name="_Hlk88592787"/>
      <w:r w:rsidRPr="00874DE5">
        <w:rPr>
          <w:b/>
          <w:bCs/>
          <w:color w:val="0070C0"/>
          <w:sz w:val="32"/>
          <w:szCs w:val="32"/>
        </w:rPr>
        <w:t xml:space="preserve">List of </w:t>
      </w:r>
      <w:r w:rsidR="009E6019" w:rsidRPr="00874DE5">
        <w:rPr>
          <w:b/>
          <w:bCs/>
          <w:color w:val="0070C0"/>
          <w:sz w:val="32"/>
          <w:szCs w:val="32"/>
        </w:rPr>
        <w:t>Tables</w:t>
      </w:r>
    </w:p>
    <w:bookmarkEnd w:id="1"/>
    <w:p w14:paraId="11FD0C29" w14:textId="77777777" w:rsidR="001D79AC" w:rsidRDefault="001D79AC">
      <w:pPr>
        <w:rPr>
          <w:b/>
          <w:bCs/>
        </w:rPr>
      </w:pPr>
    </w:p>
    <w:p w14:paraId="5484FC16" w14:textId="55B82C32" w:rsidR="00D1005E" w:rsidRDefault="009E6019">
      <w:pPr>
        <w:pStyle w:val="TableofFigures"/>
        <w:tabs>
          <w:tab w:val="right" w:leader="dot" w:pos="9016"/>
        </w:tabs>
        <w:rPr>
          <w:rFonts w:eastAsiaTheme="minorEastAsia"/>
          <w:noProof/>
          <w:lang w:eastAsia="en-AU"/>
        </w:rPr>
      </w:pPr>
      <w:r>
        <w:rPr>
          <w:b/>
          <w:bCs/>
        </w:rPr>
        <w:fldChar w:fldCharType="begin"/>
      </w:r>
      <w:r>
        <w:rPr>
          <w:b/>
          <w:bCs/>
        </w:rPr>
        <w:instrText xml:space="preserve"> TOC \c "Table" </w:instrText>
      </w:r>
      <w:r>
        <w:rPr>
          <w:b/>
          <w:bCs/>
        </w:rPr>
        <w:fldChar w:fldCharType="separate"/>
      </w:r>
      <w:r w:rsidR="00D1005E">
        <w:rPr>
          <w:noProof/>
        </w:rPr>
        <w:t>Table 1. Estimated costs and benefits using genotyping to aid traceability.</w:t>
      </w:r>
      <w:r w:rsidR="00D1005E">
        <w:rPr>
          <w:noProof/>
        </w:rPr>
        <w:tab/>
      </w:r>
      <w:r w:rsidR="00D1005E">
        <w:rPr>
          <w:noProof/>
        </w:rPr>
        <w:fldChar w:fldCharType="begin"/>
      </w:r>
      <w:r w:rsidR="00D1005E">
        <w:rPr>
          <w:noProof/>
        </w:rPr>
        <w:instrText xml:space="preserve"> PAGEREF _Toc95983444 \h </w:instrText>
      </w:r>
      <w:r w:rsidR="00D1005E">
        <w:rPr>
          <w:noProof/>
        </w:rPr>
      </w:r>
      <w:r w:rsidR="00D1005E">
        <w:rPr>
          <w:noProof/>
        </w:rPr>
        <w:fldChar w:fldCharType="separate"/>
      </w:r>
      <w:r w:rsidR="008D0D42">
        <w:rPr>
          <w:noProof/>
        </w:rPr>
        <w:t>64</w:t>
      </w:r>
      <w:r w:rsidR="00D1005E">
        <w:rPr>
          <w:noProof/>
        </w:rPr>
        <w:fldChar w:fldCharType="end"/>
      </w:r>
    </w:p>
    <w:p w14:paraId="0CC7CAF0" w14:textId="12D3824D" w:rsidR="00D1005E" w:rsidRDefault="00D1005E">
      <w:pPr>
        <w:pStyle w:val="TableofFigures"/>
        <w:tabs>
          <w:tab w:val="right" w:leader="dot" w:pos="9016"/>
        </w:tabs>
        <w:rPr>
          <w:rFonts w:eastAsiaTheme="minorEastAsia"/>
          <w:noProof/>
          <w:lang w:eastAsia="en-AU"/>
        </w:rPr>
      </w:pPr>
      <w:r>
        <w:rPr>
          <w:noProof/>
        </w:rPr>
        <w:t>Table 2. Net benefits of using genotyping as an aid to traceability in beef.</w:t>
      </w:r>
      <w:r>
        <w:rPr>
          <w:noProof/>
        </w:rPr>
        <w:tab/>
      </w:r>
      <w:r>
        <w:rPr>
          <w:noProof/>
        </w:rPr>
        <w:fldChar w:fldCharType="begin"/>
      </w:r>
      <w:r>
        <w:rPr>
          <w:noProof/>
        </w:rPr>
        <w:instrText xml:space="preserve"> PAGEREF _Toc95983445 \h </w:instrText>
      </w:r>
      <w:r>
        <w:rPr>
          <w:noProof/>
        </w:rPr>
      </w:r>
      <w:r>
        <w:rPr>
          <w:noProof/>
        </w:rPr>
        <w:fldChar w:fldCharType="separate"/>
      </w:r>
      <w:r w:rsidR="008D0D42">
        <w:rPr>
          <w:noProof/>
        </w:rPr>
        <w:t>68</w:t>
      </w:r>
      <w:r>
        <w:rPr>
          <w:noProof/>
        </w:rPr>
        <w:fldChar w:fldCharType="end"/>
      </w:r>
    </w:p>
    <w:p w14:paraId="67C0FEB9" w14:textId="7C88FFF8" w:rsidR="00D1005E" w:rsidRDefault="00D1005E">
      <w:pPr>
        <w:pStyle w:val="TableofFigures"/>
        <w:tabs>
          <w:tab w:val="right" w:leader="dot" w:pos="9016"/>
        </w:tabs>
        <w:rPr>
          <w:rFonts w:eastAsiaTheme="minorEastAsia"/>
          <w:noProof/>
          <w:lang w:eastAsia="en-AU"/>
        </w:rPr>
      </w:pPr>
      <w:r>
        <w:rPr>
          <w:noProof/>
        </w:rPr>
        <w:t>Table 3. Net benefits of using genotyping as an aid to traceability in sheep.</w:t>
      </w:r>
      <w:r>
        <w:rPr>
          <w:noProof/>
        </w:rPr>
        <w:tab/>
      </w:r>
      <w:r>
        <w:rPr>
          <w:noProof/>
        </w:rPr>
        <w:fldChar w:fldCharType="begin"/>
      </w:r>
      <w:r>
        <w:rPr>
          <w:noProof/>
        </w:rPr>
        <w:instrText xml:space="preserve"> PAGEREF _Toc95983446 \h </w:instrText>
      </w:r>
      <w:r>
        <w:rPr>
          <w:noProof/>
        </w:rPr>
      </w:r>
      <w:r>
        <w:rPr>
          <w:noProof/>
        </w:rPr>
        <w:fldChar w:fldCharType="separate"/>
      </w:r>
      <w:r w:rsidR="008D0D42">
        <w:rPr>
          <w:noProof/>
        </w:rPr>
        <w:t>72</w:t>
      </w:r>
      <w:r>
        <w:rPr>
          <w:noProof/>
        </w:rPr>
        <w:fldChar w:fldCharType="end"/>
      </w:r>
    </w:p>
    <w:p w14:paraId="5F475BE2" w14:textId="71F8FF7B" w:rsidR="00B85AE9" w:rsidRDefault="009E6019">
      <w:pPr>
        <w:rPr>
          <w:b/>
          <w:bCs/>
        </w:rPr>
      </w:pPr>
      <w:r>
        <w:rPr>
          <w:b/>
          <w:bCs/>
        </w:rPr>
        <w:fldChar w:fldCharType="end"/>
      </w:r>
    </w:p>
    <w:p w14:paraId="31267335" w14:textId="2B70097F" w:rsidR="00154FAF" w:rsidRPr="00874DE5" w:rsidRDefault="00154FAF" w:rsidP="00154FAF">
      <w:pPr>
        <w:rPr>
          <w:b/>
          <w:bCs/>
          <w:color w:val="0070C0"/>
          <w:sz w:val="32"/>
          <w:szCs w:val="32"/>
        </w:rPr>
      </w:pPr>
      <w:r w:rsidRPr="00874DE5">
        <w:rPr>
          <w:b/>
          <w:bCs/>
          <w:color w:val="0070C0"/>
          <w:sz w:val="32"/>
          <w:szCs w:val="32"/>
        </w:rPr>
        <w:t xml:space="preserve">List of </w:t>
      </w:r>
      <w:r>
        <w:rPr>
          <w:b/>
          <w:bCs/>
          <w:color w:val="0070C0"/>
          <w:sz w:val="32"/>
          <w:szCs w:val="32"/>
        </w:rPr>
        <w:t>Figures</w:t>
      </w:r>
    </w:p>
    <w:p w14:paraId="05B2A311" w14:textId="77777777" w:rsidR="00154FAF" w:rsidRPr="00577199" w:rsidRDefault="00154FAF" w:rsidP="00577199"/>
    <w:p w14:paraId="65D37038" w14:textId="17BA7877" w:rsidR="00D1005E" w:rsidRDefault="000C4B11">
      <w:pPr>
        <w:pStyle w:val="TableofFigures"/>
        <w:tabs>
          <w:tab w:val="right" w:leader="dot" w:pos="9016"/>
        </w:tabs>
        <w:rPr>
          <w:rFonts w:eastAsiaTheme="minorEastAsia"/>
          <w:noProof/>
          <w:lang w:eastAsia="en-AU"/>
        </w:rPr>
      </w:pPr>
      <w:r>
        <w:rPr>
          <w:b/>
          <w:bCs/>
        </w:rPr>
        <w:fldChar w:fldCharType="begin"/>
      </w:r>
      <w:r>
        <w:rPr>
          <w:b/>
          <w:bCs/>
        </w:rPr>
        <w:instrText xml:space="preserve"> TOC \h \z \c "Figure" </w:instrText>
      </w:r>
      <w:r>
        <w:rPr>
          <w:b/>
          <w:bCs/>
        </w:rPr>
        <w:fldChar w:fldCharType="separate"/>
      </w:r>
      <w:hyperlink w:anchor="_Toc95983447" w:history="1">
        <w:r w:rsidR="00D1005E" w:rsidRPr="004860D7">
          <w:rPr>
            <w:rStyle w:val="Hyperlink"/>
            <w:noProof/>
          </w:rPr>
          <w:t>Figure 1.  Sectors of the beef and sheep industries</w:t>
        </w:r>
        <w:r w:rsidR="00D1005E">
          <w:rPr>
            <w:noProof/>
            <w:webHidden/>
          </w:rPr>
          <w:tab/>
        </w:r>
        <w:r w:rsidR="00D1005E">
          <w:rPr>
            <w:noProof/>
            <w:webHidden/>
          </w:rPr>
          <w:fldChar w:fldCharType="begin"/>
        </w:r>
        <w:r w:rsidR="00D1005E">
          <w:rPr>
            <w:noProof/>
            <w:webHidden/>
          </w:rPr>
          <w:instrText xml:space="preserve"> PAGEREF _Toc95983447 \h </w:instrText>
        </w:r>
        <w:r w:rsidR="00D1005E">
          <w:rPr>
            <w:noProof/>
            <w:webHidden/>
          </w:rPr>
        </w:r>
        <w:r w:rsidR="00D1005E">
          <w:rPr>
            <w:noProof/>
            <w:webHidden/>
          </w:rPr>
          <w:fldChar w:fldCharType="separate"/>
        </w:r>
        <w:r w:rsidR="008D0D42">
          <w:rPr>
            <w:noProof/>
            <w:webHidden/>
          </w:rPr>
          <w:t>17</w:t>
        </w:r>
        <w:r w:rsidR="00D1005E">
          <w:rPr>
            <w:noProof/>
            <w:webHidden/>
          </w:rPr>
          <w:fldChar w:fldCharType="end"/>
        </w:r>
      </w:hyperlink>
    </w:p>
    <w:p w14:paraId="7B84FAB1" w14:textId="52F39FF7" w:rsidR="00D1005E" w:rsidRDefault="009A5F60">
      <w:pPr>
        <w:pStyle w:val="TableofFigures"/>
        <w:tabs>
          <w:tab w:val="right" w:leader="dot" w:pos="9016"/>
        </w:tabs>
        <w:rPr>
          <w:rFonts w:eastAsiaTheme="minorEastAsia"/>
          <w:noProof/>
          <w:lang w:eastAsia="en-AU"/>
        </w:rPr>
      </w:pPr>
      <w:hyperlink w:anchor="_Toc95983448" w:history="1">
        <w:r w:rsidR="00D1005E" w:rsidRPr="004860D7">
          <w:rPr>
            <w:rStyle w:val="Hyperlink"/>
            <w:noProof/>
          </w:rPr>
          <w:t>Figure 2.  Distribution of beef cattle and sheep by State</w:t>
        </w:r>
        <w:r w:rsidR="00D1005E">
          <w:rPr>
            <w:noProof/>
            <w:webHidden/>
          </w:rPr>
          <w:tab/>
        </w:r>
        <w:r w:rsidR="00D1005E">
          <w:rPr>
            <w:noProof/>
            <w:webHidden/>
          </w:rPr>
          <w:fldChar w:fldCharType="begin"/>
        </w:r>
        <w:r w:rsidR="00D1005E">
          <w:rPr>
            <w:noProof/>
            <w:webHidden/>
          </w:rPr>
          <w:instrText xml:space="preserve"> PAGEREF _Toc95983448 \h </w:instrText>
        </w:r>
        <w:r w:rsidR="00D1005E">
          <w:rPr>
            <w:noProof/>
            <w:webHidden/>
          </w:rPr>
        </w:r>
        <w:r w:rsidR="00D1005E">
          <w:rPr>
            <w:noProof/>
            <w:webHidden/>
          </w:rPr>
          <w:fldChar w:fldCharType="separate"/>
        </w:r>
        <w:r w:rsidR="008D0D42">
          <w:rPr>
            <w:noProof/>
            <w:webHidden/>
          </w:rPr>
          <w:t>19</w:t>
        </w:r>
        <w:r w:rsidR="00D1005E">
          <w:rPr>
            <w:noProof/>
            <w:webHidden/>
          </w:rPr>
          <w:fldChar w:fldCharType="end"/>
        </w:r>
      </w:hyperlink>
    </w:p>
    <w:p w14:paraId="37925D26" w14:textId="04849283" w:rsidR="00D1005E" w:rsidRDefault="009A5F60">
      <w:pPr>
        <w:pStyle w:val="TableofFigures"/>
        <w:tabs>
          <w:tab w:val="right" w:leader="dot" w:pos="9016"/>
        </w:tabs>
        <w:rPr>
          <w:rFonts w:eastAsiaTheme="minorEastAsia"/>
          <w:noProof/>
          <w:lang w:eastAsia="en-AU"/>
        </w:rPr>
      </w:pPr>
      <w:hyperlink w:anchor="_Toc95983449" w:history="1">
        <w:r w:rsidR="00D1005E" w:rsidRPr="004860D7">
          <w:rPr>
            <w:rStyle w:val="Hyperlink"/>
            <w:noProof/>
          </w:rPr>
          <w:t>Figure 3. Contribution to national industry output in 2019-2020 according to farm size for sheep and cattle</w:t>
        </w:r>
        <w:r w:rsidR="00D1005E">
          <w:rPr>
            <w:noProof/>
            <w:webHidden/>
          </w:rPr>
          <w:tab/>
        </w:r>
        <w:r w:rsidR="00D1005E">
          <w:rPr>
            <w:noProof/>
            <w:webHidden/>
          </w:rPr>
          <w:fldChar w:fldCharType="begin"/>
        </w:r>
        <w:r w:rsidR="00D1005E">
          <w:rPr>
            <w:noProof/>
            <w:webHidden/>
          </w:rPr>
          <w:instrText xml:space="preserve"> PAGEREF _Toc95983449 \h </w:instrText>
        </w:r>
        <w:r w:rsidR="00D1005E">
          <w:rPr>
            <w:noProof/>
            <w:webHidden/>
          </w:rPr>
        </w:r>
        <w:r w:rsidR="00D1005E">
          <w:rPr>
            <w:noProof/>
            <w:webHidden/>
          </w:rPr>
          <w:fldChar w:fldCharType="separate"/>
        </w:r>
        <w:r w:rsidR="008D0D42">
          <w:rPr>
            <w:noProof/>
            <w:webHidden/>
          </w:rPr>
          <w:t>20</w:t>
        </w:r>
        <w:r w:rsidR="00D1005E">
          <w:rPr>
            <w:noProof/>
            <w:webHidden/>
          </w:rPr>
          <w:fldChar w:fldCharType="end"/>
        </w:r>
      </w:hyperlink>
    </w:p>
    <w:p w14:paraId="050C5699" w14:textId="1DAE70F1" w:rsidR="00D1005E" w:rsidRDefault="009A5F60">
      <w:pPr>
        <w:pStyle w:val="TableofFigures"/>
        <w:tabs>
          <w:tab w:val="right" w:leader="dot" w:pos="9016"/>
        </w:tabs>
        <w:rPr>
          <w:rFonts w:eastAsiaTheme="minorEastAsia"/>
          <w:noProof/>
          <w:lang w:eastAsia="en-AU"/>
        </w:rPr>
      </w:pPr>
      <w:hyperlink w:anchor="_Toc95983450" w:history="1">
        <w:r w:rsidR="00D1005E" w:rsidRPr="004860D7">
          <w:rPr>
            <w:rStyle w:val="Hyperlink"/>
            <w:noProof/>
          </w:rPr>
          <w:t>Figure 4.  The TSW Trace™ system.</w:t>
        </w:r>
        <w:r w:rsidR="00D1005E">
          <w:rPr>
            <w:noProof/>
            <w:webHidden/>
          </w:rPr>
          <w:tab/>
        </w:r>
        <w:r w:rsidR="00D1005E">
          <w:rPr>
            <w:noProof/>
            <w:webHidden/>
          </w:rPr>
          <w:fldChar w:fldCharType="begin"/>
        </w:r>
        <w:r w:rsidR="00D1005E">
          <w:rPr>
            <w:noProof/>
            <w:webHidden/>
          </w:rPr>
          <w:instrText xml:space="preserve"> PAGEREF _Toc95983450 \h </w:instrText>
        </w:r>
        <w:r w:rsidR="00D1005E">
          <w:rPr>
            <w:noProof/>
            <w:webHidden/>
          </w:rPr>
        </w:r>
        <w:r w:rsidR="00D1005E">
          <w:rPr>
            <w:noProof/>
            <w:webHidden/>
          </w:rPr>
          <w:fldChar w:fldCharType="separate"/>
        </w:r>
        <w:r w:rsidR="008D0D42">
          <w:rPr>
            <w:noProof/>
            <w:webHidden/>
          </w:rPr>
          <w:t>28</w:t>
        </w:r>
        <w:r w:rsidR="00D1005E">
          <w:rPr>
            <w:noProof/>
            <w:webHidden/>
          </w:rPr>
          <w:fldChar w:fldCharType="end"/>
        </w:r>
      </w:hyperlink>
    </w:p>
    <w:p w14:paraId="4562CC40" w14:textId="65EDC7BE" w:rsidR="00D1005E" w:rsidRDefault="009A5F60">
      <w:pPr>
        <w:pStyle w:val="TableofFigures"/>
        <w:tabs>
          <w:tab w:val="right" w:leader="dot" w:pos="9016"/>
        </w:tabs>
        <w:rPr>
          <w:rFonts w:eastAsiaTheme="minorEastAsia"/>
          <w:noProof/>
          <w:lang w:eastAsia="en-AU"/>
        </w:rPr>
      </w:pPr>
      <w:hyperlink w:anchor="_Toc95983451" w:history="1">
        <w:r w:rsidR="00D1005E" w:rsidRPr="004860D7">
          <w:rPr>
            <w:rStyle w:val="Hyperlink"/>
            <w:noProof/>
          </w:rPr>
          <w:t>Figure 5.  Flow of animals, products and information between sectors, showing benefits from genomic identification</w:t>
        </w:r>
        <w:r w:rsidR="00D1005E">
          <w:rPr>
            <w:noProof/>
            <w:webHidden/>
          </w:rPr>
          <w:tab/>
        </w:r>
        <w:r w:rsidR="00D1005E">
          <w:rPr>
            <w:noProof/>
            <w:webHidden/>
          </w:rPr>
          <w:fldChar w:fldCharType="begin"/>
        </w:r>
        <w:r w:rsidR="00D1005E">
          <w:rPr>
            <w:noProof/>
            <w:webHidden/>
          </w:rPr>
          <w:instrText xml:space="preserve"> PAGEREF _Toc95983451 \h </w:instrText>
        </w:r>
        <w:r w:rsidR="00D1005E">
          <w:rPr>
            <w:noProof/>
            <w:webHidden/>
          </w:rPr>
        </w:r>
        <w:r w:rsidR="00D1005E">
          <w:rPr>
            <w:noProof/>
            <w:webHidden/>
          </w:rPr>
          <w:fldChar w:fldCharType="separate"/>
        </w:r>
        <w:r w:rsidR="008D0D42">
          <w:rPr>
            <w:noProof/>
            <w:webHidden/>
          </w:rPr>
          <w:t>32</w:t>
        </w:r>
        <w:r w:rsidR="00D1005E">
          <w:rPr>
            <w:noProof/>
            <w:webHidden/>
          </w:rPr>
          <w:fldChar w:fldCharType="end"/>
        </w:r>
      </w:hyperlink>
    </w:p>
    <w:p w14:paraId="7A429494" w14:textId="2951E971" w:rsidR="00D1005E" w:rsidRDefault="009A5F60">
      <w:pPr>
        <w:pStyle w:val="TableofFigures"/>
        <w:tabs>
          <w:tab w:val="right" w:leader="dot" w:pos="9016"/>
        </w:tabs>
        <w:rPr>
          <w:rFonts w:eastAsiaTheme="minorEastAsia"/>
          <w:noProof/>
          <w:lang w:eastAsia="en-AU"/>
        </w:rPr>
      </w:pPr>
      <w:hyperlink w:anchor="_Toc95983452" w:history="1">
        <w:r w:rsidR="00D1005E" w:rsidRPr="004860D7">
          <w:rPr>
            <w:rStyle w:val="Hyperlink"/>
            <w:noProof/>
          </w:rPr>
          <w:t>Figure 6. Thematic analysis of the key features, functions and benefits that red meat stakeholders receive from the current traceability system via NLIS</w:t>
        </w:r>
        <w:r w:rsidR="00D1005E">
          <w:rPr>
            <w:noProof/>
            <w:webHidden/>
          </w:rPr>
          <w:tab/>
        </w:r>
        <w:r w:rsidR="00D1005E">
          <w:rPr>
            <w:noProof/>
            <w:webHidden/>
          </w:rPr>
          <w:fldChar w:fldCharType="begin"/>
        </w:r>
        <w:r w:rsidR="00D1005E">
          <w:rPr>
            <w:noProof/>
            <w:webHidden/>
          </w:rPr>
          <w:instrText xml:space="preserve"> PAGEREF _Toc95983452 \h </w:instrText>
        </w:r>
        <w:r w:rsidR="00D1005E">
          <w:rPr>
            <w:noProof/>
            <w:webHidden/>
          </w:rPr>
        </w:r>
        <w:r w:rsidR="00D1005E">
          <w:rPr>
            <w:noProof/>
            <w:webHidden/>
          </w:rPr>
          <w:fldChar w:fldCharType="separate"/>
        </w:r>
        <w:r w:rsidR="008D0D42">
          <w:rPr>
            <w:noProof/>
            <w:webHidden/>
          </w:rPr>
          <w:t>35</w:t>
        </w:r>
        <w:r w:rsidR="00D1005E">
          <w:rPr>
            <w:noProof/>
            <w:webHidden/>
          </w:rPr>
          <w:fldChar w:fldCharType="end"/>
        </w:r>
      </w:hyperlink>
    </w:p>
    <w:p w14:paraId="674AF018" w14:textId="1CDB50FE" w:rsidR="00D1005E" w:rsidRDefault="009A5F60">
      <w:pPr>
        <w:pStyle w:val="TableofFigures"/>
        <w:tabs>
          <w:tab w:val="right" w:leader="dot" w:pos="9016"/>
        </w:tabs>
        <w:rPr>
          <w:rFonts w:eastAsiaTheme="minorEastAsia"/>
          <w:noProof/>
          <w:lang w:eastAsia="en-AU"/>
        </w:rPr>
      </w:pPr>
      <w:hyperlink w:anchor="_Toc95983453" w:history="1">
        <w:r w:rsidR="00D1005E" w:rsidRPr="004860D7">
          <w:rPr>
            <w:rStyle w:val="Hyperlink"/>
            <w:noProof/>
          </w:rPr>
          <w:t>Figure 7. Additional benefits linked to NLIS tags</w:t>
        </w:r>
        <w:r w:rsidR="00D1005E">
          <w:rPr>
            <w:noProof/>
            <w:webHidden/>
          </w:rPr>
          <w:tab/>
        </w:r>
        <w:r w:rsidR="00D1005E">
          <w:rPr>
            <w:noProof/>
            <w:webHidden/>
          </w:rPr>
          <w:fldChar w:fldCharType="begin"/>
        </w:r>
        <w:r w:rsidR="00D1005E">
          <w:rPr>
            <w:noProof/>
            <w:webHidden/>
          </w:rPr>
          <w:instrText xml:space="preserve"> PAGEREF _Toc95983453 \h </w:instrText>
        </w:r>
        <w:r w:rsidR="00D1005E">
          <w:rPr>
            <w:noProof/>
            <w:webHidden/>
          </w:rPr>
        </w:r>
        <w:r w:rsidR="00D1005E">
          <w:rPr>
            <w:noProof/>
            <w:webHidden/>
          </w:rPr>
          <w:fldChar w:fldCharType="separate"/>
        </w:r>
        <w:r w:rsidR="008D0D42">
          <w:rPr>
            <w:noProof/>
            <w:webHidden/>
          </w:rPr>
          <w:t>36</w:t>
        </w:r>
        <w:r w:rsidR="00D1005E">
          <w:rPr>
            <w:noProof/>
            <w:webHidden/>
          </w:rPr>
          <w:fldChar w:fldCharType="end"/>
        </w:r>
      </w:hyperlink>
    </w:p>
    <w:p w14:paraId="40E9AC26" w14:textId="4A1E63C8" w:rsidR="00D1005E" w:rsidRDefault="009A5F60">
      <w:pPr>
        <w:pStyle w:val="TableofFigures"/>
        <w:tabs>
          <w:tab w:val="right" w:leader="dot" w:pos="9016"/>
        </w:tabs>
        <w:rPr>
          <w:rFonts w:eastAsiaTheme="minorEastAsia"/>
          <w:noProof/>
          <w:lang w:eastAsia="en-AU"/>
        </w:rPr>
      </w:pPr>
      <w:hyperlink w:anchor="_Toc95983454" w:history="1">
        <w:r w:rsidR="00D1005E" w:rsidRPr="004860D7">
          <w:rPr>
            <w:rStyle w:val="Hyperlink"/>
            <w:noProof/>
          </w:rPr>
          <w:t>Figure 8. Additional benefits linked to NLIS tags (producers and processors)</w:t>
        </w:r>
        <w:r w:rsidR="00D1005E">
          <w:rPr>
            <w:noProof/>
            <w:webHidden/>
          </w:rPr>
          <w:tab/>
        </w:r>
        <w:r w:rsidR="00D1005E">
          <w:rPr>
            <w:noProof/>
            <w:webHidden/>
          </w:rPr>
          <w:fldChar w:fldCharType="begin"/>
        </w:r>
        <w:r w:rsidR="00D1005E">
          <w:rPr>
            <w:noProof/>
            <w:webHidden/>
          </w:rPr>
          <w:instrText xml:space="preserve"> PAGEREF _Toc95983454 \h </w:instrText>
        </w:r>
        <w:r w:rsidR="00D1005E">
          <w:rPr>
            <w:noProof/>
            <w:webHidden/>
          </w:rPr>
        </w:r>
        <w:r w:rsidR="00D1005E">
          <w:rPr>
            <w:noProof/>
            <w:webHidden/>
          </w:rPr>
          <w:fldChar w:fldCharType="separate"/>
        </w:r>
        <w:r w:rsidR="008D0D42">
          <w:rPr>
            <w:noProof/>
            <w:webHidden/>
          </w:rPr>
          <w:t>37</w:t>
        </w:r>
        <w:r w:rsidR="00D1005E">
          <w:rPr>
            <w:noProof/>
            <w:webHidden/>
          </w:rPr>
          <w:fldChar w:fldCharType="end"/>
        </w:r>
      </w:hyperlink>
    </w:p>
    <w:p w14:paraId="5F7E0911" w14:textId="51FDE81F" w:rsidR="00D1005E" w:rsidRDefault="009A5F60">
      <w:pPr>
        <w:pStyle w:val="TableofFigures"/>
        <w:tabs>
          <w:tab w:val="right" w:leader="dot" w:pos="9016"/>
        </w:tabs>
        <w:rPr>
          <w:rFonts w:eastAsiaTheme="minorEastAsia"/>
          <w:noProof/>
          <w:lang w:eastAsia="en-AU"/>
        </w:rPr>
      </w:pPr>
      <w:hyperlink w:anchor="_Toc95983455" w:history="1">
        <w:r w:rsidR="00D1005E" w:rsidRPr="004860D7">
          <w:rPr>
            <w:rStyle w:val="Hyperlink"/>
            <w:noProof/>
          </w:rPr>
          <w:t>Figure 9. Current loss of lifetime traceability w</w:t>
        </w:r>
        <w:r w:rsidR="00D1005E" w:rsidRPr="004860D7">
          <w:rPr>
            <w:rStyle w:val="Hyperlink"/>
            <w:noProof/>
          </w:rPr>
          <w:t>i</w:t>
        </w:r>
        <w:r w:rsidR="00D1005E" w:rsidRPr="004860D7">
          <w:rPr>
            <w:rStyle w:val="Hyperlink"/>
            <w:noProof/>
          </w:rPr>
          <w:t>th NLIS tags</w:t>
        </w:r>
        <w:r w:rsidR="00D1005E">
          <w:rPr>
            <w:noProof/>
            <w:webHidden/>
          </w:rPr>
          <w:tab/>
        </w:r>
        <w:r w:rsidR="00D1005E">
          <w:rPr>
            <w:noProof/>
            <w:webHidden/>
          </w:rPr>
          <w:fldChar w:fldCharType="begin"/>
        </w:r>
        <w:r w:rsidR="00D1005E">
          <w:rPr>
            <w:noProof/>
            <w:webHidden/>
          </w:rPr>
          <w:instrText xml:space="preserve"> PAGEREF _Toc95983455 \h </w:instrText>
        </w:r>
        <w:r w:rsidR="00D1005E">
          <w:rPr>
            <w:noProof/>
            <w:webHidden/>
          </w:rPr>
        </w:r>
        <w:r w:rsidR="00D1005E">
          <w:rPr>
            <w:noProof/>
            <w:webHidden/>
          </w:rPr>
          <w:fldChar w:fldCharType="separate"/>
        </w:r>
        <w:r w:rsidR="008D0D42">
          <w:rPr>
            <w:noProof/>
            <w:webHidden/>
          </w:rPr>
          <w:t>38</w:t>
        </w:r>
        <w:r w:rsidR="00D1005E">
          <w:rPr>
            <w:noProof/>
            <w:webHidden/>
          </w:rPr>
          <w:fldChar w:fldCharType="end"/>
        </w:r>
      </w:hyperlink>
    </w:p>
    <w:p w14:paraId="012EB429" w14:textId="7450D47B" w:rsidR="00D1005E" w:rsidRDefault="009A5F60">
      <w:pPr>
        <w:pStyle w:val="TableofFigures"/>
        <w:tabs>
          <w:tab w:val="right" w:leader="dot" w:pos="9016"/>
        </w:tabs>
        <w:rPr>
          <w:rFonts w:eastAsiaTheme="minorEastAsia"/>
          <w:noProof/>
          <w:lang w:eastAsia="en-AU"/>
        </w:rPr>
      </w:pPr>
      <w:hyperlink w:anchor="_Toc95983456" w:history="1">
        <w:r w:rsidR="00D1005E" w:rsidRPr="004860D7">
          <w:rPr>
            <w:rStyle w:val="Hyperlink"/>
            <w:noProof/>
          </w:rPr>
          <w:t>Figure 10. Estimates of current costs associated with loss of NLIS tag for cattle</w:t>
        </w:r>
        <w:r w:rsidR="00D1005E">
          <w:rPr>
            <w:noProof/>
            <w:webHidden/>
          </w:rPr>
          <w:tab/>
        </w:r>
        <w:r w:rsidR="00D1005E">
          <w:rPr>
            <w:noProof/>
            <w:webHidden/>
          </w:rPr>
          <w:fldChar w:fldCharType="begin"/>
        </w:r>
        <w:r w:rsidR="00D1005E">
          <w:rPr>
            <w:noProof/>
            <w:webHidden/>
          </w:rPr>
          <w:instrText xml:space="preserve"> PAGEREF _Toc95983456 \h </w:instrText>
        </w:r>
        <w:r w:rsidR="00D1005E">
          <w:rPr>
            <w:noProof/>
            <w:webHidden/>
          </w:rPr>
        </w:r>
        <w:r w:rsidR="00D1005E">
          <w:rPr>
            <w:noProof/>
            <w:webHidden/>
          </w:rPr>
          <w:fldChar w:fldCharType="separate"/>
        </w:r>
        <w:r w:rsidR="008D0D42">
          <w:rPr>
            <w:noProof/>
            <w:webHidden/>
          </w:rPr>
          <w:t>38</w:t>
        </w:r>
        <w:r w:rsidR="00D1005E">
          <w:rPr>
            <w:noProof/>
            <w:webHidden/>
          </w:rPr>
          <w:fldChar w:fldCharType="end"/>
        </w:r>
      </w:hyperlink>
    </w:p>
    <w:p w14:paraId="77C23A58" w14:textId="478CF264" w:rsidR="00D1005E" w:rsidRDefault="009A5F60">
      <w:pPr>
        <w:pStyle w:val="TableofFigures"/>
        <w:tabs>
          <w:tab w:val="right" w:leader="dot" w:pos="9016"/>
        </w:tabs>
        <w:rPr>
          <w:rFonts w:eastAsiaTheme="minorEastAsia"/>
          <w:noProof/>
          <w:lang w:eastAsia="en-AU"/>
        </w:rPr>
      </w:pPr>
      <w:hyperlink w:anchor="_Toc95983457" w:history="1">
        <w:r w:rsidR="00D1005E" w:rsidRPr="004860D7">
          <w:rPr>
            <w:rStyle w:val="Hyperlink"/>
            <w:noProof/>
          </w:rPr>
          <w:t>Figure 11. Estimates of current costs associated with loss of NLIS tag for sheep or lambs</w:t>
        </w:r>
        <w:r w:rsidR="00D1005E">
          <w:rPr>
            <w:noProof/>
            <w:webHidden/>
          </w:rPr>
          <w:tab/>
        </w:r>
        <w:r w:rsidR="00D1005E">
          <w:rPr>
            <w:noProof/>
            <w:webHidden/>
          </w:rPr>
          <w:fldChar w:fldCharType="begin"/>
        </w:r>
        <w:r w:rsidR="00D1005E">
          <w:rPr>
            <w:noProof/>
            <w:webHidden/>
          </w:rPr>
          <w:instrText xml:space="preserve"> PAGEREF _Toc95983457 \h </w:instrText>
        </w:r>
        <w:r w:rsidR="00D1005E">
          <w:rPr>
            <w:noProof/>
            <w:webHidden/>
          </w:rPr>
        </w:r>
        <w:r w:rsidR="00D1005E">
          <w:rPr>
            <w:noProof/>
            <w:webHidden/>
          </w:rPr>
          <w:fldChar w:fldCharType="separate"/>
        </w:r>
        <w:r w:rsidR="008D0D42">
          <w:rPr>
            <w:noProof/>
            <w:webHidden/>
          </w:rPr>
          <w:t>39</w:t>
        </w:r>
        <w:r w:rsidR="00D1005E">
          <w:rPr>
            <w:noProof/>
            <w:webHidden/>
          </w:rPr>
          <w:fldChar w:fldCharType="end"/>
        </w:r>
      </w:hyperlink>
    </w:p>
    <w:p w14:paraId="71453DAD" w14:textId="5F6AAD40" w:rsidR="00D1005E" w:rsidRDefault="009A5F60">
      <w:pPr>
        <w:pStyle w:val="TableofFigures"/>
        <w:tabs>
          <w:tab w:val="right" w:leader="dot" w:pos="9016"/>
        </w:tabs>
        <w:rPr>
          <w:rFonts w:eastAsiaTheme="minorEastAsia"/>
          <w:noProof/>
          <w:lang w:eastAsia="en-AU"/>
        </w:rPr>
      </w:pPr>
      <w:hyperlink w:anchor="_Toc95983458" w:history="1">
        <w:r w:rsidR="00D1005E" w:rsidRPr="004860D7">
          <w:rPr>
            <w:rStyle w:val="Hyperlink"/>
            <w:noProof/>
          </w:rPr>
          <w:t>Figure 12. Thematic analysis of approaches and responses to loss of lifetime traceability</w:t>
        </w:r>
        <w:r w:rsidR="00D1005E">
          <w:rPr>
            <w:noProof/>
            <w:webHidden/>
          </w:rPr>
          <w:tab/>
        </w:r>
        <w:r w:rsidR="00D1005E">
          <w:rPr>
            <w:noProof/>
            <w:webHidden/>
          </w:rPr>
          <w:fldChar w:fldCharType="begin"/>
        </w:r>
        <w:r w:rsidR="00D1005E">
          <w:rPr>
            <w:noProof/>
            <w:webHidden/>
          </w:rPr>
          <w:instrText xml:space="preserve"> PAGEREF _Toc95983458 \h </w:instrText>
        </w:r>
        <w:r w:rsidR="00D1005E">
          <w:rPr>
            <w:noProof/>
            <w:webHidden/>
          </w:rPr>
        </w:r>
        <w:r w:rsidR="00D1005E">
          <w:rPr>
            <w:noProof/>
            <w:webHidden/>
          </w:rPr>
          <w:fldChar w:fldCharType="separate"/>
        </w:r>
        <w:r w:rsidR="008D0D42">
          <w:rPr>
            <w:noProof/>
            <w:webHidden/>
          </w:rPr>
          <w:t>40</w:t>
        </w:r>
        <w:r w:rsidR="00D1005E">
          <w:rPr>
            <w:noProof/>
            <w:webHidden/>
          </w:rPr>
          <w:fldChar w:fldCharType="end"/>
        </w:r>
      </w:hyperlink>
    </w:p>
    <w:p w14:paraId="085BF709" w14:textId="07F674D5" w:rsidR="00D1005E" w:rsidRDefault="009A5F60">
      <w:pPr>
        <w:pStyle w:val="TableofFigures"/>
        <w:tabs>
          <w:tab w:val="right" w:leader="dot" w:pos="9016"/>
        </w:tabs>
        <w:rPr>
          <w:rFonts w:eastAsiaTheme="minorEastAsia"/>
          <w:noProof/>
          <w:lang w:eastAsia="en-AU"/>
        </w:rPr>
      </w:pPr>
      <w:hyperlink w:anchor="_Toc95983459" w:history="1">
        <w:r w:rsidR="00D1005E" w:rsidRPr="004860D7">
          <w:rPr>
            <w:rStyle w:val="Hyperlink"/>
            <w:noProof/>
          </w:rPr>
          <w:t>Figure 13. Estimated costs of establishing and maintaining lifetime traceability in cattle</w:t>
        </w:r>
        <w:r w:rsidR="00D1005E">
          <w:rPr>
            <w:noProof/>
            <w:webHidden/>
          </w:rPr>
          <w:tab/>
        </w:r>
        <w:r w:rsidR="00D1005E">
          <w:rPr>
            <w:noProof/>
            <w:webHidden/>
          </w:rPr>
          <w:fldChar w:fldCharType="begin"/>
        </w:r>
        <w:r w:rsidR="00D1005E">
          <w:rPr>
            <w:noProof/>
            <w:webHidden/>
          </w:rPr>
          <w:instrText xml:space="preserve"> PAGEREF _Toc95983459 \h </w:instrText>
        </w:r>
        <w:r w:rsidR="00D1005E">
          <w:rPr>
            <w:noProof/>
            <w:webHidden/>
          </w:rPr>
        </w:r>
        <w:r w:rsidR="00D1005E">
          <w:rPr>
            <w:noProof/>
            <w:webHidden/>
          </w:rPr>
          <w:fldChar w:fldCharType="separate"/>
        </w:r>
        <w:r w:rsidR="008D0D42">
          <w:rPr>
            <w:noProof/>
            <w:webHidden/>
          </w:rPr>
          <w:t>41</w:t>
        </w:r>
        <w:r w:rsidR="00D1005E">
          <w:rPr>
            <w:noProof/>
            <w:webHidden/>
          </w:rPr>
          <w:fldChar w:fldCharType="end"/>
        </w:r>
      </w:hyperlink>
    </w:p>
    <w:p w14:paraId="4B20B803" w14:textId="58445104" w:rsidR="00D1005E" w:rsidRDefault="009A5F60">
      <w:pPr>
        <w:pStyle w:val="TableofFigures"/>
        <w:tabs>
          <w:tab w:val="right" w:leader="dot" w:pos="9016"/>
        </w:tabs>
        <w:rPr>
          <w:rFonts w:eastAsiaTheme="minorEastAsia"/>
          <w:noProof/>
          <w:lang w:eastAsia="en-AU"/>
        </w:rPr>
      </w:pPr>
      <w:hyperlink w:anchor="_Toc95983460" w:history="1">
        <w:r w:rsidR="00D1005E" w:rsidRPr="004860D7">
          <w:rPr>
            <w:rStyle w:val="Hyperlink"/>
            <w:noProof/>
          </w:rPr>
          <w:t>Figure 14. Estimated costs of establishing and maintaining lifetime traceability in sheep</w:t>
        </w:r>
        <w:r w:rsidR="00D1005E">
          <w:rPr>
            <w:noProof/>
            <w:webHidden/>
          </w:rPr>
          <w:tab/>
        </w:r>
        <w:r w:rsidR="00D1005E">
          <w:rPr>
            <w:noProof/>
            <w:webHidden/>
          </w:rPr>
          <w:fldChar w:fldCharType="begin"/>
        </w:r>
        <w:r w:rsidR="00D1005E">
          <w:rPr>
            <w:noProof/>
            <w:webHidden/>
          </w:rPr>
          <w:instrText xml:space="preserve"> PAGEREF _Toc95983460 \h </w:instrText>
        </w:r>
        <w:r w:rsidR="00D1005E">
          <w:rPr>
            <w:noProof/>
            <w:webHidden/>
          </w:rPr>
        </w:r>
        <w:r w:rsidR="00D1005E">
          <w:rPr>
            <w:noProof/>
            <w:webHidden/>
          </w:rPr>
          <w:fldChar w:fldCharType="separate"/>
        </w:r>
        <w:r w:rsidR="008D0D42">
          <w:rPr>
            <w:noProof/>
            <w:webHidden/>
          </w:rPr>
          <w:t>42</w:t>
        </w:r>
        <w:r w:rsidR="00D1005E">
          <w:rPr>
            <w:noProof/>
            <w:webHidden/>
          </w:rPr>
          <w:fldChar w:fldCharType="end"/>
        </w:r>
      </w:hyperlink>
    </w:p>
    <w:p w14:paraId="41401738" w14:textId="1CED32DB" w:rsidR="00D1005E" w:rsidRDefault="009A5F60">
      <w:pPr>
        <w:pStyle w:val="TableofFigures"/>
        <w:tabs>
          <w:tab w:val="right" w:leader="dot" w:pos="9016"/>
        </w:tabs>
        <w:rPr>
          <w:rFonts w:eastAsiaTheme="minorEastAsia"/>
          <w:noProof/>
          <w:lang w:eastAsia="en-AU"/>
        </w:rPr>
      </w:pPr>
      <w:hyperlink w:anchor="_Toc95983461" w:history="1">
        <w:r w:rsidR="00D1005E" w:rsidRPr="004860D7">
          <w:rPr>
            <w:rStyle w:val="Hyperlink"/>
            <w:noProof/>
          </w:rPr>
          <w:t>Figure 15. Practices used in the beef production sectors to ensure lifetime traceability</w:t>
        </w:r>
        <w:r w:rsidR="00D1005E">
          <w:rPr>
            <w:noProof/>
            <w:webHidden/>
          </w:rPr>
          <w:tab/>
        </w:r>
        <w:r w:rsidR="00D1005E">
          <w:rPr>
            <w:noProof/>
            <w:webHidden/>
          </w:rPr>
          <w:fldChar w:fldCharType="begin"/>
        </w:r>
        <w:r w:rsidR="00D1005E">
          <w:rPr>
            <w:noProof/>
            <w:webHidden/>
          </w:rPr>
          <w:instrText xml:space="preserve"> PAGEREF _Toc95983461 \h </w:instrText>
        </w:r>
        <w:r w:rsidR="00D1005E">
          <w:rPr>
            <w:noProof/>
            <w:webHidden/>
          </w:rPr>
        </w:r>
        <w:r w:rsidR="00D1005E">
          <w:rPr>
            <w:noProof/>
            <w:webHidden/>
          </w:rPr>
          <w:fldChar w:fldCharType="separate"/>
        </w:r>
        <w:r w:rsidR="008D0D42">
          <w:rPr>
            <w:noProof/>
            <w:webHidden/>
          </w:rPr>
          <w:t>42</w:t>
        </w:r>
        <w:r w:rsidR="00D1005E">
          <w:rPr>
            <w:noProof/>
            <w:webHidden/>
          </w:rPr>
          <w:fldChar w:fldCharType="end"/>
        </w:r>
      </w:hyperlink>
    </w:p>
    <w:p w14:paraId="52C787CC" w14:textId="62613110" w:rsidR="00D1005E" w:rsidRDefault="009A5F60">
      <w:pPr>
        <w:pStyle w:val="TableofFigures"/>
        <w:tabs>
          <w:tab w:val="right" w:leader="dot" w:pos="9016"/>
        </w:tabs>
        <w:rPr>
          <w:rFonts w:eastAsiaTheme="minorEastAsia"/>
          <w:noProof/>
          <w:lang w:eastAsia="en-AU"/>
        </w:rPr>
      </w:pPr>
      <w:hyperlink w:anchor="_Toc95983462" w:history="1">
        <w:r w:rsidR="00D1005E" w:rsidRPr="004860D7">
          <w:rPr>
            <w:rStyle w:val="Hyperlink"/>
            <w:noProof/>
          </w:rPr>
          <w:t>Figure 16. Practices used by sheep producers to ensure lifetime traceability</w:t>
        </w:r>
        <w:r w:rsidR="00D1005E">
          <w:rPr>
            <w:noProof/>
            <w:webHidden/>
          </w:rPr>
          <w:tab/>
        </w:r>
        <w:r w:rsidR="00D1005E">
          <w:rPr>
            <w:noProof/>
            <w:webHidden/>
          </w:rPr>
          <w:fldChar w:fldCharType="begin"/>
        </w:r>
        <w:r w:rsidR="00D1005E">
          <w:rPr>
            <w:noProof/>
            <w:webHidden/>
          </w:rPr>
          <w:instrText xml:space="preserve"> PAGEREF _Toc95983462 \h </w:instrText>
        </w:r>
        <w:r w:rsidR="00D1005E">
          <w:rPr>
            <w:noProof/>
            <w:webHidden/>
          </w:rPr>
        </w:r>
        <w:r w:rsidR="00D1005E">
          <w:rPr>
            <w:noProof/>
            <w:webHidden/>
          </w:rPr>
          <w:fldChar w:fldCharType="separate"/>
        </w:r>
        <w:r w:rsidR="008D0D42">
          <w:rPr>
            <w:noProof/>
            <w:webHidden/>
          </w:rPr>
          <w:t>43</w:t>
        </w:r>
        <w:r w:rsidR="00D1005E">
          <w:rPr>
            <w:noProof/>
            <w:webHidden/>
          </w:rPr>
          <w:fldChar w:fldCharType="end"/>
        </w:r>
      </w:hyperlink>
    </w:p>
    <w:p w14:paraId="4BB18FC0" w14:textId="459F6523" w:rsidR="00D1005E" w:rsidRDefault="009A5F60">
      <w:pPr>
        <w:pStyle w:val="TableofFigures"/>
        <w:tabs>
          <w:tab w:val="right" w:leader="dot" w:pos="9016"/>
        </w:tabs>
        <w:rPr>
          <w:rFonts w:eastAsiaTheme="minorEastAsia"/>
          <w:noProof/>
          <w:lang w:eastAsia="en-AU"/>
        </w:rPr>
      </w:pPr>
      <w:hyperlink w:anchor="_Toc95983463" w:history="1">
        <w:r w:rsidR="00D1005E" w:rsidRPr="004860D7">
          <w:rPr>
            <w:rStyle w:val="Hyperlink"/>
            <w:noProof/>
          </w:rPr>
          <w:t>Figure 17. Types of applications of genomic technologies identified by beef and sheep industry participants</w:t>
        </w:r>
        <w:r w:rsidR="00D1005E">
          <w:rPr>
            <w:noProof/>
            <w:webHidden/>
          </w:rPr>
          <w:tab/>
        </w:r>
        <w:r w:rsidR="00D1005E">
          <w:rPr>
            <w:noProof/>
            <w:webHidden/>
          </w:rPr>
          <w:fldChar w:fldCharType="begin"/>
        </w:r>
        <w:r w:rsidR="00D1005E">
          <w:rPr>
            <w:noProof/>
            <w:webHidden/>
          </w:rPr>
          <w:instrText xml:space="preserve"> PAGEREF _Toc95983463 \h </w:instrText>
        </w:r>
        <w:r w:rsidR="00D1005E">
          <w:rPr>
            <w:noProof/>
            <w:webHidden/>
          </w:rPr>
        </w:r>
        <w:r w:rsidR="00D1005E">
          <w:rPr>
            <w:noProof/>
            <w:webHidden/>
          </w:rPr>
          <w:fldChar w:fldCharType="separate"/>
        </w:r>
        <w:r w:rsidR="008D0D42">
          <w:rPr>
            <w:noProof/>
            <w:webHidden/>
          </w:rPr>
          <w:t>44</w:t>
        </w:r>
        <w:r w:rsidR="00D1005E">
          <w:rPr>
            <w:noProof/>
            <w:webHidden/>
          </w:rPr>
          <w:fldChar w:fldCharType="end"/>
        </w:r>
      </w:hyperlink>
    </w:p>
    <w:p w14:paraId="75E48F24" w14:textId="51B74CDF" w:rsidR="00D1005E" w:rsidRDefault="009A5F60">
      <w:pPr>
        <w:pStyle w:val="TableofFigures"/>
        <w:tabs>
          <w:tab w:val="right" w:leader="dot" w:pos="9016"/>
        </w:tabs>
        <w:rPr>
          <w:rFonts w:eastAsiaTheme="minorEastAsia"/>
          <w:noProof/>
          <w:lang w:eastAsia="en-AU"/>
        </w:rPr>
      </w:pPr>
      <w:hyperlink w:anchor="_Toc95983464" w:history="1">
        <w:r w:rsidR="00D1005E" w:rsidRPr="004860D7">
          <w:rPr>
            <w:rStyle w:val="Hyperlink"/>
            <w:noProof/>
          </w:rPr>
          <w:t>Figure 18. Types of applications of genomic technologies identified by beef and sheep industry service providers and researchers</w:t>
        </w:r>
        <w:r w:rsidR="00D1005E">
          <w:rPr>
            <w:noProof/>
            <w:webHidden/>
          </w:rPr>
          <w:tab/>
        </w:r>
        <w:r w:rsidR="00D1005E">
          <w:rPr>
            <w:noProof/>
            <w:webHidden/>
          </w:rPr>
          <w:fldChar w:fldCharType="begin"/>
        </w:r>
        <w:r w:rsidR="00D1005E">
          <w:rPr>
            <w:noProof/>
            <w:webHidden/>
          </w:rPr>
          <w:instrText xml:space="preserve"> PAGEREF _Toc95983464 \h </w:instrText>
        </w:r>
        <w:r w:rsidR="00D1005E">
          <w:rPr>
            <w:noProof/>
            <w:webHidden/>
          </w:rPr>
        </w:r>
        <w:r w:rsidR="00D1005E">
          <w:rPr>
            <w:noProof/>
            <w:webHidden/>
          </w:rPr>
          <w:fldChar w:fldCharType="separate"/>
        </w:r>
        <w:r w:rsidR="008D0D42">
          <w:rPr>
            <w:noProof/>
            <w:webHidden/>
          </w:rPr>
          <w:t>45</w:t>
        </w:r>
        <w:r w:rsidR="00D1005E">
          <w:rPr>
            <w:noProof/>
            <w:webHidden/>
          </w:rPr>
          <w:fldChar w:fldCharType="end"/>
        </w:r>
      </w:hyperlink>
    </w:p>
    <w:p w14:paraId="5C54427A" w14:textId="09D5B477" w:rsidR="00D1005E" w:rsidRDefault="009A5F60">
      <w:pPr>
        <w:pStyle w:val="TableofFigures"/>
        <w:tabs>
          <w:tab w:val="right" w:leader="dot" w:pos="9016"/>
        </w:tabs>
        <w:rPr>
          <w:rFonts w:eastAsiaTheme="minorEastAsia"/>
          <w:noProof/>
          <w:lang w:eastAsia="en-AU"/>
        </w:rPr>
      </w:pPr>
      <w:hyperlink w:anchor="_Toc95983465" w:history="1">
        <w:r w:rsidR="00D1005E" w:rsidRPr="004860D7">
          <w:rPr>
            <w:rStyle w:val="Hyperlink"/>
            <w:noProof/>
          </w:rPr>
          <w:t>Figure 19. Interest in use of genomics for lifetime traceability</w:t>
        </w:r>
        <w:r w:rsidR="00D1005E">
          <w:rPr>
            <w:noProof/>
            <w:webHidden/>
          </w:rPr>
          <w:tab/>
        </w:r>
        <w:r w:rsidR="00D1005E">
          <w:rPr>
            <w:noProof/>
            <w:webHidden/>
          </w:rPr>
          <w:fldChar w:fldCharType="begin"/>
        </w:r>
        <w:r w:rsidR="00D1005E">
          <w:rPr>
            <w:noProof/>
            <w:webHidden/>
          </w:rPr>
          <w:instrText xml:space="preserve"> PAGEREF _Toc95983465 \h </w:instrText>
        </w:r>
        <w:r w:rsidR="00D1005E">
          <w:rPr>
            <w:noProof/>
            <w:webHidden/>
          </w:rPr>
        </w:r>
        <w:r w:rsidR="00D1005E">
          <w:rPr>
            <w:noProof/>
            <w:webHidden/>
          </w:rPr>
          <w:fldChar w:fldCharType="separate"/>
        </w:r>
        <w:r w:rsidR="008D0D42">
          <w:rPr>
            <w:noProof/>
            <w:webHidden/>
          </w:rPr>
          <w:t>46</w:t>
        </w:r>
        <w:r w:rsidR="00D1005E">
          <w:rPr>
            <w:noProof/>
            <w:webHidden/>
          </w:rPr>
          <w:fldChar w:fldCharType="end"/>
        </w:r>
      </w:hyperlink>
    </w:p>
    <w:p w14:paraId="27871977" w14:textId="48265AB1" w:rsidR="00D1005E" w:rsidRDefault="009A5F60">
      <w:pPr>
        <w:pStyle w:val="TableofFigures"/>
        <w:tabs>
          <w:tab w:val="right" w:leader="dot" w:pos="9016"/>
        </w:tabs>
        <w:rPr>
          <w:rFonts w:eastAsiaTheme="minorEastAsia"/>
          <w:noProof/>
          <w:lang w:eastAsia="en-AU"/>
        </w:rPr>
      </w:pPr>
      <w:hyperlink w:anchor="_Toc95983466" w:history="1">
        <w:r w:rsidR="00D1005E" w:rsidRPr="004860D7">
          <w:rPr>
            <w:rStyle w:val="Hyperlink"/>
            <w:noProof/>
          </w:rPr>
          <w:t>Figure 20. Additional benefits required from lifetime genomic traceability, classified by beef vs. sheep industry participants</w:t>
        </w:r>
        <w:r w:rsidR="00D1005E">
          <w:rPr>
            <w:noProof/>
            <w:webHidden/>
          </w:rPr>
          <w:tab/>
        </w:r>
        <w:r w:rsidR="00D1005E">
          <w:rPr>
            <w:noProof/>
            <w:webHidden/>
          </w:rPr>
          <w:fldChar w:fldCharType="begin"/>
        </w:r>
        <w:r w:rsidR="00D1005E">
          <w:rPr>
            <w:noProof/>
            <w:webHidden/>
          </w:rPr>
          <w:instrText xml:space="preserve"> PAGEREF _Toc95983466 \h </w:instrText>
        </w:r>
        <w:r w:rsidR="00D1005E">
          <w:rPr>
            <w:noProof/>
            <w:webHidden/>
          </w:rPr>
        </w:r>
        <w:r w:rsidR="00D1005E">
          <w:rPr>
            <w:noProof/>
            <w:webHidden/>
          </w:rPr>
          <w:fldChar w:fldCharType="separate"/>
        </w:r>
        <w:r w:rsidR="008D0D42">
          <w:rPr>
            <w:noProof/>
            <w:webHidden/>
          </w:rPr>
          <w:t>46</w:t>
        </w:r>
        <w:r w:rsidR="00D1005E">
          <w:rPr>
            <w:noProof/>
            <w:webHidden/>
          </w:rPr>
          <w:fldChar w:fldCharType="end"/>
        </w:r>
      </w:hyperlink>
    </w:p>
    <w:p w14:paraId="04E8A73A" w14:textId="702B5E59" w:rsidR="00D1005E" w:rsidRDefault="009A5F60">
      <w:pPr>
        <w:pStyle w:val="TableofFigures"/>
        <w:tabs>
          <w:tab w:val="right" w:leader="dot" w:pos="9016"/>
        </w:tabs>
        <w:rPr>
          <w:rFonts w:eastAsiaTheme="minorEastAsia"/>
          <w:noProof/>
          <w:lang w:eastAsia="en-AU"/>
        </w:rPr>
      </w:pPr>
      <w:hyperlink w:anchor="_Toc95983467" w:history="1">
        <w:r w:rsidR="00D1005E" w:rsidRPr="004860D7">
          <w:rPr>
            <w:rStyle w:val="Hyperlink"/>
            <w:noProof/>
          </w:rPr>
          <w:t>Figure 21. Additional benefits required from lifetime genomic traceability, classified by producers vs. processors</w:t>
        </w:r>
        <w:r w:rsidR="00D1005E">
          <w:rPr>
            <w:noProof/>
            <w:webHidden/>
          </w:rPr>
          <w:tab/>
        </w:r>
        <w:r w:rsidR="00D1005E">
          <w:rPr>
            <w:noProof/>
            <w:webHidden/>
          </w:rPr>
          <w:fldChar w:fldCharType="begin"/>
        </w:r>
        <w:r w:rsidR="00D1005E">
          <w:rPr>
            <w:noProof/>
            <w:webHidden/>
          </w:rPr>
          <w:instrText xml:space="preserve"> PAGEREF _Toc95983467 \h </w:instrText>
        </w:r>
        <w:r w:rsidR="00D1005E">
          <w:rPr>
            <w:noProof/>
            <w:webHidden/>
          </w:rPr>
        </w:r>
        <w:r w:rsidR="00D1005E">
          <w:rPr>
            <w:noProof/>
            <w:webHidden/>
          </w:rPr>
          <w:fldChar w:fldCharType="separate"/>
        </w:r>
        <w:r w:rsidR="008D0D42">
          <w:rPr>
            <w:noProof/>
            <w:webHidden/>
          </w:rPr>
          <w:t>47</w:t>
        </w:r>
        <w:r w:rsidR="00D1005E">
          <w:rPr>
            <w:noProof/>
            <w:webHidden/>
          </w:rPr>
          <w:fldChar w:fldCharType="end"/>
        </w:r>
      </w:hyperlink>
    </w:p>
    <w:p w14:paraId="6C640A00" w14:textId="118B233F" w:rsidR="00D1005E" w:rsidRDefault="009A5F60">
      <w:pPr>
        <w:pStyle w:val="TableofFigures"/>
        <w:tabs>
          <w:tab w:val="right" w:leader="dot" w:pos="9016"/>
        </w:tabs>
        <w:rPr>
          <w:rFonts w:eastAsiaTheme="minorEastAsia"/>
          <w:noProof/>
          <w:lang w:eastAsia="en-AU"/>
        </w:rPr>
      </w:pPr>
      <w:hyperlink w:anchor="_Toc95983468" w:history="1">
        <w:r w:rsidR="00D1005E" w:rsidRPr="004860D7">
          <w:rPr>
            <w:rStyle w:val="Hyperlink"/>
            <w:noProof/>
          </w:rPr>
          <w:t>Figure 22. Mind map of themes related to additional benefits sought from genomic lifetime traceability</w:t>
        </w:r>
        <w:r w:rsidR="00D1005E">
          <w:rPr>
            <w:noProof/>
            <w:webHidden/>
          </w:rPr>
          <w:tab/>
        </w:r>
        <w:r w:rsidR="00D1005E">
          <w:rPr>
            <w:noProof/>
            <w:webHidden/>
          </w:rPr>
          <w:fldChar w:fldCharType="begin"/>
        </w:r>
        <w:r w:rsidR="00D1005E">
          <w:rPr>
            <w:noProof/>
            <w:webHidden/>
          </w:rPr>
          <w:instrText xml:space="preserve"> PAGEREF _Toc95983468 \h </w:instrText>
        </w:r>
        <w:r w:rsidR="00D1005E">
          <w:rPr>
            <w:noProof/>
            <w:webHidden/>
          </w:rPr>
        </w:r>
        <w:r w:rsidR="00D1005E">
          <w:rPr>
            <w:noProof/>
            <w:webHidden/>
          </w:rPr>
          <w:fldChar w:fldCharType="separate"/>
        </w:r>
        <w:r w:rsidR="008D0D42">
          <w:rPr>
            <w:noProof/>
            <w:webHidden/>
          </w:rPr>
          <w:t>48</w:t>
        </w:r>
        <w:r w:rsidR="00D1005E">
          <w:rPr>
            <w:noProof/>
            <w:webHidden/>
          </w:rPr>
          <w:fldChar w:fldCharType="end"/>
        </w:r>
      </w:hyperlink>
    </w:p>
    <w:p w14:paraId="54E0891A" w14:textId="5773B1E1" w:rsidR="00D1005E" w:rsidRDefault="009A5F60">
      <w:pPr>
        <w:pStyle w:val="TableofFigures"/>
        <w:tabs>
          <w:tab w:val="right" w:leader="dot" w:pos="9016"/>
        </w:tabs>
        <w:rPr>
          <w:rFonts w:eastAsiaTheme="minorEastAsia"/>
          <w:noProof/>
          <w:lang w:eastAsia="en-AU"/>
        </w:rPr>
      </w:pPr>
      <w:hyperlink w:anchor="_Toc95983469" w:history="1">
        <w:r w:rsidR="00D1005E" w:rsidRPr="004860D7">
          <w:rPr>
            <w:rStyle w:val="Hyperlink"/>
            <w:noProof/>
          </w:rPr>
          <w:t>Figure 23. Identified barriers to adoption of genomic lifetime traceability</w:t>
        </w:r>
        <w:r w:rsidR="00D1005E">
          <w:rPr>
            <w:noProof/>
            <w:webHidden/>
          </w:rPr>
          <w:tab/>
        </w:r>
        <w:r w:rsidR="00D1005E">
          <w:rPr>
            <w:noProof/>
            <w:webHidden/>
          </w:rPr>
          <w:fldChar w:fldCharType="begin"/>
        </w:r>
        <w:r w:rsidR="00D1005E">
          <w:rPr>
            <w:noProof/>
            <w:webHidden/>
          </w:rPr>
          <w:instrText xml:space="preserve"> PAGEREF _Toc95983469 \h </w:instrText>
        </w:r>
        <w:r w:rsidR="00D1005E">
          <w:rPr>
            <w:noProof/>
            <w:webHidden/>
          </w:rPr>
        </w:r>
        <w:r w:rsidR="00D1005E">
          <w:rPr>
            <w:noProof/>
            <w:webHidden/>
          </w:rPr>
          <w:fldChar w:fldCharType="separate"/>
        </w:r>
        <w:r w:rsidR="008D0D42">
          <w:rPr>
            <w:noProof/>
            <w:webHidden/>
          </w:rPr>
          <w:t>49</w:t>
        </w:r>
        <w:r w:rsidR="00D1005E">
          <w:rPr>
            <w:noProof/>
            <w:webHidden/>
          </w:rPr>
          <w:fldChar w:fldCharType="end"/>
        </w:r>
      </w:hyperlink>
    </w:p>
    <w:p w14:paraId="44F881E3" w14:textId="0810BA31" w:rsidR="00D1005E" w:rsidRDefault="009A5F60">
      <w:pPr>
        <w:pStyle w:val="TableofFigures"/>
        <w:tabs>
          <w:tab w:val="right" w:leader="dot" w:pos="9016"/>
        </w:tabs>
        <w:rPr>
          <w:rFonts w:eastAsiaTheme="minorEastAsia"/>
          <w:noProof/>
          <w:lang w:eastAsia="en-AU"/>
        </w:rPr>
      </w:pPr>
      <w:hyperlink w:anchor="_Toc95983470" w:history="1">
        <w:r w:rsidR="00D1005E" w:rsidRPr="004860D7">
          <w:rPr>
            <w:rStyle w:val="Hyperlink"/>
            <w:noProof/>
          </w:rPr>
          <w:t>Figure 24. Thematic analysis of concerns to genomic data use and ownership</w:t>
        </w:r>
        <w:r w:rsidR="00D1005E">
          <w:rPr>
            <w:noProof/>
            <w:webHidden/>
          </w:rPr>
          <w:tab/>
        </w:r>
        <w:r w:rsidR="00D1005E">
          <w:rPr>
            <w:noProof/>
            <w:webHidden/>
          </w:rPr>
          <w:fldChar w:fldCharType="begin"/>
        </w:r>
        <w:r w:rsidR="00D1005E">
          <w:rPr>
            <w:noProof/>
            <w:webHidden/>
          </w:rPr>
          <w:instrText xml:space="preserve"> PAGEREF _Toc95983470 \h </w:instrText>
        </w:r>
        <w:r w:rsidR="00D1005E">
          <w:rPr>
            <w:noProof/>
            <w:webHidden/>
          </w:rPr>
        </w:r>
        <w:r w:rsidR="00D1005E">
          <w:rPr>
            <w:noProof/>
            <w:webHidden/>
          </w:rPr>
          <w:fldChar w:fldCharType="separate"/>
        </w:r>
        <w:r w:rsidR="008D0D42">
          <w:rPr>
            <w:noProof/>
            <w:webHidden/>
          </w:rPr>
          <w:t>50</w:t>
        </w:r>
        <w:r w:rsidR="00D1005E">
          <w:rPr>
            <w:noProof/>
            <w:webHidden/>
          </w:rPr>
          <w:fldChar w:fldCharType="end"/>
        </w:r>
      </w:hyperlink>
    </w:p>
    <w:p w14:paraId="0C9BBA55" w14:textId="5D677621" w:rsidR="00D1005E" w:rsidRDefault="009A5F60">
      <w:pPr>
        <w:pStyle w:val="TableofFigures"/>
        <w:tabs>
          <w:tab w:val="right" w:leader="dot" w:pos="9016"/>
        </w:tabs>
        <w:rPr>
          <w:rFonts w:eastAsiaTheme="minorEastAsia"/>
          <w:noProof/>
          <w:lang w:eastAsia="en-AU"/>
        </w:rPr>
      </w:pPr>
      <w:hyperlink w:anchor="_Toc95983471" w:history="1">
        <w:r w:rsidR="00D1005E" w:rsidRPr="004860D7">
          <w:rPr>
            <w:rStyle w:val="Hyperlink"/>
            <w:noProof/>
          </w:rPr>
          <w:t>Figure 25. Maximum price prepared to pay vs number of responses for genomic lifetime traceability</w:t>
        </w:r>
        <w:r w:rsidR="00D1005E">
          <w:rPr>
            <w:noProof/>
            <w:webHidden/>
          </w:rPr>
          <w:tab/>
        </w:r>
        <w:r w:rsidR="00D1005E">
          <w:rPr>
            <w:noProof/>
            <w:webHidden/>
          </w:rPr>
          <w:fldChar w:fldCharType="begin"/>
        </w:r>
        <w:r w:rsidR="00D1005E">
          <w:rPr>
            <w:noProof/>
            <w:webHidden/>
          </w:rPr>
          <w:instrText xml:space="preserve"> PAGEREF _Toc95983471 \h </w:instrText>
        </w:r>
        <w:r w:rsidR="00D1005E">
          <w:rPr>
            <w:noProof/>
            <w:webHidden/>
          </w:rPr>
        </w:r>
        <w:r w:rsidR="00D1005E">
          <w:rPr>
            <w:noProof/>
            <w:webHidden/>
          </w:rPr>
          <w:fldChar w:fldCharType="separate"/>
        </w:r>
        <w:r w:rsidR="008D0D42">
          <w:rPr>
            <w:noProof/>
            <w:webHidden/>
          </w:rPr>
          <w:t>51</w:t>
        </w:r>
        <w:r w:rsidR="00D1005E">
          <w:rPr>
            <w:noProof/>
            <w:webHidden/>
          </w:rPr>
          <w:fldChar w:fldCharType="end"/>
        </w:r>
      </w:hyperlink>
    </w:p>
    <w:p w14:paraId="4D4812B0" w14:textId="5AD670E1" w:rsidR="00D1005E" w:rsidRDefault="009A5F60">
      <w:pPr>
        <w:pStyle w:val="TableofFigures"/>
        <w:tabs>
          <w:tab w:val="right" w:leader="dot" w:pos="9016"/>
        </w:tabs>
        <w:rPr>
          <w:rFonts w:eastAsiaTheme="minorEastAsia"/>
          <w:noProof/>
          <w:lang w:eastAsia="en-AU"/>
        </w:rPr>
      </w:pPr>
      <w:hyperlink w:anchor="_Toc95983472" w:history="1">
        <w:r w:rsidR="00D1005E" w:rsidRPr="004860D7">
          <w:rPr>
            <w:rStyle w:val="Hyperlink"/>
            <w:noProof/>
          </w:rPr>
          <w:t>Figure 26. Percentage of respondents (beef seedstock and producers) that would continue to use of EID technologies if lifetime genomic traceability was available</w:t>
        </w:r>
        <w:r w:rsidR="00D1005E">
          <w:rPr>
            <w:noProof/>
            <w:webHidden/>
          </w:rPr>
          <w:tab/>
        </w:r>
        <w:r w:rsidR="00D1005E">
          <w:rPr>
            <w:noProof/>
            <w:webHidden/>
          </w:rPr>
          <w:fldChar w:fldCharType="begin"/>
        </w:r>
        <w:r w:rsidR="00D1005E">
          <w:rPr>
            <w:noProof/>
            <w:webHidden/>
          </w:rPr>
          <w:instrText xml:space="preserve"> PAGEREF _Toc95983472 \h </w:instrText>
        </w:r>
        <w:r w:rsidR="00D1005E">
          <w:rPr>
            <w:noProof/>
            <w:webHidden/>
          </w:rPr>
        </w:r>
        <w:r w:rsidR="00D1005E">
          <w:rPr>
            <w:noProof/>
            <w:webHidden/>
          </w:rPr>
          <w:fldChar w:fldCharType="separate"/>
        </w:r>
        <w:r w:rsidR="008D0D42">
          <w:rPr>
            <w:noProof/>
            <w:webHidden/>
          </w:rPr>
          <w:t>52</w:t>
        </w:r>
        <w:r w:rsidR="00D1005E">
          <w:rPr>
            <w:noProof/>
            <w:webHidden/>
          </w:rPr>
          <w:fldChar w:fldCharType="end"/>
        </w:r>
      </w:hyperlink>
    </w:p>
    <w:p w14:paraId="6101D289" w14:textId="1A1CDFDC" w:rsidR="00D1005E" w:rsidRDefault="009A5F60">
      <w:pPr>
        <w:pStyle w:val="TableofFigures"/>
        <w:tabs>
          <w:tab w:val="right" w:leader="dot" w:pos="9016"/>
        </w:tabs>
        <w:rPr>
          <w:rFonts w:eastAsiaTheme="minorEastAsia"/>
          <w:noProof/>
          <w:lang w:eastAsia="en-AU"/>
        </w:rPr>
      </w:pPr>
      <w:hyperlink w:anchor="_Toc95983473" w:history="1">
        <w:r w:rsidR="00D1005E" w:rsidRPr="004860D7">
          <w:rPr>
            <w:rStyle w:val="Hyperlink"/>
            <w:noProof/>
          </w:rPr>
          <w:t>Figure 27. Percentage of respondents (beef lot feeders and processors) that would continue to use of EID technologies if lifetime genomic traceability was available</w:t>
        </w:r>
        <w:r w:rsidR="00D1005E">
          <w:rPr>
            <w:noProof/>
            <w:webHidden/>
          </w:rPr>
          <w:tab/>
        </w:r>
        <w:r w:rsidR="00D1005E">
          <w:rPr>
            <w:noProof/>
            <w:webHidden/>
          </w:rPr>
          <w:fldChar w:fldCharType="begin"/>
        </w:r>
        <w:r w:rsidR="00D1005E">
          <w:rPr>
            <w:noProof/>
            <w:webHidden/>
          </w:rPr>
          <w:instrText xml:space="preserve"> PAGEREF _Toc95983473 \h </w:instrText>
        </w:r>
        <w:r w:rsidR="00D1005E">
          <w:rPr>
            <w:noProof/>
            <w:webHidden/>
          </w:rPr>
        </w:r>
        <w:r w:rsidR="00D1005E">
          <w:rPr>
            <w:noProof/>
            <w:webHidden/>
          </w:rPr>
          <w:fldChar w:fldCharType="separate"/>
        </w:r>
        <w:r w:rsidR="008D0D42">
          <w:rPr>
            <w:noProof/>
            <w:webHidden/>
          </w:rPr>
          <w:t>52</w:t>
        </w:r>
        <w:r w:rsidR="00D1005E">
          <w:rPr>
            <w:noProof/>
            <w:webHidden/>
          </w:rPr>
          <w:fldChar w:fldCharType="end"/>
        </w:r>
      </w:hyperlink>
    </w:p>
    <w:p w14:paraId="1DF6C17D" w14:textId="75D3402B" w:rsidR="00D1005E" w:rsidRDefault="009A5F60">
      <w:pPr>
        <w:pStyle w:val="TableofFigures"/>
        <w:tabs>
          <w:tab w:val="right" w:leader="dot" w:pos="9016"/>
        </w:tabs>
        <w:rPr>
          <w:rFonts w:eastAsiaTheme="minorEastAsia"/>
          <w:noProof/>
          <w:lang w:eastAsia="en-AU"/>
        </w:rPr>
      </w:pPr>
      <w:hyperlink w:anchor="_Toc95983474" w:history="1">
        <w:r w:rsidR="00D1005E" w:rsidRPr="004860D7">
          <w:rPr>
            <w:rStyle w:val="Hyperlink"/>
            <w:noProof/>
          </w:rPr>
          <w:t>Figure 28. Key additional benefits obtained from EID lifetime traceability</w:t>
        </w:r>
        <w:r w:rsidR="00D1005E">
          <w:rPr>
            <w:noProof/>
            <w:webHidden/>
          </w:rPr>
          <w:tab/>
        </w:r>
        <w:r w:rsidR="00D1005E">
          <w:rPr>
            <w:noProof/>
            <w:webHidden/>
          </w:rPr>
          <w:fldChar w:fldCharType="begin"/>
        </w:r>
        <w:r w:rsidR="00D1005E">
          <w:rPr>
            <w:noProof/>
            <w:webHidden/>
          </w:rPr>
          <w:instrText xml:space="preserve"> PAGEREF _Toc95983474 \h </w:instrText>
        </w:r>
        <w:r w:rsidR="00D1005E">
          <w:rPr>
            <w:noProof/>
            <w:webHidden/>
          </w:rPr>
        </w:r>
        <w:r w:rsidR="00D1005E">
          <w:rPr>
            <w:noProof/>
            <w:webHidden/>
          </w:rPr>
          <w:fldChar w:fldCharType="separate"/>
        </w:r>
        <w:r w:rsidR="008D0D42">
          <w:rPr>
            <w:noProof/>
            <w:webHidden/>
          </w:rPr>
          <w:t>54</w:t>
        </w:r>
        <w:r w:rsidR="00D1005E">
          <w:rPr>
            <w:noProof/>
            <w:webHidden/>
          </w:rPr>
          <w:fldChar w:fldCharType="end"/>
        </w:r>
      </w:hyperlink>
    </w:p>
    <w:p w14:paraId="1E69AB95" w14:textId="0E7E6DA0" w:rsidR="00D1005E" w:rsidRDefault="009A5F60">
      <w:pPr>
        <w:pStyle w:val="TableofFigures"/>
        <w:tabs>
          <w:tab w:val="right" w:leader="dot" w:pos="9016"/>
        </w:tabs>
        <w:rPr>
          <w:rFonts w:eastAsiaTheme="minorEastAsia"/>
          <w:noProof/>
          <w:lang w:eastAsia="en-AU"/>
        </w:rPr>
      </w:pPr>
      <w:hyperlink w:anchor="_Toc95983475" w:history="1">
        <w:r w:rsidR="00D1005E" w:rsidRPr="004860D7">
          <w:rPr>
            <w:rStyle w:val="Hyperlink"/>
            <w:noProof/>
          </w:rPr>
          <w:t>Figure 29. Additional commentary provided for genomic lifetime traceability</w:t>
        </w:r>
        <w:r w:rsidR="00D1005E">
          <w:rPr>
            <w:noProof/>
            <w:webHidden/>
          </w:rPr>
          <w:tab/>
        </w:r>
        <w:r w:rsidR="00D1005E">
          <w:rPr>
            <w:noProof/>
            <w:webHidden/>
          </w:rPr>
          <w:fldChar w:fldCharType="begin"/>
        </w:r>
        <w:r w:rsidR="00D1005E">
          <w:rPr>
            <w:noProof/>
            <w:webHidden/>
          </w:rPr>
          <w:instrText xml:space="preserve"> PAGEREF _Toc95983475 \h </w:instrText>
        </w:r>
        <w:r w:rsidR="00D1005E">
          <w:rPr>
            <w:noProof/>
            <w:webHidden/>
          </w:rPr>
        </w:r>
        <w:r w:rsidR="00D1005E">
          <w:rPr>
            <w:noProof/>
            <w:webHidden/>
          </w:rPr>
          <w:fldChar w:fldCharType="separate"/>
        </w:r>
        <w:r w:rsidR="008D0D42">
          <w:rPr>
            <w:noProof/>
            <w:webHidden/>
          </w:rPr>
          <w:t>55</w:t>
        </w:r>
        <w:r w:rsidR="00D1005E">
          <w:rPr>
            <w:noProof/>
            <w:webHidden/>
          </w:rPr>
          <w:fldChar w:fldCharType="end"/>
        </w:r>
      </w:hyperlink>
    </w:p>
    <w:p w14:paraId="56E83E6E" w14:textId="74402F59" w:rsidR="00D1005E" w:rsidRDefault="009A5F60">
      <w:pPr>
        <w:pStyle w:val="TableofFigures"/>
        <w:tabs>
          <w:tab w:val="right" w:leader="dot" w:pos="9016"/>
        </w:tabs>
        <w:rPr>
          <w:rFonts w:eastAsiaTheme="minorEastAsia"/>
          <w:noProof/>
          <w:lang w:eastAsia="en-AU"/>
        </w:rPr>
      </w:pPr>
      <w:hyperlink w:anchor="_Toc95983476" w:history="1">
        <w:r w:rsidR="00D1005E" w:rsidRPr="004860D7">
          <w:rPr>
            <w:rStyle w:val="Hyperlink"/>
            <w:noProof/>
          </w:rPr>
          <w:t>Figure 30.  Components of the current tracking system, illustrating how identification through genotyping can augment NLIS tags</w:t>
        </w:r>
        <w:r w:rsidR="00D1005E">
          <w:rPr>
            <w:noProof/>
            <w:webHidden/>
          </w:rPr>
          <w:tab/>
        </w:r>
        <w:r w:rsidR="00D1005E">
          <w:rPr>
            <w:noProof/>
            <w:webHidden/>
          </w:rPr>
          <w:fldChar w:fldCharType="begin"/>
        </w:r>
        <w:r w:rsidR="00D1005E">
          <w:rPr>
            <w:noProof/>
            <w:webHidden/>
          </w:rPr>
          <w:instrText xml:space="preserve"> PAGEREF _Toc95983476 \h </w:instrText>
        </w:r>
        <w:r w:rsidR="00D1005E">
          <w:rPr>
            <w:noProof/>
            <w:webHidden/>
          </w:rPr>
        </w:r>
        <w:r w:rsidR="00D1005E">
          <w:rPr>
            <w:noProof/>
            <w:webHidden/>
          </w:rPr>
          <w:fldChar w:fldCharType="separate"/>
        </w:r>
        <w:r w:rsidR="008D0D42">
          <w:rPr>
            <w:noProof/>
            <w:webHidden/>
          </w:rPr>
          <w:t>58</w:t>
        </w:r>
        <w:r w:rsidR="00D1005E">
          <w:rPr>
            <w:noProof/>
            <w:webHidden/>
          </w:rPr>
          <w:fldChar w:fldCharType="end"/>
        </w:r>
      </w:hyperlink>
    </w:p>
    <w:p w14:paraId="26AFF0DB" w14:textId="135B4374" w:rsidR="00D1005E" w:rsidRDefault="009A5F60">
      <w:pPr>
        <w:pStyle w:val="TableofFigures"/>
        <w:tabs>
          <w:tab w:val="right" w:leader="dot" w:pos="9016"/>
        </w:tabs>
        <w:rPr>
          <w:rFonts w:eastAsiaTheme="minorEastAsia"/>
          <w:noProof/>
          <w:lang w:eastAsia="en-AU"/>
        </w:rPr>
      </w:pPr>
      <w:hyperlink w:anchor="_Toc95983477" w:history="1">
        <w:r w:rsidR="00D1005E" w:rsidRPr="004860D7">
          <w:rPr>
            <w:rStyle w:val="Hyperlink"/>
            <w:noProof/>
          </w:rPr>
          <w:t>Figure 31.  Distribution of estimated benefits from NLIS</w:t>
        </w:r>
        <w:r w:rsidR="00D1005E">
          <w:rPr>
            <w:noProof/>
            <w:webHidden/>
          </w:rPr>
          <w:tab/>
        </w:r>
        <w:r w:rsidR="00D1005E">
          <w:rPr>
            <w:noProof/>
            <w:webHidden/>
          </w:rPr>
          <w:fldChar w:fldCharType="begin"/>
        </w:r>
        <w:r w:rsidR="00D1005E">
          <w:rPr>
            <w:noProof/>
            <w:webHidden/>
          </w:rPr>
          <w:instrText xml:space="preserve"> PAGEREF _Toc95983477 \h </w:instrText>
        </w:r>
        <w:r w:rsidR="00D1005E">
          <w:rPr>
            <w:noProof/>
            <w:webHidden/>
          </w:rPr>
        </w:r>
        <w:r w:rsidR="00D1005E">
          <w:rPr>
            <w:noProof/>
            <w:webHidden/>
          </w:rPr>
          <w:fldChar w:fldCharType="separate"/>
        </w:r>
        <w:r w:rsidR="008D0D42">
          <w:rPr>
            <w:noProof/>
            <w:webHidden/>
          </w:rPr>
          <w:t>61</w:t>
        </w:r>
        <w:r w:rsidR="00D1005E">
          <w:rPr>
            <w:noProof/>
            <w:webHidden/>
          </w:rPr>
          <w:fldChar w:fldCharType="end"/>
        </w:r>
      </w:hyperlink>
    </w:p>
    <w:p w14:paraId="46B7D4CE" w14:textId="7C1DDD44" w:rsidR="00D1005E" w:rsidRDefault="009A5F60">
      <w:pPr>
        <w:pStyle w:val="TableofFigures"/>
        <w:tabs>
          <w:tab w:val="right" w:leader="dot" w:pos="9016"/>
        </w:tabs>
        <w:rPr>
          <w:rFonts w:eastAsiaTheme="minorEastAsia"/>
          <w:noProof/>
          <w:lang w:eastAsia="en-AU"/>
        </w:rPr>
      </w:pPr>
      <w:hyperlink w:anchor="_Toc95983478" w:history="1">
        <w:r w:rsidR="00D1005E" w:rsidRPr="004860D7">
          <w:rPr>
            <w:rStyle w:val="Hyperlink"/>
            <w:noProof/>
          </w:rPr>
          <w:t>Figure 32.  Assumed relationship between disease cost and traceability</w:t>
        </w:r>
        <w:r w:rsidR="00D1005E">
          <w:rPr>
            <w:noProof/>
            <w:webHidden/>
          </w:rPr>
          <w:tab/>
        </w:r>
        <w:r w:rsidR="00D1005E">
          <w:rPr>
            <w:noProof/>
            <w:webHidden/>
          </w:rPr>
          <w:fldChar w:fldCharType="begin"/>
        </w:r>
        <w:r w:rsidR="00D1005E">
          <w:rPr>
            <w:noProof/>
            <w:webHidden/>
          </w:rPr>
          <w:instrText xml:space="preserve"> PAGEREF _Toc95983478 \h </w:instrText>
        </w:r>
        <w:r w:rsidR="00D1005E">
          <w:rPr>
            <w:noProof/>
            <w:webHidden/>
          </w:rPr>
        </w:r>
        <w:r w:rsidR="00D1005E">
          <w:rPr>
            <w:noProof/>
            <w:webHidden/>
          </w:rPr>
          <w:fldChar w:fldCharType="separate"/>
        </w:r>
        <w:r w:rsidR="008D0D42">
          <w:rPr>
            <w:noProof/>
            <w:webHidden/>
          </w:rPr>
          <w:t>63</w:t>
        </w:r>
        <w:r w:rsidR="00D1005E">
          <w:rPr>
            <w:noProof/>
            <w:webHidden/>
          </w:rPr>
          <w:fldChar w:fldCharType="end"/>
        </w:r>
      </w:hyperlink>
    </w:p>
    <w:p w14:paraId="156BB51C" w14:textId="4546773D" w:rsidR="00D1005E" w:rsidRDefault="009A5F60">
      <w:pPr>
        <w:pStyle w:val="TableofFigures"/>
        <w:tabs>
          <w:tab w:val="right" w:leader="dot" w:pos="9016"/>
        </w:tabs>
        <w:rPr>
          <w:rFonts w:eastAsiaTheme="minorEastAsia"/>
          <w:noProof/>
          <w:lang w:eastAsia="en-AU"/>
        </w:rPr>
      </w:pPr>
      <w:hyperlink w:anchor="_Toc95983479" w:history="1">
        <w:r w:rsidR="00D1005E" w:rsidRPr="004860D7">
          <w:rPr>
            <w:rStyle w:val="Hyperlink"/>
            <w:noProof/>
          </w:rPr>
          <w:t>Figure 33. Distribution of benefits from genetic improvement</w:t>
        </w:r>
        <w:r w:rsidR="00D1005E">
          <w:rPr>
            <w:noProof/>
            <w:webHidden/>
          </w:rPr>
          <w:tab/>
        </w:r>
        <w:r w:rsidR="00D1005E">
          <w:rPr>
            <w:noProof/>
            <w:webHidden/>
          </w:rPr>
          <w:fldChar w:fldCharType="begin"/>
        </w:r>
        <w:r w:rsidR="00D1005E">
          <w:rPr>
            <w:noProof/>
            <w:webHidden/>
          </w:rPr>
          <w:instrText xml:space="preserve"> PAGEREF _Toc95983479 \h </w:instrText>
        </w:r>
        <w:r w:rsidR="00D1005E">
          <w:rPr>
            <w:noProof/>
            <w:webHidden/>
          </w:rPr>
        </w:r>
        <w:r w:rsidR="00D1005E">
          <w:rPr>
            <w:noProof/>
            <w:webHidden/>
          </w:rPr>
          <w:fldChar w:fldCharType="separate"/>
        </w:r>
        <w:r w:rsidR="008D0D42">
          <w:rPr>
            <w:noProof/>
            <w:webHidden/>
          </w:rPr>
          <w:t>69</w:t>
        </w:r>
        <w:r w:rsidR="00D1005E">
          <w:rPr>
            <w:noProof/>
            <w:webHidden/>
          </w:rPr>
          <w:fldChar w:fldCharType="end"/>
        </w:r>
      </w:hyperlink>
    </w:p>
    <w:p w14:paraId="600FB794" w14:textId="6A0919DE" w:rsidR="00D1005E" w:rsidRDefault="009A5F60">
      <w:pPr>
        <w:pStyle w:val="TableofFigures"/>
        <w:tabs>
          <w:tab w:val="right" w:leader="dot" w:pos="9016"/>
        </w:tabs>
        <w:rPr>
          <w:rFonts w:eastAsiaTheme="minorEastAsia"/>
          <w:noProof/>
          <w:lang w:eastAsia="en-AU"/>
        </w:rPr>
      </w:pPr>
      <w:hyperlink w:anchor="_Toc95983480" w:history="1">
        <w:r w:rsidR="00D1005E" w:rsidRPr="004860D7">
          <w:rPr>
            <w:rStyle w:val="Hyperlink"/>
            <w:noProof/>
          </w:rPr>
          <w:t>Figure 34. Elements of the IS2025 strategy, showing those that would be augmented with genomic identification (framed)</w:t>
        </w:r>
        <w:r w:rsidR="00D1005E">
          <w:rPr>
            <w:noProof/>
            <w:webHidden/>
          </w:rPr>
          <w:tab/>
        </w:r>
        <w:r w:rsidR="00D1005E">
          <w:rPr>
            <w:noProof/>
            <w:webHidden/>
          </w:rPr>
          <w:fldChar w:fldCharType="begin"/>
        </w:r>
        <w:r w:rsidR="00D1005E">
          <w:rPr>
            <w:noProof/>
            <w:webHidden/>
          </w:rPr>
          <w:instrText xml:space="preserve"> PAGEREF _Toc95983480 \h </w:instrText>
        </w:r>
        <w:r w:rsidR="00D1005E">
          <w:rPr>
            <w:noProof/>
            <w:webHidden/>
          </w:rPr>
        </w:r>
        <w:r w:rsidR="00D1005E">
          <w:rPr>
            <w:noProof/>
            <w:webHidden/>
          </w:rPr>
          <w:fldChar w:fldCharType="separate"/>
        </w:r>
        <w:r w:rsidR="008D0D42">
          <w:rPr>
            <w:noProof/>
            <w:webHidden/>
          </w:rPr>
          <w:t>75</w:t>
        </w:r>
        <w:r w:rsidR="00D1005E">
          <w:rPr>
            <w:noProof/>
            <w:webHidden/>
          </w:rPr>
          <w:fldChar w:fldCharType="end"/>
        </w:r>
      </w:hyperlink>
    </w:p>
    <w:p w14:paraId="5602A2BF" w14:textId="74F65CAC" w:rsidR="00D1005E" w:rsidRDefault="009A5F60">
      <w:pPr>
        <w:pStyle w:val="TableofFigures"/>
        <w:tabs>
          <w:tab w:val="right" w:leader="dot" w:pos="9016"/>
        </w:tabs>
        <w:rPr>
          <w:rFonts w:eastAsiaTheme="minorEastAsia"/>
          <w:noProof/>
          <w:lang w:eastAsia="en-AU"/>
        </w:rPr>
      </w:pPr>
      <w:hyperlink w:anchor="_Toc95983481" w:history="1">
        <w:r w:rsidR="00D1005E" w:rsidRPr="004860D7">
          <w:rPr>
            <w:rStyle w:val="Hyperlink"/>
            <w:noProof/>
          </w:rPr>
          <w:t>Figure 35.  Calculation of number of animals in a reference population and accuracy of breeding values (From Goddard and Hayes 2009)</w:t>
        </w:r>
        <w:r w:rsidR="00D1005E">
          <w:rPr>
            <w:noProof/>
            <w:webHidden/>
          </w:rPr>
          <w:tab/>
        </w:r>
        <w:r w:rsidR="00D1005E">
          <w:rPr>
            <w:noProof/>
            <w:webHidden/>
          </w:rPr>
          <w:fldChar w:fldCharType="begin"/>
        </w:r>
        <w:r w:rsidR="00D1005E">
          <w:rPr>
            <w:noProof/>
            <w:webHidden/>
          </w:rPr>
          <w:instrText xml:space="preserve"> PAGEREF _Toc95983481 \h </w:instrText>
        </w:r>
        <w:r w:rsidR="00D1005E">
          <w:rPr>
            <w:noProof/>
            <w:webHidden/>
          </w:rPr>
        </w:r>
        <w:r w:rsidR="00D1005E">
          <w:rPr>
            <w:noProof/>
            <w:webHidden/>
          </w:rPr>
          <w:fldChar w:fldCharType="separate"/>
        </w:r>
        <w:r w:rsidR="008D0D42">
          <w:rPr>
            <w:noProof/>
            <w:webHidden/>
          </w:rPr>
          <w:t>77</w:t>
        </w:r>
        <w:r w:rsidR="00D1005E">
          <w:rPr>
            <w:noProof/>
            <w:webHidden/>
          </w:rPr>
          <w:fldChar w:fldCharType="end"/>
        </w:r>
      </w:hyperlink>
    </w:p>
    <w:p w14:paraId="05E78D07" w14:textId="3E2A6E80" w:rsidR="00D23CFA" w:rsidRDefault="000C4B11">
      <w:pPr>
        <w:rPr>
          <w:b/>
          <w:bCs/>
        </w:rPr>
      </w:pPr>
      <w:r>
        <w:rPr>
          <w:b/>
          <w:bCs/>
        </w:rPr>
        <w:fldChar w:fldCharType="end"/>
      </w:r>
    </w:p>
    <w:p w14:paraId="65C90108" w14:textId="77777777" w:rsidR="007930C5" w:rsidRDefault="007930C5">
      <w:pPr>
        <w:rPr>
          <w:b/>
          <w:bCs/>
        </w:rPr>
      </w:pPr>
      <w:r>
        <w:rPr>
          <w:b/>
          <w:bCs/>
        </w:rPr>
        <w:br w:type="page"/>
      </w:r>
    </w:p>
    <w:p w14:paraId="6B3986BD" w14:textId="77777777" w:rsidR="007930C5" w:rsidRDefault="007930C5" w:rsidP="007930C5">
      <w:pPr>
        <w:rPr>
          <w:b/>
          <w:bCs/>
        </w:rPr>
      </w:pPr>
      <w:r>
        <w:rPr>
          <w:b/>
          <w:bCs/>
        </w:rPr>
        <w:lastRenderedPageBreak/>
        <w:t>Abbreviations and Acronyms</w:t>
      </w:r>
    </w:p>
    <w:p w14:paraId="18F30403" w14:textId="77777777" w:rsidR="007930C5" w:rsidRDefault="007930C5" w:rsidP="009143DF">
      <w:pPr>
        <w:rPr>
          <w:b/>
          <w:bCs/>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10"/>
      </w:tblGrid>
      <w:tr w:rsidR="007930C5" w:rsidRPr="004560D2" w14:paraId="368B7A53" w14:textId="77777777" w:rsidTr="009143DF">
        <w:tc>
          <w:tcPr>
            <w:tcW w:w="1271" w:type="dxa"/>
          </w:tcPr>
          <w:p w14:paraId="3DEDAA9A" w14:textId="77777777" w:rsidR="007930C5" w:rsidRPr="004560D2" w:rsidRDefault="007930C5" w:rsidP="009143DF">
            <w:r w:rsidRPr="004560D2">
              <w:t xml:space="preserve">ABARES </w:t>
            </w:r>
          </w:p>
        </w:tc>
        <w:tc>
          <w:tcPr>
            <w:tcW w:w="7710" w:type="dxa"/>
          </w:tcPr>
          <w:p w14:paraId="61B6A2AC" w14:textId="77777777" w:rsidR="007930C5" w:rsidRPr="004560D2" w:rsidRDefault="007930C5" w:rsidP="009143DF">
            <w:r w:rsidRPr="004560D2">
              <w:t>Australian Bureau of Agricultural and Resource Economics and Sciences</w:t>
            </w:r>
          </w:p>
        </w:tc>
      </w:tr>
      <w:tr w:rsidR="007930C5" w:rsidRPr="004560D2" w14:paraId="14E07739" w14:textId="77777777" w:rsidTr="009143DF">
        <w:tc>
          <w:tcPr>
            <w:tcW w:w="1271" w:type="dxa"/>
          </w:tcPr>
          <w:p w14:paraId="1FE093D4" w14:textId="77777777" w:rsidR="007930C5" w:rsidRPr="004560D2" w:rsidRDefault="007930C5" w:rsidP="009143DF">
            <w:r>
              <w:t>ABRI</w:t>
            </w:r>
          </w:p>
        </w:tc>
        <w:tc>
          <w:tcPr>
            <w:tcW w:w="7710" w:type="dxa"/>
          </w:tcPr>
          <w:p w14:paraId="0593DF0C" w14:textId="77777777" w:rsidR="007930C5" w:rsidRPr="004560D2" w:rsidRDefault="007930C5" w:rsidP="009143DF">
            <w:r>
              <w:t>Agricultural Business Research Institute</w:t>
            </w:r>
          </w:p>
        </w:tc>
      </w:tr>
      <w:tr w:rsidR="007930C5" w:rsidRPr="004560D2" w14:paraId="03F46A5B" w14:textId="77777777" w:rsidTr="009143DF">
        <w:tc>
          <w:tcPr>
            <w:tcW w:w="1271" w:type="dxa"/>
          </w:tcPr>
          <w:p w14:paraId="024A9177" w14:textId="77777777" w:rsidR="007930C5" w:rsidRPr="004560D2" w:rsidRDefault="007930C5" w:rsidP="009143DF">
            <w:r w:rsidRPr="004560D2">
              <w:t>ABS</w:t>
            </w:r>
          </w:p>
        </w:tc>
        <w:tc>
          <w:tcPr>
            <w:tcW w:w="7710" w:type="dxa"/>
          </w:tcPr>
          <w:p w14:paraId="01BB27D9" w14:textId="77777777" w:rsidR="007930C5" w:rsidRPr="004560D2" w:rsidRDefault="007930C5" w:rsidP="009143DF">
            <w:r w:rsidRPr="004560D2">
              <w:t xml:space="preserve">Australian Bureau of Statistics </w:t>
            </w:r>
          </w:p>
        </w:tc>
      </w:tr>
      <w:tr w:rsidR="007930C5" w:rsidRPr="004560D2" w14:paraId="5337ECFC" w14:textId="77777777" w:rsidTr="009143DF">
        <w:tc>
          <w:tcPr>
            <w:tcW w:w="1271" w:type="dxa"/>
          </w:tcPr>
          <w:p w14:paraId="52A0EA36" w14:textId="77777777" w:rsidR="007930C5" w:rsidRPr="004560D2" w:rsidRDefault="007930C5" w:rsidP="009143DF">
            <w:r w:rsidRPr="004560D2">
              <w:t xml:space="preserve">AGBU </w:t>
            </w:r>
          </w:p>
        </w:tc>
        <w:tc>
          <w:tcPr>
            <w:tcW w:w="7710" w:type="dxa"/>
          </w:tcPr>
          <w:p w14:paraId="024604EF" w14:textId="77777777" w:rsidR="007930C5" w:rsidRPr="004560D2" w:rsidRDefault="007930C5" w:rsidP="009143DF">
            <w:r w:rsidRPr="004560D2">
              <w:t>Animal Genetics and Breeding Unit</w:t>
            </w:r>
          </w:p>
        </w:tc>
      </w:tr>
      <w:tr w:rsidR="007930C5" w:rsidRPr="004560D2" w14:paraId="052766CA" w14:textId="77777777" w:rsidTr="009143DF">
        <w:tc>
          <w:tcPr>
            <w:tcW w:w="1271" w:type="dxa"/>
          </w:tcPr>
          <w:p w14:paraId="238B672D" w14:textId="77777777" w:rsidR="007930C5" w:rsidRPr="004560D2" w:rsidRDefault="007930C5" w:rsidP="009143DF">
            <w:r w:rsidRPr="004560D2">
              <w:t>ALEC</w:t>
            </w:r>
          </w:p>
        </w:tc>
        <w:tc>
          <w:tcPr>
            <w:tcW w:w="7710" w:type="dxa"/>
          </w:tcPr>
          <w:p w14:paraId="3601FBD8" w14:textId="77777777" w:rsidR="007930C5" w:rsidRPr="004560D2" w:rsidRDefault="007930C5" w:rsidP="009143DF">
            <w:r w:rsidRPr="004560D2">
              <w:t xml:space="preserve">Australian Livestock Exporters’ Council </w:t>
            </w:r>
          </w:p>
        </w:tc>
      </w:tr>
      <w:tr w:rsidR="007930C5" w:rsidRPr="004560D2" w14:paraId="7BAEC6B8" w14:textId="77777777" w:rsidTr="009143DF">
        <w:tc>
          <w:tcPr>
            <w:tcW w:w="1271" w:type="dxa"/>
          </w:tcPr>
          <w:p w14:paraId="539EF447" w14:textId="77777777" w:rsidR="007930C5" w:rsidRPr="004560D2" w:rsidRDefault="007930C5" w:rsidP="009143DF">
            <w:r w:rsidRPr="004560D2">
              <w:t>ALFA</w:t>
            </w:r>
          </w:p>
        </w:tc>
        <w:tc>
          <w:tcPr>
            <w:tcW w:w="7710" w:type="dxa"/>
          </w:tcPr>
          <w:p w14:paraId="140E17AB" w14:textId="77777777" w:rsidR="007930C5" w:rsidRPr="004560D2" w:rsidRDefault="007930C5" w:rsidP="009143DF">
            <w:r w:rsidRPr="004560D2">
              <w:t>Australian Lot Feeders’ Association</w:t>
            </w:r>
          </w:p>
        </w:tc>
      </w:tr>
      <w:tr w:rsidR="007930C5" w:rsidRPr="004560D2" w14:paraId="73160DF4" w14:textId="77777777" w:rsidTr="009143DF">
        <w:tc>
          <w:tcPr>
            <w:tcW w:w="1271" w:type="dxa"/>
          </w:tcPr>
          <w:p w14:paraId="7B0A8B9C" w14:textId="77777777" w:rsidR="007930C5" w:rsidRPr="004560D2" w:rsidRDefault="007930C5" w:rsidP="009143DF">
            <w:r w:rsidRPr="004560D2">
              <w:t>ALPA</w:t>
            </w:r>
          </w:p>
        </w:tc>
        <w:tc>
          <w:tcPr>
            <w:tcW w:w="7710" w:type="dxa"/>
          </w:tcPr>
          <w:p w14:paraId="5E9AC8CB" w14:textId="77777777" w:rsidR="007930C5" w:rsidRPr="004560D2" w:rsidRDefault="007930C5" w:rsidP="009143DF">
            <w:r w:rsidRPr="004560D2">
              <w:t xml:space="preserve">Australian Livestock and Property Agents </w:t>
            </w:r>
          </w:p>
        </w:tc>
      </w:tr>
      <w:tr w:rsidR="007930C5" w:rsidRPr="004560D2" w14:paraId="22A726DE" w14:textId="77777777" w:rsidTr="009143DF">
        <w:tc>
          <w:tcPr>
            <w:tcW w:w="1271" w:type="dxa"/>
          </w:tcPr>
          <w:p w14:paraId="30222D4C" w14:textId="77777777" w:rsidR="007930C5" w:rsidRPr="004560D2" w:rsidRDefault="007930C5" w:rsidP="009143DF">
            <w:r w:rsidRPr="004560D2">
              <w:t>AMIC</w:t>
            </w:r>
          </w:p>
        </w:tc>
        <w:tc>
          <w:tcPr>
            <w:tcW w:w="7710" w:type="dxa"/>
          </w:tcPr>
          <w:p w14:paraId="2A308691" w14:textId="3A8FF0C5" w:rsidR="007930C5" w:rsidRPr="004560D2" w:rsidRDefault="007930C5" w:rsidP="009143DF">
            <w:pPr>
              <w:tabs>
                <w:tab w:val="right" w:pos="7529"/>
              </w:tabs>
            </w:pPr>
            <w:r w:rsidRPr="004560D2">
              <w:t>Australian Meat Industry Council</w:t>
            </w:r>
          </w:p>
        </w:tc>
      </w:tr>
      <w:tr w:rsidR="007930C5" w:rsidRPr="004560D2" w14:paraId="71350D5B" w14:textId="77777777" w:rsidTr="009143DF">
        <w:tc>
          <w:tcPr>
            <w:tcW w:w="1271" w:type="dxa"/>
          </w:tcPr>
          <w:p w14:paraId="018AE35A" w14:textId="77777777" w:rsidR="007930C5" w:rsidRPr="004560D2" w:rsidRDefault="007930C5" w:rsidP="009143DF">
            <w:r w:rsidRPr="004560D2">
              <w:t>AMPC</w:t>
            </w:r>
          </w:p>
        </w:tc>
        <w:tc>
          <w:tcPr>
            <w:tcW w:w="7710" w:type="dxa"/>
          </w:tcPr>
          <w:p w14:paraId="484098DC" w14:textId="77777777" w:rsidR="007930C5" w:rsidRPr="004560D2" w:rsidRDefault="007930C5" w:rsidP="009143DF">
            <w:r w:rsidRPr="004560D2">
              <w:t>Australian Meat Processor Corporation</w:t>
            </w:r>
          </w:p>
        </w:tc>
      </w:tr>
      <w:tr w:rsidR="007930C5" w:rsidRPr="004560D2" w14:paraId="31F6F749" w14:textId="77777777" w:rsidTr="009143DF">
        <w:tc>
          <w:tcPr>
            <w:tcW w:w="1271" w:type="dxa"/>
          </w:tcPr>
          <w:p w14:paraId="1B4E54C5" w14:textId="77777777" w:rsidR="007930C5" w:rsidRPr="004560D2" w:rsidRDefault="007930C5" w:rsidP="009143DF">
            <w:r w:rsidRPr="004560D2">
              <w:t>ARCBA</w:t>
            </w:r>
          </w:p>
        </w:tc>
        <w:tc>
          <w:tcPr>
            <w:tcW w:w="7710" w:type="dxa"/>
          </w:tcPr>
          <w:p w14:paraId="2716D505" w14:textId="77777777" w:rsidR="007930C5" w:rsidRPr="004560D2" w:rsidRDefault="007930C5" w:rsidP="009143DF">
            <w:r w:rsidRPr="004560D2">
              <w:t>Australian Registered Cattle Breeders Association</w:t>
            </w:r>
          </w:p>
        </w:tc>
      </w:tr>
      <w:tr w:rsidR="007930C5" w:rsidRPr="004560D2" w14:paraId="27E147C2" w14:textId="77777777" w:rsidTr="009143DF">
        <w:tc>
          <w:tcPr>
            <w:tcW w:w="1271" w:type="dxa"/>
          </w:tcPr>
          <w:p w14:paraId="6A797685" w14:textId="77777777" w:rsidR="007930C5" w:rsidRPr="004560D2" w:rsidRDefault="007930C5" w:rsidP="009143DF">
            <w:r>
              <w:t>AUS-MEAT</w:t>
            </w:r>
          </w:p>
        </w:tc>
        <w:tc>
          <w:tcPr>
            <w:tcW w:w="7710" w:type="dxa"/>
          </w:tcPr>
          <w:p w14:paraId="50C4C5B3" w14:textId="77777777" w:rsidR="007930C5" w:rsidRPr="004560D2" w:rsidRDefault="007930C5" w:rsidP="009143DF">
            <w:r w:rsidRPr="005B1A97">
              <w:t>A joint venture between AMPC and MLA, responsible for management of trade descriptors and national accreditation standards for red meat</w:t>
            </w:r>
          </w:p>
        </w:tc>
      </w:tr>
      <w:tr w:rsidR="007930C5" w:rsidRPr="004560D2" w14:paraId="2F3C3BB4" w14:textId="77777777" w:rsidTr="009143DF">
        <w:tc>
          <w:tcPr>
            <w:tcW w:w="1271" w:type="dxa"/>
          </w:tcPr>
          <w:p w14:paraId="088AAE41" w14:textId="77777777" w:rsidR="007930C5" w:rsidRPr="004560D2" w:rsidRDefault="007930C5" w:rsidP="009143DF">
            <w:r>
              <w:t>BCA</w:t>
            </w:r>
          </w:p>
        </w:tc>
        <w:tc>
          <w:tcPr>
            <w:tcW w:w="7710" w:type="dxa"/>
          </w:tcPr>
          <w:p w14:paraId="4B4B9FBF" w14:textId="77777777" w:rsidR="007930C5" w:rsidRPr="004560D2" w:rsidRDefault="007930C5" w:rsidP="009143DF">
            <w:r>
              <w:t>Benefit-cost analysis</w:t>
            </w:r>
          </w:p>
        </w:tc>
      </w:tr>
      <w:tr w:rsidR="007930C5" w:rsidRPr="004560D2" w14:paraId="161F8751" w14:textId="77777777" w:rsidTr="009143DF">
        <w:tc>
          <w:tcPr>
            <w:tcW w:w="1271" w:type="dxa"/>
          </w:tcPr>
          <w:p w14:paraId="34CB2FA6" w14:textId="77777777" w:rsidR="007930C5" w:rsidRPr="004560D2" w:rsidRDefault="007930C5" w:rsidP="009143DF">
            <w:r>
              <w:t>BSE</w:t>
            </w:r>
          </w:p>
        </w:tc>
        <w:tc>
          <w:tcPr>
            <w:tcW w:w="7710" w:type="dxa"/>
          </w:tcPr>
          <w:p w14:paraId="71EFC32D" w14:textId="77777777" w:rsidR="007930C5" w:rsidRPr="004560D2" w:rsidRDefault="007930C5" w:rsidP="009143DF">
            <w:r w:rsidRPr="008D3F7D">
              <w:t>Bovine Spongiform Encephalopathy</w:t>
            </w:r>
          </w:p>
        </w:tc>
      </w:tr>
      <w:tr w:rsidR="007930C5" w:rsidRPr="004560D2" w14:paraId="4C7B32B8" w14:textId="77777777" w:rsidTr="009143DF">
        <w:tc>
          <w:tcPr>
            <w:tcW w:w="1271" w:type="dxa"/>
          </w:tcPr>
          <w:p w14:paraId="5296EC8A" w14:textId="77777777" w:rsidR="007930C5" w:rsidRPr="004560D2" w:rsidRDefault="007930C5" w:rsidP="009143DF">
            <w:r w:rsidRPr="004560D2">
              <w:t xml:space="preserve">CCA </w:t>
            </w:r>
          </w:p>
        </w:tc>
        <w:tc>
          <w:tcPr>
            <w:tcW w:w="7710" w:type="dxa"/>
          </w:tcPr>
          <w:p w14:paraId="02FD5A3B" w14:textId="77777777" w:rsidR="007930C5" w:rsidRPr="004560D2" w:rsidRDefault="007930C5" w:rsidP="009143DF">
            <w:r w:rsidRPr="004560D2">
              <w:t>Cattle Council of Australia</w:t>
            </w:r>
          </w:p>
        </w:tc>
      </w:tr>
      <w:tr w:rsidR="007930C5" w:rsidRPr="00A72C8F" w14:paraId="7F1E50DE" w14:textId="77777777" w:rsidTr="009143DF">
        <w:tc>
          <w:tcPr>
            <w:tcW w:w="1271" w:type="dxa"/>
          </w:tcPr>
          <w:p w14:paraId="2D5599E9" w14:textId="77777777" w:rsidR="007930C5" w:rsidRPr="00A72C8F" w:rsidRDefault="007930C5" w:rsidP="009143DF">
            <w:r>
              <w:t>CSIRO</w:t>
            </w:r>
          </w:p>
        </w:tc>
        <w:tc>
          <w:tcPr>
            <w:tcW w:w="7710" w:type="dxa"/>
          </w:tcPr>
          <w:p w14:paraId="47FE3AB0" w14:textId="77777777" w:rsidR="007930C5" w:rsidRPr="00A72C8F" w:rsidRDefault="007930C5" w:rsidP="009143DF">
            <w:r>
              <w:t>Commonwealth Scientific and Industrial Research Organisation</w:t>
            </w:r>
          </w:p>
        </w:tc>
      </w:tr>
      <w:tr w:rsidR="007930C5" w:rsidRPr="00A72C8F" w14:paraId="26483C05" w14:textId="77777777" w:rsidTr="009143DF">
        <w:tc>
          <w:tcPr>
            <w:tcW w:w="1271" w:type="dxa"/>
          </w:tcPr>
          <w:p w14:paraId="49115A2C" w14:textId="77777777" w:rsidR="007930C5" w:rsidRPr="00A72C8F" w:rsidRDefault="007930C5" w:rsidP="009143DF">
            <w:r w:rsidRPr="00A72C8F">
              <w:t>DAFF</w:t>
            </w:r>
          </w:p>
        </w:tc>
        <w:tc>
          <w:tcPr>
            <w:tcW w:w="7710" w:type="dxa"/>
          </w:tcPr>
          <w:p w14:paraId="39BD17D6" w14:textId="77777777" w:rsidR="007930C5" w:rsidRPr="00A72C8F" w:rsidRDefault="007930C5" w:rsidP="009143DF">
            <w:r w:rsidRPr="00A72C8F">
              <w:t>Department of Agriculture, Fisheries and Forestry</w:t>
            </w:r>
            <w:r>
              <w:t xml:space="preserve"> (now Department of Agriculture)</w:t>
            </w:r>
          </w:p>
        </w:tc>
      </w:tr>
      <w:tr w:rsidR="007930C5" w:rsidRPr="004560D2" w14:paraId="6481D7EB" w14:textId="77777777" w:rsidTr="009143DF">
        <w:tc>
          <w:tcPr>
            <w:tcW w:w="1271" w:type="dxa"/>
          </w:tcPr>
          <w:p w14:paraId="3C334609" w14:textId="77777777" w:rsidR="007930C5" w:rsidRPr="004560D2" w:rsidRDefault="007930C5" w:rsidP="009143DF">
            <w:r w:rsidRPr="004560D2">
              <w:t xml:space="preserve">DNA </w:t>
            </w:r>
          </w:p>
        </w:tc>
        <w:tc>
          <w:tcPr>
            <w:tcW w:w="7710" w:type="dxa"/>
          </w:tcPr>
          <w:p w14:paraId="1612A648" w14:textId="77777777" w:rsidR="007930C5" w:rsidRPr="004560D2" w:rsidRDefault="007930C5" w:rsidP="009143DF">
            <w:r w:rsidRPr="004560D2">
              <w:t>Deoxyribonucleic Acid</w:t>
            </w:r>
          </w:p>
        </w:tc>
      </w:tr>
      <w:tr w:rsidR="00214C0B" w:rsidRPr="004560D2" w14:paraId="098DE725" w14:textId="77777777" w:rsidTr="009143DF">
        <w:tc>
          <w:tcPr>
            <w:tcW w:w="1271" w:type="dxa"/>
          </w:tcPr>
          <w:p w14:paraId="0F3A7C5C" w14:textId="77777777" w:rsidR="00214C0B" w:rsidRDefault="00214C0B" w:rsidP="009143DF">
            <w:r>
              <w:t>EBV</w:t>
            </w:r>
          </w:p>
        </w:tc>
        <w:tc>
          <w:tcPr>
            <w:tcW w:w="7710" w:type="dxa"/>
          </w:tcPr>
          <w:p w14:paraId="51C18EBE" w14:textId="77777777" w:rsidR="00214C0B" w:rsidRDefault="00214C0B" w:rsidP="009143DF">
            <w:r>
              <w:t>Estimated Breeding Value</w:t>
            </w:r>
          </w:p>
        </w:tc>
      </w:tr>
      <w:tr w:rsidR="007930C5" w:rsidRPr="004B39D8" w14:paraId="3F362705" w14:textId="77777777" w:rsidTr="009143DF">
        <w:tc>
          <w:tcPr>
            <w:tcW w:w="1271" w:type="dxa"/>
          </w:tcPr>
          <w:p w14:paraId="64454250" w14:textId="77777777" w:rsidR="007930C5" w:rsidRPr="004B39D8" w:rsidRDefault="007930C5" w:rsidP="009143DF">
            <w:r>
              <w:t>EID</w:t>
            </w:r>
          </w:p>
        </w:tc>
        <w:tc>
          <w:tcPr>
            <w:tcW w:w="7710" w:type="dxa"/>
          </w:tcPr>
          <w:p w14:paraId="500DDF23" w14:textId="77777777" w:rsidR="007930C5" w:rsidRPr="004B39D8" w:rsidRDefault="007930C5" w:rsidP="009143DF">
            <w:r w:rsidRPr="004B39D8">
              <w:t>Electronic Identification</w:t>
            </w:r>
          </w:p>
        </w:tc>
      </w:tr>
      <w:tr w:rsidR="007930C5" w:rsidRPr="004560D2" w14:paraId="2E68A466" w14:textId="77777777" w:rsidTr="009143DF">
        <w:tc>
          <w:tcPr>
            <w:tcW w:w="1271" w:type="dxa"/>
          </w:tcPr>
          <w:p w14:paraId="1B83B479" w14:textId="77777777" w:rsidR="007930C5" w:rsidRDefault="007930C5" w:rsidP="009143DF">
            <w:r>
              <w:t>EQ</w:t>
            </w:r>
          </w:p>
        </w:tc>
        <w:tc>
          <w:tcPr>
            <w:tcW w:w="7710" w:type="dxa"/>
          </w:tcPr>
          <w:p w14:paraId="26AF4EA4" w14:textId="77777777" w:rsidR="007930C5" w:rsidRDefault="007930C5" w:rsidP="009143DF">
            <w:r>
              <w:t>Eating Quality</w:t>
            </w:r>
          </w:p>
        </w:tc>
      </w:tr>
      <w:tr w:rsidR="007930C5" w:rsidRPr="004560D2" w14:paraId="56ABF0D2" w14:textId="77777777" w:rsidTr="009143DF">
        <w:tc>
          <w:tcPr>
            <w:tcW w:w="1271" w:type="dxa"/>
          </w:tcPr>
          <w:p w14:paraId="7F77A715" w14:textId="77777777" w:rsidR="007930C5" w:rsidRDefault="007930C5" w:rsidP="009143DF">
            <w:r>
              <w:t>FI</w:t>
            </w:r>
          </w:p>
        </w:tc>
        <w:tc>
          <w:tcPr>
            <w:tcW w:w="7710" w:type="dxa"/>
          </w:tcPr>
          <w:p w14:paraId="2C51BC27" w14:textId="77777777" w:rsidR="007930C5" w:rsidRDefault="007930C5" w:rsidP="009143DF">
            <w:r>
              <w:t>(Net) Feed Intake</w:t>
            </w:r>
          </w:p>
        </w:tc>
      </w:tr>
      <w:tr w:rsidR="007930C5" w:rsidRPr="004560D2" w14:paraId="15299DF5" w14:textId="77777777" w:rsidTr="009143DF">
        <w:tc>
          <w:tcPr>
            <w:tcW w:w="1271" w:type="dxa"/>
          </w:tcPr>
          <w:p w14:paraId="1D427B2A" w14:textId="77777777" w:rsidR="007930C5" w:rsidRDefault="007930C5" w:rsidP="009143DF">
            <w:r>
              <w:t>FMD</w:t>
            </w:r>
          </w:p>
        </w:tc>
        <w:tc>
          <w:tcPr>
            <w:tcW w:w="7710" w:type="dxa"/>
          </w:tcPr>
          <w:p w14:paraId="1A7BA9B1" w14:textId="77777777" w:rsidR="007930C5" w:rsidRDefault="007930C5" w:rsidP="009143DF">
            <w:r>
              <w:t>Foot and Mouth Disease</w:t>
            </w:r>
          </w:p>
        </w:tc>
      </w:tr>
      <w:tr w:rsidR="007930C5" w:rsidRPr="004560D2" w14:paraId="51C65B68" w14:textId="77777777" w:rsidTr="009143DF">
        <w:tc>
          <w:tcPr>
            <w:tcW w:w="1271" w:type="dxa"/>
          </w:tcPr>
          <w:p w14:paraId="789D6B62" w14:textId="77777777" w:rsidR="007930C5" w:rsidRPr="004560D2" w:rsidRDefault="007930C5" w:rsidP="009143DF">
            <w:r>
              <w:t>GBS</w:t>
            </w:r>
          </w:p>
        </w:tc>
        <w:tc>
          <w:tcPr>
            <w:tcW w:w="7710" w:type="dxa"/>
          </w:tcPr>
          <w:p w14:paraId="4A2D9553" w14:textId="77777777" w:rsidR="007930C5" w:rsidRPr="004560D2" w:rsidRDefault="007930C5" w:rsidP="009143DF">
            <w:r>
              <w:t>Genotyping by Sequencing</w:t>
            </w:r>
          </w:p>
        </w:tc>
      </w:tr>
      <w:tr w:rsidR="00AB500A" w:rsidRPr="004560D2" w14:paraId="020C58C3" w14:textId="77777777" w:rsidTr="009143DF">
        <w:tc>
          <w:tcPr>
            <w:tcW w:w="1271" w:type="dxa"/>
          </w:tcPr>
          <w:p w14:paraId="38C7E5B9" w14:textId="09532548" w:rsidR="00AB500A" w:rsidRPr="004560D2" w:rsidRDefault="00AB500A" w:rsidP="009143DF">
            <w:r>
              <w:t>ICAR</w:t>
            </w:r>
          </w:p>
        </w:tc>
        <w:tc>
          <w:tcPr>
            <w:tcW w:w="7710" w:type="dxa"/>
          </w:tcPr>
          <w:p w14:paraId="67C4C026" w14:textId="5919E217" w:rsidR="00AB500A" w:rsidRPr="004560D2" w:rsidRDefault="00AB500A" w:rsidP="009143DF">
            <w:r w:rsidRPr="000623D5">
              <w:t>International Committee for Animal Recording</w:t>
            </w:r>
          </w:p>
        </w:tc>
      </w:tr>
      <w:tr w:rsidR="007930C5" w:rsidRPr="004560D2" w14:paraId="5BFC9862" w14:textId="77777777" w:rsidTr="009143DF">
        <w:tc>
          <w:tcPr>
            <w:tcW w:w="1271" w:type="dxa"/>
          </w:tcPr>
          <w:p w14:paraId="41AD7ED8" w14:textId="77777777" w:rsidR="007930C5" w:rsidRPr="004560D2" w:rsidRDefault="007930C5" w:rsidP="009143DF">
            <w:r w:rsidRPr="004560D2">
              <w:t>ISC</w:t>
            </w:r>
          </w:p>
        </w:tc>
        <w:tc>
          <w:tcPr>
            <w:tcW w:w="7710" w:type="dxa"/>
          </w:tcPr>
          <w:p w14:paraId="37E80B0C" w14:textId="77777777" w:rsidR="007930C5" w:rsidRPr="004560D2" w:rsidRDefault="007930C5" w:rsidP="009143DF">
            <w:r w:rsidRPr="004560D2">
              <w:t>Integrity Systems Company</w:t>
            </w:r>
          </w:p>
        </w:tc>
      </w:tr>
      <w:tr w:rsidR="007930C5" w:rsidRPr="004560D2" w14:paraId="5C3BBAEC" w14:textId="77777777" w:rsidTr="009143DF">
        <w:tc>
          <w:tcPr>
            <w:tcW w:w="1271" w:type="dxa"/>
          </w:tcPr>
          <w:p w14:paraId="046EDD51" w14:textId="77777777" w:rsidR="007930C5" w:rsidRPr="004560D2" w:rsidRDefault="007930C5" w:rsidP="009143DF">
            <w:r w:rsidRPr="004560D2">
              <w:t>LDL</w:t>
            </w:r>
          </w:p>
        </w:tc>
        <w:tc>
          <w:tcPr>
            <w:tcW w:w="7710" w:type="dxa"/>
          </w:tcPr>
          <w:p w14:paraId="2C2D2D9D" w14:textId="77777777" w:rsidR="007930C5" w:rsidRPr="004560D2" w:rsidRDefault="007930C5" w:rsidP="009143DF">
            <w:r w:rsidRPr="004560D2">
              <w:t>Livestock Data Link</w:t>
            </w:r>
          </w:p>
        </w:tc>
      </w:tr>
      <w:tr w:rsidR="007930C5" w:rsidRPr="004560D2" w14:paraId="2E5B3FE4" w14:textId="77777777" w:rsidTr="009143DF">
        <w:tc>
          <w:tcPr>
            <w:tcW w:w="1271" w:type="dxa"/>
          </w:tcPr>
          <w:p w14:paraId="7A7ED63C" w14:textId="77777777" w:rsidR="007930C5" w:rsidRPr="004560D2" w:rsidRDefault="007930C5" w:rsidP="009143DF">
            <w:r w:rsidRPr="004560D2">
              <w:t>LPA</w:t>
            </w:r>
          </w:p>
        </w:tc>
        <w:tc>
          <w:tcPr>
            <w:tcW w:w="7710" w:type="dxa"/>
          </w:tcPr>
          <w:p w14:paraId="6EEDA837" w14:textId="77777777" w:rsidR="007930C5" w:rsidRPr="004560D2" w:rsidRDefault="007930C5" w:rsidP="009143DF">
            <w:r w:rsidRPr="004560D2">
              <w:t>Livestock Production Assurance</w:t>
            </w:r>
          </w:p>
        </w:tc>
      </w:tr>
      <w:tr w:rsidR="007930C5" w:rsidRPr="004560D2" w14:paraId="72C36B86" w14:textId="77777777" w:rsidTr="009143DF">
        <w:tc>
          <w:tcPr>
            <w:tcW w:w="1271" w:type="dxa"/>
          </w:tcPr>
          <w:p w14:paraId="7DAED5AE" w14:textId="77777777" w:rsidR="007930C5" w:rsidRPr="004560D2" w:rsidRDefault="007930C5" w:rsidP="009143DF">
            <w:r>
              <w:t>LPS</w:t>
            </w:r>
          </w:p>
        </w:tc>
        <w:tc>
          <w:tcPr>
            <w:tcW w:w="7710" w:type="dxa"/>
          </w:tcPr>
          <w:p w14:paraId="37487BD5" w14:textId="77777777" w:rsidR="007930C5" w:rsidRPr="004560D2" w:rsidRDefault="007930C5" w:rsidP="009143DF">
            <w:r>
              <w:t>Low Pass Sequencing</w:t>
            </w:r>
          </w:p>
        </w:tc>
      </w:tr>
      <w:tr w:rsidR="007930C5" w:rsidRPr="004560D2" w14:paraId="3263A8EA" w14:textId="77777777" w:rsidTr="009143DF">
        <w:tc>
          <w:tcPr>
            <w:tcW w:w="1271" w:type="dxa"/>
          </w:tcPr>
          <w:p w14:paraId="4E00E904" w14:textId="77777777" w:rsidR="007930C5" w:rsidRPr="004560D2" w:rsidRDefault="007930C5" w:rsidP="009143DF">
            <w:r w:rsidRPr="004560D2">
              <w:t>MLA</w:t>
            </w:r>
          </w:p>
        </w:tc>
        <w:tc>
          <w:tcPr>
            <w:tcW w:w="7710" w:type="dxa"/>
          </w:tcPr>
          <w:p w14:paraId="13F829AE" w14:textId="77777777" w:rsidR="007930C5" w:rsidRPr="004560D2" w:rsidRDefault="007930C5" w:rsidP="009143DF">
            <w:r w:rsidRPr="004560D2">
              <w:t>Meat and Livestock Australia</w:t>
            </w:r>
          </w:p>
        </w:tc>
      </w:tr>
      <w:tr w:rsidR="007930C5" w:rsidRPr="004560D2" w14:paraId="78497E88" w14:textId="77777777" w:rsidTr="009143DF">
        <w:tc>
          <w:tcPr>
            <w:tcW w:w="1271" w:type="dxa"/>
          </w:tcPr>
          <w:p w14:paraId="3453F565" w14:textId="77777777" w:rsidR="007930C5" w:rsidRPr="004560D2" w:rsidRDefault="007930C5" w:rsidP="009143DF">
            <w:r>
              <w:t>MS</w:t>
            </w:r>
          </w:p>
        </w:tc>
        <w:tc>
          <w:tcPr>
            <w:tcW w:w="7710" w:type="dxa"/>
          </w:tcPr>
          <w:p w14:paraId="13F9FC1C" w14:textId="77777777" w:rsidR="007930C5" w:rsidRPr="004560D2" w:rsidRDefault="007930C5" w:rsidP="009143DF">
            <w:r>
              <w:t>Marbling Score (AUS-MEAT)</w:t>
            </w:r>
          </w:p>
        </w:tc>
      </w:tr>
      <w:tr w:rsidR="007930C5" w:rsidRPr="004560D2" w14:paraId="3B83C676" w14:textId="77777777" w:rsidTr="009143DF">
        <w:tc>
          <w:tcPr>
            <w:tcW w:w="1271" w:type="dxa"/>
          </w:tcPr>
          <w:p w14:paraId="368828BC" w14:textId="77777777" w:rsidR="007930C5" w:rsidRPr="004560D2" w:rsidRDefault="007930C5" w:rsidP="009143DF">
            <w:r w:rsidRPr="004560D2">
              <w:t>MS</w:t>
            </w:r>
            <w:r>
              <w:t>A</w:t>
            </w:r>
          </w:p>
        </w:tc>
        <w:tc>
          <w:tcPr>
            <w:tcW w:w="7710" w:type="dxa"/>
          </w:tcPr>
          <w:p w14:paraId="208F7B8E" w14:textId="77777777" w:rsidR="007930C5" w:rsidRPr="004560D2" w:rsidRDefault="007930C5" w:rsidP="009143DF">
            <w:r w:rsidRPr="004560D2">
              <w:t>Meat Standard</w:t>
            </w:r>
            <w:r>
              <w:t>s</w:t>
            </w:r>
            <w:r w:rsidRPr="004560D2">
              <w:t xml:space="preserve"> Australia</w:t>
            </w:r>
          </w:p>
        </w:tc>
      </w:tr>
      <w:tr w:rsidR="007930C5" w:rsidRPr="004560D2" w14:paraId="29C6CAC3" w14:textId="77777777" w:rsidTr="009143DF">
        <w:tc>
          <w:tcPr>
            <w:tcW w:w="1271" w:type="dxa"/>
          </w:tcPr>
          <w:p w14:paraId="49616878" w14:textId="77777777" w:rsidR="007930C5" w:rsidRPr="004560D2" w:rsidRDefault="007930C5" w:rsidP="009143DF">
            <w:r>
              <w:t>N</w:t>
            </w:r>
            <w:r w:rsidRPr="00236232">
              <w:rPr>
                <w:vertAlign w:val="subscript"/>
              </w:rPr>
              <w:t>e</w:t>
            </w:r>
          </w:p>
        </w:tc>
        <w:tc>
          <w:tcPr>
            <w:tcW w:w="7710" w:type="dxa"/>
          </w:tcPr>
          <w:p w14:paraId="38F1A800" w14:textId="77777777" w:rsidR="007930C5" w:rsidRPr="004560D2" w:rsidRDefault="007930C5" w:rsidP="009143DF">
            <w:r>
              <w:t>Effective population size</w:t>
            </w:r>
          </w:p>
        </w:tc>
      </w:tr>
      <w:tr w:rsidR="007930C5" w:rsidRPr="004560D2" w14:paraId="47E41E59" w14:textId="77777777" w:rsidTr="009143DF">
        <w:tc>
          <w:tcPr>
            <w:tcW w:w="1271" w:type="dxa"/>
          </w:tcPr>
          <w:p w14:paraId="4A5D6E9C" w14:textId="77777777" w:rsidR="007930C5" w:rsidRPr="004560D2" w:rsidRDefault="007930C5" w:rsidP="009143DF">
            <w:r w:rsidRPr="004560D2">
              <w:t>NLIS</w:t>
            </w:r>
          </w:p>
        </w:tc>
        <w:tc>
          <w:tcPr>
            <w:tcW w:w="7710" w:type="dxa"/>
          </w:tcPr>
          <w:p w14:paraId="7D69335B" w14:textId="77777777" w:rsidR="007930C5" w:rsidRPr="004560D2" w:rsidRDefault="007930C5" w:rsidP="009143DF">
            <w:r w:rsidRPr="004560D2">
              <w:t xml:space="preserve">National Livestock Identification System </w:t>
            </w:r>
          </w:p>
        </w:tc>
      </w:tr>
      <w:tr w:rsidR="007930C5" w:rsidRPr="004560D2" w14:paraId="6B7996AB" w14:textId="77777777" w:rsidTr="009143DF">
        <w:tc>
          <w:tcPr>
            <w:tcW w:w="1271" w:type="dxa"/>
          </w:tcPr>
          <w:p w14:paraId="156D1294" w14:textId="77777777" w:rsidR="007930C5" w:rsidRPr="004560D2" w:rsidRDefault="007930C5" w:rsidP="009143DF">
            <w:r>
              <w:t>NPV</w:t>
            </w:r>
          </w:p>
        </w:tc>
        <w:tc>
          <w:tcPr>
            <w:tcW w:w="7710" w:type="dxa"/>
          </w:tcPr>
          <w:p w14:paraId="146E6DDE" w14:textId="77777777" w:rsidR="007930C5" w:rsidRPr="004560D2" w:rsidRDefault="007930C5" w:rsidP="009143DF">
            <w:r>
              <w:t>Net Present Value</w:t>
            </w:r>
          </w:p>
        </w:tc>
      </w:tr>
      <w:tr w:rsidR="007930C5" w:rsidRPr="004560D2" w14:paraId="7A5D403A" w14:textId="77777777" w:rsidTr="009143DF">
        <w:tc>
          <w:tcPr>
            <w:tcW w:w="1271" w:type="dxa"/>
          </w:tcPr>
          <w:p w14:paraId="329600BA" w14:textId="77777777" w:rsidR="007930C5" w:rsidRPr="004560D2" w:rsidRDefault="007930C5" w:rsidP="009143DF">
            <w:r>
              <w:t>NSW DPI</w:t>
            </w:r>
          </w:p>
        </w:tc>
        <w:tc>
          <w:tcPr>
            <w:tcW w:w="7710" w:type="dxa"/>
          </w:tcPr>
          <w:p w14:paraId="3FA6BAE9" w14:textId="77777777" w:rsidR="007930C5" w:rsidRPr="004560D2" w:rsidRDefault="007930C5" w:rsidP="009143DF">
            <w:r>
              <w:t>New South Wales Department of Primary Industries</w:t>
            </w:r>
          </w:p>
        </w:tc>
      </w:tr>
      <w:tr w:rsidR="007930C5" w:rsidRPr="004560D2" w14:paraId="6A3E9FAB" w14:textId="77777777" w:rsidTr="009143DF">
        <w:tc>
          <w:tcPr>
            <w:tcW w:w="1271" w:type="dxa"/>
          </w:tcPr>
          <w:p w14:paraId="6675EB20" w14:textId="77777777" w:rsidR="007930C5" w:rsidRPr="004560D2" w:rsidRDefault="007930C5" w:rsidP="009143DF">
            <w:r w:rsidRPr="004560D2">
              <w:t>NVD</w:t>
            </w:r>
          </w:p>
        </w:tc>
        <w:tc>
          <w:tcPr>
            <w:tcW w:w="7710" w:type="dxa"/>
          </w:tcPr>
          <w:p w14:paraId="54CA26C8" w14:textId="77777777" w:rsidR="007930C5" w:rsidRPr="004560D2" w:rsidRDefault="007930C5" w:rsidP="009143DF">
            <w:r w:rsidRPr="004560D2">
              <w:t>National Vendor Declaration</w:t>
            </w:r>
          </w:p>
        </w:tc>
      </w:tr>
      <w:tr w:rsidR="007930C5" w:rsidRPr="004560D2" w14:paraId="6F2F23FF" w14:textId="77777777" w:rsidTr="009143DF">
        <w:tc>
          <w:tcPr>
            <w:tcW w:w="1271" w:type="dxa"/>
          </w:tcPr>
          <w:p w14:paraId="7F805B3A" w14:textId="501E713E" w:rsidR="007930C5" w:rsidRPr="004560D2" w:rsidRDefault="007930C5" w:rsidP="009143DF">
            <w:r>
              <w:t>P</w:t>
            </w:r>
            <w:r w:rsidR="002C593D">
              <w:t>.</w:t>
            </w:r>
            <w:r>
              <w:t>A</w:t>
            </w:r>
            <w:r w:rsidR="002C593D">
              <w:t>.</w:t>
            </w:r>
          </w:p>
        </w:tc>
        <w:tc>
          <w:tcPr>
            <w:tcW w:w="7710" w:type="dxa"/>
          </w:tcPr>
          <w:p w14:paraId="7A38C6CA" w14:textId="77777777" w:rsidR="007930C5" w:rsidRPr="004560D2" w:rsidRDefault="007930C5" w:rsidP="009143DF">
            <w:r>
              <w:t>Per annum</w:t>
            </w:r>
          </w:p>
        </w:tc>
      </w:tr>
      <w:tr w:rsidR="007930C5" w:rsidRPr="004560D2" w14:paraId="2F508D31" w14:textId="77777777" w:rsidTr="009143DF">
        <w:tc>
          <w:tcPr>
            <w:tcW w:w="1271" w:type="dxa"/>
          </w:tcPr>
          <w:p w14:paraId="7E84EE23" w14:textId="77777777" w:rsidR="007930C5" w:rsidRPr="004560D2" w:rsidRDefault="007930C5" w:rsidP="009143DF">
            <w:r w:rsidRPr="004560D2">
              <w:t>PIC</w:t>
            </w:r>
          </w:p>
        </w:tc>
        <w:tc>
          <w:tcPr>
            <w:tcW w:w="7710" w:type="dxa"/>
          </w:tcPr>
          <w:p w14:paraId="4CB0A256" w14:textId="77777777" w:rsidR="007930C5" w:rsidRPr="004560D2" w:rsidRDefault="007930C5" w:rsidP="009143DF">
            <w:r w:rsidRPr="004560D2">
              <w:t>Property Identification Code</w:t>
            </w:r>
          </w:p>
        </w:tc>
      </w:tr>
      <w:tr w:rsidR="007930C5" w:rsidRPr="004560D2" w14:paraId="07BE3C40" w14:textId="77777777" w:rsidTr="009143DF">
        <w:tc>
          <w:tcPr>
            <w:tcW w:w="1271" w:type="dxa"/>
          </w:tcPr>
          <w:p w14:paraId="4045635F" w14:textId="77777777" w:rsidR="007930C5" w:rsidRPr="004560D2" w:rsidRDefault="007930C5" w:rsidP="009143DF">
            <w:r>
              <w:t>R&amp;D</w:t>
            </w:r>
          </w:p>
        </w:tc>
        <w:tc>
          <w:tcPr>
            <w:tcW w:w="7710" w:type="dxa"/>
          </w:tcPr>
          <w:p w14:paraId="410213CB" w14:textId="77777777" w:rsidR="007930C5" w:rsidRPr="004560D2" w:rsidRDefault="007930C5" w:rsidP="009143DF">
            <w:r>
              <w:t>Research and Development</w:t>
            </w:r>
          </w:p>
        </w:tc>
      </w:tr>
      <w:tr w:rsidR="007930C5" w:rsidRPr="004560D2" w14:paraId="08A8C4E9" w14:textId="77777777" w:rsidTr="009143DF">
        <w:tc>
          <w:tcPr>
            <w:tcW w:w="1271" w:type="dxa"/>
          </w:tcPr>
          <w:p w14:paraId="281A0D23" w14:textId="77777777" w:rsidR="007930C5" w:rsidRPr="004560D2" w:rsidRDefault="007930C5" w:rsidP="009143DF">
            <w:r w:rsidRPr="004560D2">
              <w:t>SNP</w:t>
            </w:r>
          </w:p>
        </w:tc>
        <w:tc>
          <w:tcPr>
            <w:tcW w:w="7710" w:type="dxa"/>
          </w:tcPr>
          <w:p w14:paraId="0A76BFCD" w14:textId="77777777" w:rsidR="007930C5" w:rsidRPr="004560D2" w:rsidRDefault="007930C5" w:rsidP="009143DF">
            <w:r w:rsidRPr="004560D2">
              <w:t>Single Nucleotide Polymorphism</w:t>
            </w:r>
          </w:p>
        </w:tc>
      </w:tr>
      <w:tr w:rsidR="007930C5" w:rsidRPr="004560D2" w14:paraId="1F7E232E" w14:textId="77777777" w:rsidTr="009143DF">
        <w:tc>
          <w:tcPr>
            <w:tcW w:w="1271" w:type="dxa"/>
          </w:tcPr>
          <w:p w14:paraId="4D96E347" w14:textId="77777777" w:rsidR="007930C5" w:rsidRPr="004560D2" w:rsidRDefault="007930C5" w:rsidP="009143DF">
            <w:r w:rsidRPr="004560D2">
              <w:t>SPA</w:t>
            </w:r>
          </w:p>
        </w:tc>
        <w:tc>
          <w:tcPr>
            <w:tcW w:w="7710" w:type="dxa"/>
          </w:tcPr>
          <w:p w14:paraId="309A0352" w14:textId="77777777" w:rsidR="007930C5" w:rsidRPr="004560D2" w:rsidRDefault="007930C5" w:rsidP="009143DF">
            <w:r w:rsidRPr="004560D2">
              <w:t>Sheep Producers Australia</w:t>
            </w:r>
          </w:p>
        </w:tc>
      </w:tr>
      <w:tr w:rsidR="00F254D7" w14:paraId="6E0D4E40" w14:textId="77777777" w:rsidTr="009143DF">
        <w:tc>
          <w:tcPr>
            <w:tcW w:w="1271" w:type="dxa"/>
          </w:tcPr>
          <w:p w14:paraId="771DC530" w14:textId="39C64F3E" w:rsidR="00F254D7" w:rsidRPr="00147252" w:rsidRDefault="00F254D7" w:rsidP="009143DF">
            <w:r>
              <w:t>TAT</w:t>
            </w:r>
          </w:p>
        </w:tc>
        <w:tc>
          <w:tcPr>
            <w:tcW w:w="7710" w:type="dxa"/>
          </w:tcPr>
          <w:p w14:paraId="4C22CC88" w14:textId="52CDC1C8" w:rsidR="00F254D7" w:rsidRDefault="00F254D7" w:rsidP="009143DF">
            <w:r>
              <w:t xml:space="preserve">Turn-around </w:t>
            </w:r>
            <w:r w:rsidR="00991EEC">
              <w:t>Time</w:t>
            </w:r>
          </w:p>
        </w:tc>
      </w:tr>
      <w:tr w:rsidR="007930C5" w14:paraId="67D71947" w14:textId="77777777" w:rsidTr="009143DF">
        <w:tc>
          <w:tcPr>
            <w:tcW w:w="1271" w:type="dxa"/>
          </w:tcPr>
          <w:p w14:paraId="45184CA4" w14:textId="77777777" w:rsidR="007930C5" w:rsidRPr="004560D2" w:rsidRDefault="007930C5" w:rsidP="009143DF">
            <w:r w:rsidRPr="00147252">
              <w:t>TSU</w:t>
            </w:r>
          </w:p>
        </w:tc>
        <w:tc>
          <w:tcPr>
            <w:tcW w:w="7710" w:type="dxa"/>
          </w:tcPr>
          <w:p w14:paraId="5040FA81" w14:textId="77777777" w:rsidR="007930C5" w:rsidRPr="004560D2" w:rsidRDefault="007930C5" w:rsidP="009143DF">
            <w:r>
              <w:t>Tissue Sampling Unit</w:t>
            </w:r>
          </w:p>
        </w:tc>
      </w:tr>
      <w:tr w:rsidR="007930C5" w14:paraId="140FA1A0" w14:textId="77777777" w:rsidTr="009143DF">
        <w:tc>
          <w:tcPr>
            <w:tcW w:w="1271" w:type="dxa"/>
          </w:tcPr>
          <w:p w14:paraId="41F1A0A5" w14:textId="77777777" w:rsidR="007930C5" w:rsidRDefault="007930C5" w:rsidP="009143DF">
            <w:r w:rsidRPr="004560D2">
              <w:t>UNE</w:t>
            </w:r>
          </w:p>
        </w:tc>
        <w:tc>
          <w:tcPr>
            <w:tcW w:w="7710" w:type="dxa"/>
          </w:tcPr>
          <w:p w14:paraId="6DACAA56" w14:textId="77777777" w:rsidR="007930C5" w:rsidRDefault="007930C5" w:rsidP="009143DF">
            <w:r w:rsidRPr="004560D2">
              <w:t>University of New England</w:t>
            </w:r>
          </w:p>
        </w:tc>
      </w:tr>
    </w:tbl>
    <w:p w14:paraId="36B83EAF" w14:textId="77777777" w:rsidR="007930C5" w:rsidRDefault="007930C5" w:rsidP="009143DF"/>
    <w:p w14:paraId="21431773" w14:textId="6A3A9DEA" w:rsidR="00CB360F" w:rsidRDefault="00CB360F" w:rsidP="009143DF">
      <w:pPr>
        <w:rPr>
          <w:b/>
          <w:bCs/>
        </w:rPr>
      </w:pPr>
      <w:r>
        <w:rPr>
          <w:b/>
          <w:bCs/>
        </w:rPr>
        <w:br w:type="page"/>
      </w:r>
    </w:p>
    <w:p w14:paraId="25E747DB" w14:textId="77777777" w:rsidR="00CB360F" w:rsidRDefault="00CB360F" w:rsidP="00DE5BDF">
      <w:pPr>
        <w:pStyle w:val="Heading1"/>
        <w:numPr>
          <w:ilvl w:val="0"/>
          <w:numId w:val="0"/>
        </w:numPr>
      </w:pPr>
      <w:bookmarkStart w:id="2" w:name="_Toc95983370"/>
      <w:r>
        <w:lastRenderedPageBreak/>
        <w:t>Abstract</w:t>
      </w:r>
      <w:bookmarkEnd w:id="2"/>
    </w:p>
    <w:p w14:paraId="34BC756D" w14:textId="57757FCB" w:rsidR="00CB360F" w:rsidRDefault="00CB360F" w:rsidP="00CB360F">
      <w:pPr>
        <w:rPr>
          <w:b/>
          <w:bCs/>
        </w:rPr>
      </w:pPr>
    </w:p>
    <w:p w14:paraId="274815AE" w14:textId="77777777" w:rsidR="00436FA5" w:rsidRPr="00A7163A" w:rsidRDefault="00436FA5" w:rsidP="00436FA5">
      <w:pPr>
        <w:rPr>
          <w:i/>
          <w:iCs/>
        </w:rPr>
      </w:pPr>
      <w:bookmarkStart w:id="3" w:name="_Hlk95914985"/>
      <w:r>
        <w:t xml:space="preserve">The potential role of genomics to further improve traceability levels in the red meat industry was investigated, as DNA-based technologies offer unambiguous identification with a range of auxiliary benefits.  Modelling indicated that genotyping </w:t>
      </w:r>
      <w:r w:rsidRPr="005B2324">
        <w:t xml:space="preserve">the entire national </w:t>
      </w:r>
      <w:r>
        <w:t xml:space="preserve">beef </w:t>
      </w:r>
      <w:r w:rsidRPr="005B2324">
        <w:t xml:space="preserve">herd </w:t>
      </w:r>
      <w:r>
        <w:t xml:space="preserve">for traceability </w:t>
      </w:r>
      <w:r w:rsidRPr="005B2324">
        <w:t>is unlikely to compensate for the additional costs involved</w:t>
      </w:r>
      <w:r>
        <w:t xml:space="preserve">.  However, potential additional benefits (faster genetic gain and better management decisions) make several implementation models appear to be highly attractive.  Genotyping the national sheep flock is impractical, but the cost of using DNA judiciously to augment NLIS could be quite cost effective.  </w:t>
      </w:r>
    </w:p>
    <w:p w14:paraId="137478C6" w14:textId="77777777" w:rsidR="00436FA5" w:rsidRDefault="00436FA5" w:rsidP="00436FA5"/>
    <w:p w14:paraId="7649FF1F" w14:textId="77777777" w:rsidR="00436FA5" w:rsidRDefault="00436FA5" w:rsidP="00436FA5">
      <w:r>
        <w:t xml:space="preserve">Perceptions, concerns and experiences around traceability, DNA technologies, </w:t>
      </w:r>
      <w:proofErr w:type="gramStart"/>
      <w:r>
        <w:t>costs</w:t>
      </w:r>
      <w:proofErr w:type="gramEnd"/>
      <w:r>
        <w:t xml:space="preserve"> and willingness to pay were explored through industry consultations. Application of genomic technology for traceability alone was not generally seen as attractive, but the ancillary benefits that accompany lifetime traceability would make the value proposition more attractive.</w:t>
      </w:r>
    </w:p>
    <w:p w14:paraId="0FCD3523" w14:textId="77777777" w:rsidR="00436FA5" w:rsidRDefault="00436FA5" w:rsidP="00436FA5"/>
    <w:p w14:paraId="4E7C3058" w14:textId="77777777" w:rsidR="00436FA5" w:rsidRPr="001F109D" w:rsidRDefault="00436FA5" w:rsidP="00436FA5">
      <w:bookmarkStart w:id="4" w:name="_Hlk95932270"/>
      <w:bookmarkStart w:id="5" w:name="_Hlk95932057"/>
      <w:r>
        <w:t>There are instances of DNA already being used to augment traceability and t</w:t>
      </w:r>
      <w:r w:rsidRPr="00B346D1">
        <w:t>here is</w:t>
      </w:r>
      <w:r>
        <w:t xml:space="preserve"> a strong argument for taking a </w:t>
      </w:r>
      <w:r w:rsidRPr="00B346D1">
        <w:t xml:space="preserve">proactive </w:t>
      </w:r>
      <w:r>
        <w:t>approach to</w:t>
      </w:r>
      <w:r w:rsidRPr="00B346D1">
        <w:t xml:space="preserve"> coordinating </w:t>
      </w:r>
      <w:r>
        <w:t xml:space="preserve">its </w:t>
      </w:r>
      <w:bookmarkEnd w:id="4"/>
      <w:r>
        <w:t xml:space="preserve">wider use.  </w:t>
      </w:r>
      <w:bookmarkStart w:id="6" w:name="_Hlk95932391"/>
      <w:r w:rsidRPr="00B346D1">
        <w:t>The longer the delay, the greater the costs and difficulties arising from fragmentation</w:t>
      </w:r>
      <w:r>
        <w:t xml:space="preserve">.  A program of work with a series of stop/go decision points is proposed, to be coordinated and overseen by an </w:t>
      </w:r>
      <w:proofErr w:type="gramStart"/>
      <w:r>
        <w:t>appropriately-qualified</w:t>
      </w:r>
      <w:proofErr w:type="gramEnd"/>
      <w:r>
        <w:t xml:space="preserve"> steering group. </w:t>
      </w:r>
      <w:bookmarkEnd w:id="6"/>
      <w:r>
        <w:t xml:space="preserve"> </w:t>
      </w:r>
    </w:p>
    <w:p w14:paraId="2F05C465" w14:textId="7B0B8555" w:rsidR="00887C01" w:rsidRDefault="00CB360F" w:rsidP="00DE5BDF">
      <w:pPr>
        <w:pStyle w:val="Heading1"/>
        <w:numPr>
          <w:ilvl w:val="0"/>
          <w:numId w:val="0"/>
        </w:numPr>
      </w:pPr>
      <w:bookmarkStart w:id="7" w:name="_Toc95983371"/>
      <w:bookmarkEnd w:id="3"/>
      <w:bookmarkEnd w:id="5"/>
      <w:r>
        <w:lastRenderedPageBreak/>
        <w:t xml:space="preserve">Executive </w:t>
      </w:r>
      <w:r w:rsidR="00F254D7">
        <w:t>summary</w:t>
      </w:r>
      <w:bookmarkEnd w:id="7"/>
    </w:p>
    <w:p w14:paraId="1B457C6E" w14:textId="77777777" w:rsidR="00054E03" w:rsidRDefault="00054E03" w:rsidP="00054E03"/>
    <w:p w14:paraId="5C9BE90E" w14:textId="046EC7A8" w:rsidR="00DE2A24" w:rsidRPr="002829FF" w:rsidRDefault="00DE2A24" w:rsidP="00785293">
      <w:pPr>
        <w:spacing w:after="120"/>
        <w:rPr>
          <w:b/>
          <w:bCs/>
          <w:color w:val="0070C0"/>
          <w:sz w:val="24"/>
          <w:szCs w:val="24"/>
        </w:rPr>
      </w:pPr>
      <w:bookmarkStart w:id="8" w:name="_Hlk92283430"/>
      <w:r w:rsidRPr="00785293">
        <w:rPr>
          <w:rFonts w:asciiTheme="majorHAnsi" w:hAnsiTheme="majorHAnsi" w:cstheme="majorHAnsi"/>
          <w:b/>
          <w:bCs/>
          <w:color w:val="0070C0"/>
          <w:sz w:val="24"/>
          <w:szCs w:val="24"/>
        </w:rPr>
        <w:t>Background</w:t>
      </w:r>
    </w:p>
    <w:p w14:paraId="6448AC87" w14:textId="59B4DB2C" w:rsidR="00DE2A24" w:rsidRDefault="00DE2A24" w:rsidP="00DE2A24">
      <w:r>
        <w:t xml:space="preserve">Participants in Australia’s red meat industry have a strong incentive to </w:t>
      </w:r>
      <w:r w:rsidR="00436FA5">
        <w:t xml:space="preserve">have the ability </w:t>
      </w:r>
      <w:r>
        <w:t xml:space="preserve">to track their products through the supply chain.  The National Livestock Identification </w:t>
      </w:r>
      <w:r w:rsidR="00C96757">
        <w:t>System</w:t>
      </w:r>
      <w:r>
        <w:t xml:space="preserve"> (NLIS) is believed to achieve 97% traceability for beef and 90% traceability for sheep</w:t>
      </w:r>
      <w:r w:rsidR="00FE79B6">
        <w:t xml:space="preserve">, </w:t>
      </w:r>
      <w:r w:rsidR="000F562C">
        <w:t>where t</w:t>
      </w:r>
      <w:r w:rsidR="00FE79B6">
        <w:t xml:space="preserve">raceability is measured by the </w:t>
      </w:r>
      <w:r w:rsidR="00FE79B6" w:rsidRPr="00A35985">
        <w:t>proportion of animals that can be successfully traced between defined points in the supply chain or over time</w:t>
      </w:r>
      <w:r w:rsidR="00FE79B6">
        <w:t xml:space="preserve">.  </w:t>
      </w:r>
      <w:r>
        <w:t>Genomic information can potentially deliver exceptionally high levels of traceability, even after other means of identification (tags) have been removed</w:t>
      </w:r>
      <w:r w:rsidR="003661AC">
        <w:t xml:space="preserve"> or </w:t>
      </w:r>
      <w:proofErr w:type="gramStart"/>
      <w:r w:rsidR="003661AC">
        <w:t>paper-work</w:t>
      </w:r>
      <w:proofErr w:type="gramEnd"/>
      <w:r w:rsidR="003661AC">
        <w:t xml:space="preserve"> misplaced</w:t>
      </w:r>
      <w:r>
        <w:t xml:space="preserve">.  Consequently, this project was initiated to investigate the potential role of genomics to underpin even better traceability in the red meat industries. </w:t>
      </w:r>
    </w:p>
    <w:p w14:paraId="0DC003B4" w14:textId="77777777" w:rsidR="004C152B" w:rsidRDefault="004C152B" w:rsidP="00DE2A24"/>
    <w:p w14:paraId="530FAD34" w14:textId="6AE6F9E0" w:rsidR="00DE2A24" w:rsidRPr="00785293" w:rsidRDefault="00DE2A24" w:rsidP="00785293">
      <w:pPr>
        <w:spacing w:after="120"/>
        <w:rPr>
          <w:rFonts w:asciiTheme="majorHAnsi" w:hAnsiTheme="majorHAnsi" w:cstheme="majorHAnsi"/>
          <w:b/>
          <w:bCs/>
          <w:color w:val="0070C0"/>
          <w:sz w:val="24"/>
          <w:szCs w:val="24"/>
        </w:rPr>
      </w:pPr>
      <w:r w:rsidRPr="00785293">
        <w:rPr>
          <w:rFonts w:asciiTheme="majorHAnsi" w:hAnsiTheme="majorHAnsi" w:cstheme="majorHAnsi"/>
          <w:b/>
          <w:bCs/>
          <w:color w:val="0070C0"/>
          <w:sz w:val="24"/>
          <w:szCs w:val="24"/>
        </w:rPr>
        <w:t>Objectives</w:t>
      </w:r>
    </w:p>
    <w:p w14:paraId="1B748EE4" w14:textId="77777777" w:rsidR="00DE2A24" w:rsidRDefault="00DE2A24" w:rsidP="00DE2A24">
      <w:pPr>
        <w:spacing w:line="257" w:lineRule="auto"/>
        <w:rPr>
          <w:lang w:val="en-US"/>
        </w:rPr>
      </w:pPr>
      <w:r w:rsidRPr="00126949">
        <w:rPr>
          <w:lang w:val="en-US"/>
        </w:rPr>
        <w:t xml:space="preserve">This is a scoping study that </w:t>
      </w:r>
    </w:p>
    <w:p w14:paraId="619A82FD" w14:textId="77777777" w:rsidR="00DE2A24" w:rsidRPr="00126949" w:rsidRDefault="00DE2A24" w:rsidP="00DE2A24">
      <w:pPr>
        <w:pStyle w:val="ListParagraph"/>
        <w:numPr>
          <w:ilvl w:val="0"/>
          <w:numId w:val="49"/>
        </w:numPr>
        <w:rPr>
          <w:rFonts w:eastAsia="Times New Roman"/>
          <w:lang w:val="en-US"/>
        </w:rPr>
      </w:pPr>
      <w:r w:rsidRPr="00126949">
        <w:rPr>
          <w:rFonts w:eastAsia="Times New Roman"/>
          <w:lang w:val="en-US"/>
        </w:rPr>
        <w:t xml:space="preserve">Assesses the genotyping (DNA) technologies that are best suited for traceability </w:t>
      </w:r>
    </w:p>
    <w:p w14:paraId="7FA00CA8" w14:textId="77777777" w:rsidR="00DE2A24" w:rsidRPr="00126949" w:rsidRDefault="00DE2A24" w:rsidP="00DE2A24">
      <w:pPr>
        <w:pStyle w:val="ListParagraph"/>
        <w:numPr>
          <w:ilvl w:val="0"/>
          <w:numId w:val="49"/>
        </w:numPr>
        <w:rPr>
          <w:rFonts w:eastAsia="Times New Roman"/>
          <w:lang w:val="en-US"/>
        </w:rPr>
      </w:pPr>
      <w:r w:rsidRPr="00126949">
        <w:rPr>
          <w:rFonts w:eastAsia="Times New Roman"/>
          <w:lang w:val="en-US"/>
        </w:rPr>
        <w:t>Evaluates the benefit/cost of using DNA for traceability as well as ancillary benefits that are achievable</w:t>
      </w:r>
    </w:p>
    <w:p w14:paraId="3A1286B0" w14:textId="77777777" w:rsidR="00DE2A24" w:rsidRPr="00126949" w:rsidRDefault="00DE2A24" w:rsidP="00DE2A24">
      <w:pPr>
        <w:pStyle w:val="ListParagraph"/>
        <w:numPr>
          <w:ilvl w:val="0"/>
          <w:numId w:val="49"/>
        </w:numPr>
        <w:rPr>
          <w:rFonts w:eastAsia="Times New Roman"/>
          <w:lang w:val="en-US"/>
        </w:rPr>
      </w:pPr>
      <w:r w:rsidRPr="00126949">
        <w:rPr>
          <w:rFonts w:eastAsia="Times New Roman"/>
          <w:lang w:val="en-US"/>
        </w:rPr>
        <w:t>Describes how such a traceability system could work and the distribution of benefits</w:t>
      </w:r>
    </w:p>
    <w:p w14:paraId="73C5D8F0" w14:textId="77777777" w:rsidR="00DE2A24" w:rsidRPr="00126949" w:rsidRDefault="00DE2A24" w:rsidP="00DE2A24">
      <w:pPr>
        <w:pStyle w:val="ListParagraph"/>
        <w:numPr>
          <w:ilvl w:val="0"/>
          <w:numId w:val="49"/>
        </w:numPr>
        <w:rPr>
          <w:rFonts w:eastAsia="Times New Roman"/>
          <w:lang w:val="en-US"/>
        </w:rPr>
      </w:pPr>
      <w:r w:rsidRPr="00126949">
        <w:rPr>
          <w:rFonts w:eastAsia="Times New Roman"/>
          <w:lang w:val="en-US"/>
        </w:rPr>
        <w:t>Identifies the risks, costs, barriers to adoption and how these should be addressed</w:t>
      </w:r>
    </w:p>
    <w:p w14:paraId="08206893" w14:textId="77777777" w:rsidR="00DE2A24" w:rsidRDefault="00DE2A24" w:rsidP="00DE2A24">
      <w:pPr>
        <w:pStyle w:val="ListParagraph"/>
        <w:numPr>
          <w:ilvl w:val="0"/>
          <w:numId w:val="49"/>
        </w:numPr>
        <w:rPr>
          <w:rFonts w:eastAsia="Times New Roman"/>
          <w:lang w:val="en-US"/>
        </w:rPr>
      </w:pPr>
      <w:r>
        <w:rPr>
          <w:rFonts w:eastAsia="Times New Roman"/>
          <w:lang w:val="en-US"/>
        </w:rPr>
        <w:t xml:space="preserve">Describes </w:t>
      </w:r>
      <w:r w:rsidRPr="00126949">
        <w:rPr>
          <w:rFonts w:eastAsia="Times New Roman"/>
          <w:lang w:val="en-US"/>
        </w:rPr>
        <w:t xml:space="preserve">a process </w:t>
      </w:r>
      <w:r>
        <w:rPr>
          <w:rFonts w:eastAsia="Times New Roman"/>
          <w:lang w:val="en-US"/>
        </w:rPr>
        <w:t>to resolve technical and strategic issues prior to implementation</w:t>
      </w:r>
    </w:p>
    <w:p w14:paraId="5E588CC4" w14:textId="77777777" w:rsidR="00DE2A24" w:rsidRDefault="00DE2A24" w:rsidP="00DE2A24"/>
    <w:p w14:paraId="061D3258" w14:textId="3F3A56AF" w:rsidR="00DE2A24" w:rsidRPr="00785293" w:rsidRDefault="00DE2A24" w:rsidP="00785293">
      <w:pPr>
        <w:spacing w:after="120"/>
        <w:rPr>
          <w:rFonts w:asciiTheme="majorHAnsi" w:hAnsiTheme="majorHAnsi" w:cstheme="majorHAnsi"/>
          <w:b/>
          <w:bCs/>
          <w:color w:val="0070C0"/>
          <w:sz w:val="24"/>
          <w:szCs w:val="24"/>
        </w:rPr>
      </w:pPr>
      <w:r w:rsidRPr="00785293">
        <w:rPr>
          <w:rFonts w:asciiTheme="majorHAnsi" w:hAnsiTheme="majorHAnsi" w:cstheme="majorHAnsi"/>
          <w:b/>
          <w:bCs/>
          <w:color w:val="0070C0"/>
          <w:sz w:val="24"/>
          <w:szCs w:val="24"/>
        </w:rPr>
        <w:t>Methodology</w:t>
      </w:r>
    </w:p>
    <w:p w14:paraId="2921061A" w14:textId="69173814" w:rsidR="00DE2A24" w:rsidRDefault="00DE2A24" w:rsidP="00DE2A24">
      <w:pPr>
        <w:spacing w:after="120" w:line="257" w:lineRule="auto"/>
      </w:pPr>
      <w:r>
        <w:t xml:space="preserve">The benefits of improved traceability in both beef and sheep were evaluated using an existing </w:t>
      </w:r>
      <w:r w:rsidR="00A60ACF">
        <w:t xml:space="preserve">economic </w:t>
      </w:r>
      <w:r>
        <w:t xml:space="preserve">model, with the levels of traceability </w:t>
      </w:r>
      <w:r w:rsidR="00917924">
        <w:t xml:space="preserve">assumed to vary </w:t>
      </w:r>
      <w:r>
        <w:t xml:space="preserve">according to the proportion of animals genotyped.  Auxiliary benefits were evaluated </w:t>
      </w:r>
      <w:r w:rsidR="00917924">
        <w:t>by</w:t>
      </w:r>
      <w:r>
        <w:t xml:space="preserve"> a) </w:t>
      </w:r>
      <w:r w:rsidR="00917924">
        <w:t xml:space="preserve">using </w:t>
      </w:r>
      <w:r>
        <w:t xml:space="preserve">genetic modelling </w:t>
      </w:r>
      <w:r w:rsidR="00100710">
        <w:t>with</w:t>
      </w:r>
      <w:r>
        <w:t xml:space="preserve"> typical economic breeding objectives; and b) modelling the value of improved ability to predict optimal production pathways.</w:t>
      </w:r>
    </w:p>
    <w:p w14:paraId="72F3ECC2" w14:textId="5349D9DF" w:rsidR="00DE2A24" w:rsidRDefault="00891A54" w:rsidP="00DE2A24">
      <w:pPr>
        <w:spacing w:line="257" w:lineRule="auto"/>
      </w:pPr>
      <w:r>
        <w:t xml:space="preserve">An industry survey was </w:t>
      </w:r>
      <w:proofErr w:type="gramStart"/>
      <w:r>
        <w:t>conducted</w:t>
      </w:r>
      <w:proofErr w:type="gramEnd"/>
      <w:r>
        <w:t xml:space="preserve"> and interviews were held with major stakeholders and technology providers. The purpose was to</w:t>
      </w:r>
      <w:r w:rsidR="00DE2A24">
        <w:t xml:space="preserve"> identify industry perceptions, barriers to adoption and practical </w:t>
      </w:r>
      <w:r>
        <w:t>issues</w:t>
      </w:r>
      <w:r w:rsidR="00045907">
        <w:t xml:space="preserve"> related to DNA technologies</w:t>
      </w:r>
      <w:r w:rsidR="00DE2A24">
        <w:t>.</w:t>
      </w:r>
    </w:p>
    <w:p w14:paraId="12CEBC1A" w14:textId="77777777" w:rsidR="00DE2A24" w:rsidRDefault="00DE2A24" w:rsidP="00DE2A24">
      <w:pPr>
        <w:rPr>
          <w:b/>
          <w:sz w:val="24"/>
        </w:rPr>
      </w:pPr>
      <w:bookmarkStart w:id="9" w:name="_Toc384863408"/>
      <w:bookmarkStart w:id="10" w:name="_Toc384918543"/>
      <w:bookmarkStart w:id="11" w:name="_Toc384918769"/>
      <w:bookmarkStart w:id="12" w:name="_Toc392153297"/>
      <w:bookmarkStart w:id="13" w:name="_Toc392153585"/>
      <w:bookmarkStart w:id="14" w:name="_Toc7515603"/>
    </w:p>
    <w:p w14:paraId="2012DB08" w14:textId="225E445C" w:rsidR="00DE2A24" w:rsidRPr="00785293" w:rsidRDefault="00DE2A24" w:rsidP="00785293">
      <w:pPr>
        <w:spacing w:after="120"/>
        <w:rPr>
          <w:rFonts w:asciiTheme="majorHAnsi" w:hAnsiTheme="majorHAnsi" w:cstheme="majorHAnsi"/>
          <w:b/>
          <w:bCs/>
          <w:color w:val="0070C0"/>
          <w:sz w:val="24"/>
          <w:szCs w:val="24"/>
        </w:rPr>
      </w:pPr>
      <w:r w:rsidRPr="00785293">
        <w:rPr>
          <w:rFonts w:asciiTheme="majorHAnsi" w:hAnsiTheme="majorHAnsi" w:cstheme="majorHAnsi"/>
          <w:b/>
          <w:bCs/>
          <w:color w:val="0070C0"/>
          <w:sz w:val="24"/>
          <w:szCs w:val="24"/>
        </w:rPr>
        <w:t>Results/key findings</w:t>
      </w:r>
      <w:bookmarkEnd w:id="9"/>
      <w:bookmarkEnd w:id="10"/>
      <w:bookmarkEnd w:id="11"/>
      <w:bookmarkEnd w:id="12"/>
      <w:bookmarkEnd w:id="13"/>
      <w:bookmarkEnd w:id="14"/>
    </w:p>
    <w:p w14:paraId="0E69947B" w14:textId="77777777" w:rsidR="00DE2A24" w:rsidRDefault="00DE2A24" w:rsidP="00DE2A24">
      <w:pPr>
        <w:spacing w:after="120" w:line="257" w:lineRule="auto"/>
      </w:pPr>
      <w:r>
        <w:t xml:space="preserve">Modelling </w:t>
      </w:r>
      <w:r w:rsidRPr="005B2324">
        <w:t>indicate</w:t>
      </w:r>
      <w:r>
        <w:t>d</w:t>
      </w:r>
      <w:r w:rsidRPr="005B2324">
        <w:t xml:space="preserve"> that the additional value of traceability expected </w:t>
      </w:r>
      <w:r>
        <w:t>from</w:t>
      </w:r>
      <w:r w:rsidRPr="005B2324">
        <w:t xml:space="preserve"> genotyping the entire national </w:t>
      </w:r>
      <w:r>
        <w:t xml:space="preserve">beef </w:t>
      </w:r>
      <w:r w:rsidRPr="005B2324">
        <w:t xml:space="preserve">herd is unlikely to compensate for the additional costs involved.  However, </w:t>
      </w:r>
      <w:r>
        <w:t xml:space="preserve">tactical </w:t>
      </w:r>
      <w:r w:rsidRPr="005B2324">
        <w:t xml:space="preserve">genotyping </w:t>
      </w:r>
      <w:r>
        <w:t>can lead</w:t>
      </w:r>
      <w:r w:rsidRPr="005B2324">
        <w:t xml:space="preserve"> to a net increase in benefits due to traceability of 1</w:t>
      </w:r>
      <w:r>
        <w:t>1-37</w:t>
      </w:r>
      <w:r w:rsidRPr="005B2324">
        <w:t xml:space="preserve">% compared with NLIS alone. </w:t>
      </w:r>
      <w:r>
        <w:t xml:space="preserve">When additional benefits were </w:t>
      </w:r>
      <w:proofErr w:type="gramStart"/>
      <w:r>
        <w:t>taken into account</w:t>
      </w:r>
      <w:proofErr w:type="gramEnd"/>
      <w:r>
        <w:t xml:space="preserve">, the net benefits of genotyping were 32-45% higher than the benefits currently attributed to NLIS. </w:t>
      </w:r>
    </w:p>
    <w:p w14:paraId="0371EC9B" w14:textId="77777777" w:rsidR="00DE2A24" w:rsidRDefault="00DE2A24" w:rsidP="00DE2A24">
      <w:pPr>
        <w:spacing w:after="120" w:line="257" w:lineRule="auto"/>
      </w:pPr>
      <w:r>
        <w:t>Genotyping the national sheep flock is prohibitively expensive and clearly impractical.  However, augmenting NLIS with tactical genotyping could be cost-effective in improving traceability and lead to better-inform ram purchasing decisions.</w:t>
      </w:r>
    </w:p>
    <w:p w14:paraId="448EB972" w14:textId="1F0D6EEB" w:rsidR="00DE2A24" w:rsidRDefault="00DE2A24" w:rsidP="00DE2A24">
      <w:r>
        <w:t xml:space="preserve">There are </w:t>
      </w:r>
      <w:r w:rsidR="005A387A">
        <w:t xml:space="preserve">already </w:t>
      </w:r>
      <w:r>
        <w:t xml:space="preserve">instances of DNA being </w:t>
      </w:r>
      <w:r w:rsidR="00A31F19">
        <w:t xml:space="preserve">used </w:t>
      </w:r>
      <w:r>
        <w:t xml:space="preserve">to augment traceability and any implementation of a national program should be preceded by careful planning to avoid </w:t>
      </w:r>
      <w:r w:rsidR="00621784">
        <w:t xml:space="preserve">added </w:t>
      </w:r>
      <w:r w:rsidRPr="00B346D1">
        <w:t>costs and difficulties arising from fragmentation</w:t>
      </w:r>
      <w:r>
        <w:t xml:space="preserve">.  </w:t>
      </w:r>
    </w:p>
    <w:p w14:paraId="469B58F1" w14:textId="77777777" w:rsidR="00BB6B02" w:rsidRDefault="00BB6B02" w:rsidP="00DE2A24"/>
    <w:bookmarkEnd w:id="8"/>
    <w:p w14:paraId="326D1AAA" w14:textId="67CDC432" w:rsidR="00DE2A24" w:rsidRPr="00785293" w:rsidRDefault="00DE2A24" w:rsidP="00785293">
      <w:pPr>
        <w:keepNext/>
        <w:keepLines/>
        <w:spacing w:after="120"/>
        <w:rPr>
          <w:rFonts w:asciiTheme="majorHAnsi" w:hAnsiTheme="majorHAnsi" w:cstheme="majorHAnsi"/>
          <w:b/>
          <w:bCs/>
          <w:color w:val="0070C0"/>
          <w:sz w:val="24"/>
          <w:szCs w:val="24"/>
        </w:rPr>
      </w:pPr>
      <w:r w:rsidRPr="00785293">
        <w:rPr>
          <w:rFonts w:asciiTheme="majorHAnsi" w:hAnsiTheme="majorHAnsi" w:cstheme="majorHAnsi"/>
          <w:b/>
          <w:bCs/>
          <w:color w:val="0070C0"/>
          <w:sz w:val="24"/>
          <w:szCs w:val="24"/>
        </w:rPr>
        <w:lastRenderedPageBreak/>
        <w:t>Benefits to industry</w:t>
      </w:r>
    </w:p>
    <w:p w14:paraId="1EA4B3D7" w14:textId="05E14F7B" w:rsidR="00DE2A24" w:rsidRDefault="00DE2A24" w:rsidP="00785293">
      <w:pPr>
        <w:keepNext/>
        <w:keepLines/>
      </w:pPr>
      <w:r>
        <w:t>Improved traceability enhances the industry’s ability to track, manage and control major exotic disease outbreaks. Using DNA to augment NLIS can lead to a range of additional benefits related to livestock evaluation, disease detection, pathway decisions, product specification and proof of provenance.</w:t>
      </w:r>
    </w:p>
    <w:p w14:paraId="2FB2D95B" w14:textId="77777777" w:rsidR="00BB6B02" w:rsidRDefault="00BB6B02" w:rsidP="00DE2A24"/>
    <w:p w14:paraId="2F940EE8" w14:textId="22886791" w:rsidR="00DE2A24" w:rsidRPr="00785293" w:rsidRDefault="00DE2A24" w:rsidP="00785293">
      <w:pPr>
        <w:spacing w:after="120"/>
        <w:rPr>
          <w:rFonts w:asciiTheme="majorHAnsi" w:hAnsiTheme="majorHAnsi" w:cstheme="majorHAnsi"/>
          <w:b/>
          <w:bCs/>
          <w:color w:val="0070C0"/>
          <w:sz w:val="24"/>
          <w:szCs w:val="24"/>
        </w:rPr>
      </w:pPr>
      <w:r w:rsidRPr="00785293">
        <w:rPr>
          <w:rFonts w:asciiTheme="majorHAnsi" w:hAnsiTheme="majorHAnsi" w:cstheme="majorHAnsi"/>
          <w:b/>
          <w:bCs/>
          <w:color w:val="0070C0"/>
          <w:sz w:val="24"/>
          <w:szCs w:val="24"/>
        </w:rPr>
        <w:t>Future research and recommendations</w:t>
      </w:r>
    </w:p>
    <w:p w14:paraId="5E0C9EEA" w14:textId="77777777" w:rsidR="00DE2A24" w:rsidRPr="001F109D" w:rsidRDefault="00DE2A24" w:rsidP="00DE2A24">
      <w:r>
        <w:t xml:space="preserve">A program of work with a series of stop/go decision points is proposed, potentially leading to implementation of a national genotyping program designed to augment NLIS and to realise the additional benefits.  This should be coordinated and overseen by an </w:t>
      </w:r>
      <w:proofErr w:type="gramStart"/>
      <w:r>
        <w:t>appropriately-qualified</w:t>
      </w:r>
      <w:proofErr w:type="gramEnd"/>
      <w:r>
        <w:t xml:space="preserve"> steering group.  </w:t>
      </w:r>
    </w:p>
    <w:p w14:paraId="665F9905" w14:textId="77777777" w:rsidR="00F10691" w:rsidRDefault="00F10691" w:rsidP="00A91C29">
      <w:pPr>
        <w:pStyle w:val="Heading1"/>
        <w:numPr>
          <w:ilvl w:val="0"/>
          <w:numId w:val="0"/>
        </w:numPr>
        <w:sectPr w:rsidR="00F10691" w:rsidSect="004F712D">
          <w:headerReference w:type="default" r:id="rId13"/>
          <w:footerReference w:type="default" r:id="rId14"/>
          <w:headerReference w:type="first" r:id="rId15"/>
          <w:footerReference w:type="first" r:id="rId16"/>
          <w:pgSz w:w="11906" w:h="16838"/>
          <w:pgMar w:top="1440" w:right="1440" w:bottom="1440" w:left="1440" w:header="709" w:footer="709" w:gutter="0"/>
          <w:cols w:space="708"/>
          <w:titlePg/>
          <w:docGrid w:linePitch="360"/>
        </w:sectPr>
      </w:pPr>
    </w:p>
    <w:p w14:paraId="78024A3E" w14:textId="70C28EB7" w:rsidR="00AD214E" w:rsidRDefault="00B00F7F" w:rsidP="00A91C29">
      <w:pPr>
        <w:pStyle w:val="Heading1"/>
        <w:numPr>
          <w:ilvl w:val="0"/>
          <w:numId w:val="0"/>
        </w:numPr>
      </w:pPr>
      <w:bookmarkStart w:id="15" w:name="_Toc95983372"/>
      <w:r>
        <w:lastRenderedPageBreak/>
        <w:t>P</w:t>
      </w:r>
      <w:r w:rsidR="00AD214E">
        <w:t xml:space="preserve">roject </w:t>
      </w:r>
      <w:r w:rsidR="00A91C29">
        <w:t xml:space="preserve">outputs against </w:t>
      </w:r>
      <w:r w:rsidR="00AD214E">
        <w:t>objectives</w:t>
      </w:r>
      <w:bookmarkEnd w:id="15"/>
    </w:p>
    <w:p w14:paraId="67E91AA6" w14:textId="77777777" w:rsidR="00AD214E" w:rsidRDefault="00AD214E"/>
    <w:tbl>
      <w:tblPr>
        <w:tblStyle w:val="TableGrid"/>
        <w:tblW w:w="0" w:type="auto"/>
        <w:tblInd w:w="142" w:type="dxa"/>
        <w:tblLook w:val="04A0" w:firstRow="1" w:lastRow="0" w:firstColumn="1" w:lastColumn="0" w:noHBand="0" w:noVBand="1"/>
      </w:tblPr>
      <w:tblGrid>
        <w:gridCol w:w="2693"/>
        <w:gridCol w:w="6804"/>
      </w:tblGrid>
      <w:tr w:rsidR="008F6EB4" w:rsidRPr="003034D9" w14:paraId="18451BE5" w14:textId="77777777" w:rsidTr="00B65286">
        <w:trPr>
          <w:tblHeader/>
        </w:trPr>
        <w:tc>
          <w:tcPr>
            <w:tcW w:w="2693" w:type="dxa"/>
            <w:tcBorders>
              <w:top w:val="nil"/>
              <w:left w:val="nil"/>
              <w:right w:val="nil"/>
            </w:tcBorders>
          </w:tcPr>
          <w:p w14:paraId="332A9A37" w14:textId="77777777" w:rsidR="008F6EB4" w:rsidRPr="003034D9" w:rsidRDefault="008F6EB4" w:rsidP="00A31F19">
            <w:pPr>
              <w:jc w:val="center"/>
              <w:rPr>
                <w:b/>
                <w:bCs/>
                <w:i/>
                <w:iCs/>
                <w:lang w:val="en-US"/>
              </w:rPr>
            </w:pPr>
            <w:r w:rsidRPr="003034D9">
              <w:rPr>
                <w:b/>
                <w:bCs/>
                <w:i/>
                <w:iCs/>
                <w:lang w:val="en-US"/>
              </w:rPr>
              <w:t>Objective</w:t>
            </w:r>
          </w:p>
        </w:tc>
        <w:tc>
          <w:tcPr>
            <w:tcW w:w="6804" w:type="dxa"/>
            <w:tcBorders>
              <w:top w:val="nil"/>
              <w:left w:val="nil"/>
              <w:right w:val="nil"/>
            </w:tcBorders>
          </w:tcPr>
          <w:p w14:paraId="046B0255" w14:textId="332AFB2E" w:rsidR="008F6EB4" w:rsidRPr="003034D9" w:rsidRDefault="00A91C29" w:rsidP="00A31F19">
            <w:pPr>
              <w:jc w:val="center"/>
              <w:rPr>
                <w:rFonts w:eastAsia="Times New Roman"/>
                <w:b/>
                <w:bCs/>
                <w:lang w:val="en-US"/>
              </w:rPr>
            </w:pPr>
            <w:r>
              <w:rPr>
                <w:rFonts w:eastAsia="Times New Roman"/>
                <w:b/>
                <w:bCs/>
                <w:lang w:val="en-US"/>
              </w:rPr>
              <w:t>Relevant outputs</w:t>
            </w:r>
          </w:p>
        </w:tc>
      </w:tr>
      <w:tr w:rsidR="008F6EB4" w:rsidRPr="009E47A2" w14:paraId="06868538" w14:textId="77777777" w:rsidTr="00B65286">
        <w:trPr>
          <w:trHeight w:val="136"/>
        </w:trPr>
        <w:tc>
          <w:tcPr>
            <w:tcW w:w="2693" w:type="dxa"/>
          </w:tcPr>
          <w:p w14:paraId="2E4BEFB1" w14:textId="77777777" w:rsidR="008F6EB4" w:rsidRPr="009E47A2" w:rsidRDefault="008F6EB4" w:rsidP="00A31F19">
            <w:pPr>
              <w:rPr>
                <w:rFonts w:eastAsia="Times New Roman"/>
                <w:i/>
                <w:iCs/>
                <w:lang w:val="en-US"/>
              </w:rPr>
            </w:pPr>
            <w:r>
              <w:rPr>
                <w:i/>
                <w:iCs/>
                <w:lang w:val="en-US"/>
              </w:rPr>
              <w:t>This is a scoping study</w:t>
            </w:r>
          </w:p>
        </w:tc>
        <w:tc>
          <w:tcPr>
            <w:tcW w:w="6804" w:type="dxa"/>
          </w:tcPr>
          <w:p w14:paraId="3237286D" w14:textId="7CE04958" w:rsidR="008F6EB4" w:rsidRDefault="008F6EB4" w:rsidP="00A31F19">
            <w:pPr>
              <w:rPr>
                <w:rFonts w:eastAsia="Times New Roman"/>
                <w:lang w:val="en-US"/>
              </w:rPr>
            </w:pPr>
            <w:r>
              <w:rPr>
                <w:rFonts w:eastAsia="Times New Roman"/>
                <w:lang w:val="en-US"/>
              </w:rPr>
              <w:t>A scoping study is defined as “A</w:t>
            </w:r>
            <w:r w:rsidRPr="005017F2">
              <w:rPr>
                <w:rFonts w:eastAsia="Times New Roman"/>
                <w:lang w:val="en-US"/>
              </w:rPr>
              <w:t xml:space="preserve"> preliminary study to define the scope of a project</w:t>
            </w:r>
            <w:r>
              <w:rPr>
                <w:rFonts w:eastAsia="Times New Roman"/>
                <w:lang w:val="en-US"/>
              </w:rPr>
              <w:t>”</w:t>
            </w:r>
            <w:r>
              <w:rPr>
                <w:rStyle w:val="FootnoteReference"/>
                <w:rFonts w:eastAsia="Times New Roman"/>
                <w:lang w:val="en-US"/>
              </w:rPr>
              <w:footnoteReference w:id="2"/>
            </w:r>
            <w:r>
              <w:rPr>
                <w:rFonts w:eastAsia="Times New Roman"/>
                <w:lang w:val="en-US"/>
              </w:rPr>
              <w:t xml:space="preserve">. In this instance, the “project” is assumed to be the potential implementation of a DNA-based traceability system for the red meat industry.  </w:t>
            </w:r>
            <w:r w:rsidR="007F71E8">
              <w:rPr>
                <w:rFonts w:eastAsia="Times New Roman"/>
                <w:lang w:val="en-US"/>
              </w:rPr>
              <w:t xml:space="preserve">Investigating this </w:t>
            </w:r>
            <w:r>
              <w:rPr>
                <w:rFonts w:eastAsia="Times New Roman"/>
                <w:lang w:val="en-US"/>
              </w:rPr>
              <w:t>requires a thorough understanding of:</w:t>
            </w:r>
          </w:p>
          <w:p w14:paraId="0916B03F" w14:textId="77777777" w:rsidR="008F6EB4" w:rsidRDefault="008F6EB4" w:rsidP="00A31F19">
            <w:pPr>
              <w:rPr>
                <w:rFonts w:eastAsia="Times New Roman"/>
                <w:lang w:val="en-US"/>
              </w:rPr>
            </w:pPr>
            <w:r>
              <w:rPr>
                <w:rFonts w:eastAsia="Times New Roman"/>
                <w:lang w:val="en-US"/>
              </w:rPr>
              <w:t>- Industry structures and how each sector relates to the others (Section 2)</w:t>
            </w:r>
          </w:p>
          <w:p w14:paraId="467421C6" w14:textId="77777777" w:rsidR="008F6EB4" w:rsidRDefault="008F6EB4" w:rsidP="00A31F19">
            <w:pPr>
              <w:rPr>
                <w:rFonts w:eastAsia="Times New Roman"/>
                <w:lang w:val="en-US"/>
              </w:rPr>
            </w:pPr>
            <w:r>
              <w:rPr>
                <w:rFonts w:eastAsia="Times New Roman"/>
                <w:lang w:val="en-US"/>
              </w:rPr>
              <w:t>- What is meant by “traceability” and some systems currently in use (Section 3)</w:t>
            </w:r>
          </w:p>
          <w:p w14:paraId="70408E4E" w14:textId="77777777" w:rsidR="008F6EB4" w:rsidRDefault="008F6EB4" w:rsidP="00A31F19">
            <w:pPr>
              <w:rPr>
                <w:rFonts w:eastAsia="Times New Roman"/>
                <w:lang w:val="en-US"/>
              </w:rPr>
            </w:pPr>
            <w:r>
              <w:rPr>
                <w:rFonts w:eastAsia="Times New Roman"/>
                <w:lang w:val="en-US"/>
              </w:rPr>
              <w:t>- Industry views on traceability options (Section 4)</w:t>
            </w:r>
          </w:p>
          <w:p w14:paraId="77A03D52" w14:textId="77777777" w:rsidR="008F6EB4" w:rsidRDefault="008F6EB4" w:rsidP="00A31F19">
            <w:pPr>
              <w:rPr>
                <w:rFonts w:eastAsia="Times New Roman"/>
                <w:lang w:val="en-US"/>
              </w:rPr>
            </w:pPr>
            <w:r>
              <w:rPr>
                <w:rFonts w:eastAsia="Times New Roman"/>
                <w:lang w:val="en-US"/>
              </w:rPr>
              <w:t>- The logistical requirements of a DNA-based system (Section 5)</w:t>
            </w:r>
          </w:p>
          <w:p w14:paraId="595D5DB6" w14:textId="77777777" w:rsidR="008F6EB4" w:rsidRDefault="008F6EB4" w:rsidP="00A31F19">
            <w:pPr>
              <w:rPr>
                <w:rFonts w:eastAsia="Times New Roman"/>
                <w:lang w:val="en-US"/>
              </w:rPr>
            </w:pPr>
            <w:r>
              <w:rPr>
                <w:rFonts w:eastAsia="Times New Roman"/>
                <w:lang w:val="en-US"/>
              </w:rPr>
              <w:t>- Estimates of the direct and indirect economic benefits (Section 6)</w:t>
            </w:r>
          </w:p>
          <w:p w14:paraId="6DE0F0BF" w14:textId="77777777" w:rsidR="008F6EB4" w:rsidRDefault="008F6EB4" w:rsidP="00A31F19">
            <w:pPr>
              <w:rPr>
                <w:rFonts w:eastAsia="Times New Roman"/>
                <w:lang w:val="en-US"/>
              </w:rPr>
            </w:pPr>
            <w:r>
              <w:rPr>
                <w:rFonts w:eastAsia="Times New Roman"/>
                <w:lang w:val="en-US"/>
              </w:rPr>
              <w:t>- A consideration of strategy and governance (Section 7)</w:t>
            </w:r>
          </w:p>
          <w:p w14:paraId="6980C339" w14:textId="77777777" w:rsidR="008F6EB4" w:rsidRDefault="008F6EB4" w:rsidP="00A31F19">
            <w:pPr>
              <w:rPr>
                <w:rFonts w:eastAsia="Times New Roman"/>
                <w:lang w:val="en-US"/>
              </w:rPr>
            </w:pPr>
            <w:r>
              <w:rPr>
                <w:rFonts w:eastAsia="Times New Roman"/>
                <w:lang w:val="en-US"/>
              </w:rPr>
              <w:t>- Risks and opportunities (Section 8)</w:t>
            </w:r>
          </w:p>
          <w:p w14:paraId="0BCE5B05" w14:textId="37400C42" w:rsidR="008F6EB4" w:rsidRPr="003034D9" w:rsidRDefault="008F6EB4" w:rsidP="00A31F19">
            <w:pPr>
              <w:rPr>
                <w:rFonts w:eastAsia="Times New Roman"/>
                <w:lang w:val="en-US"/>
              </w:rPr>
            </w:pPr>
            <w:r>
              <w:rPr>
                <w:rFonts w:eastAsia="Times New Roman"/>
                <w:lang w:val="en-US"/>
              </w:rPr>
              <w:t xml:space="preserve">- A </w:t>
            </w:r>
            <w:r w:rsidR="002A089B">
              <w:rPr>
                <w:rFonts w:eastAsia="Times New Roman"/>
                <w:lang w:val="en-US"/>
              </w:rPr>
              <w:t xml:space="preserve">potential </w:t>
            </w:r>
            <w:r>
              <w:rPr>
                <w:rFonts w:eastAsia="Times New Roman"/>
                <w:lang w:val="en-US"/>
              </w:rPr>
              <w:t>pathway to implementation, taking account of the above (Section 9)</w:t>
            </w:r>
          </w:p>
        </w:tc>
      </w:tr>
      <w:tr w:rsidR="008F6EB4" w:rsidRPr="009E47A2" w14:paraId="750996F8" w14:textId="77777777" w:rsidTr="00B65286">
        <w:tc>
          <w:tcPr>
            <w:tcW w:w="2693" w:type="dxa"/>
          </w:tcPr>
          <w:p w14:paraId="71B163DF" w14:textId="77777777" w:rsidR="008F6EB4" w:rsidRPr="009E47A2" w:rsidRDefault="008F6EB4" w:rsidP="00A31F19">
            <w:pPr>
              <w:rPr>
                <w:rFonts w:eastAsia="Times New Roman"/>
                <w:i/>
                <w:iCs/>
                <w:lang w:val="en-US"/>
              </w:rPr>
            </w:pPr>
            <w:r w:rsidRPr="009E47A2">
              <w:rPr>
                <w:rFonts w:eastAsia="Times New Roman"/>
                <w:i/>
                <w:iCs/>
                <w:lang w:val="en-US"/>
              </w:rPr>
              <w:t>Detail what technologies for genotyping are now available that could be deployed for the purpose of animal tracking and tracing as well as to support raising and product provenance claims.</w:t>
            </w:r>
          </w:p>
        </w:tc>
        <w:tc>
          <w:tcPr>
            <w:tcW w:w="6804" w:type="dxa"/>
          </w:tcPr>
          <w:p w14:paraId="3D515A7F" w14:textId="40F1BB34" w:rsidR="008F6EB4" w:rsidRPr="003034D9" w:rsidRDefault="008F6EB4" w:rsidP="002879EB">
            <w:pPr>
              <w:rPr>
                <w:rFonts w:eastAsia="Times New Roman"/>
                <w:lang w:val="en-US"/>
              </w:rPr>
            </w:pPr>
            <w:r w:rsidRPr="003034D9">
              <w:rPr>
                <w:rFonts w:eastAsia="Times New Roman"/>
                <w:lang w:val="en-US"/>
              </w:rPr>
              <w:t xml:space="preserve">Genotyping panels </w:t>
            </w:r>
            <w:r w:rsidR="001540C3">
              <w:rPr>
                <w:rFonts w:eastAsia="Times New Roman"/>
                <w:lang w:val="en-US"/>
              </w:rPr>
              <w:t>of fewer than</w:t>
            </w:r>
            <w:r w:rsidRPr="003034D9">
              <w:rPr>
                <w:rFonts w:eastAsia="Times New Roman"/>
                <w:lang w:val="en-US"/>
              </w:rPr>
              <w:t xml:space="preserve"> </w:t>
            </w:r>
            <w:r w:rsidR="00015B98">
              <w:rPr>
                <w:rFonts w:eastAsia="Times New Roman"/>
                <w:lang w:val="en-US"/>
              </w:rPr>
              <w:t xml:space="preserve">a </w:t>
            </w:r>
            <w:r w:rsidRPr="003034D9">
              <w:rPr>
                <w:rFonts w:eastAsia="Times New Roman"/>
                <w:lang w:val="en-US"/>
              </w:rPr>
              <w:t>hundred SNP</w:t>
            </w:r>
            <w:r>
              <w:rPr>
                <w:rFonts w:eastAsia="Times New Roman"/>
                <w:lang w:val="en-US"/>
              </w:rPr>
              <w:t xml:space="preserve">s have been found to </w:t>
            </w:r>
            <w:r w:rsidRPr="003034D9">
              <w:rPr>
                <w:rFonts w:eastAsia="Times New Roman"/>
                <w:lang w:val="en-US"/>
              </w:rPr>
              <w:t>provide for unique identification</w:t>
            </w:r>
            <w:r w:rsidR="001540C3">
              <w:rPr>
                <w:rFonts w:eastAsia="Times New Roman"/>
                <w:lang w:val="en-US"/>
              </w:rPr>
              <w:t xml:space="preserve"> within a breed</w:t>
            </w:r>
            <w:r w:rsidRPr="003034D9">
              <w:rPr>
                <w:rFonts w:eastAsia="Times New Roman"/>
                <w:lang w:val="en-US"/>
              </w:rPr>
              <w:t xml:space="preserve">, but larger arrays with 50k SNPs are widely used in both beef and sheep. The difference in cost is relatively small but the latter can be used to provide a range of additional benefits.  </w:t>
            </w:r>
            <w:r w:rsidR="00DB770B" w:rsidRPr="00DB770B">
              <w:rPr>
                <w:rFonts w:eastAsia="Times New Roman"/>
                <w:lang w:val="en-US"/>
              </w:rPr>
              <w:t xml:space="preserve">A key factor in the cost is the collection and extraction of DNA which will be similar for low and higher density chips </w:t>
            </w:r>
            <w:r w:rsidRPr="003034D9">
              <w:rPr>
                <w:rFonts w:eastAsia="Times New Roman"/>
                <w:lang w:val="en-US"/>
              </w:rPr>
              <w:t>This is discussed in Section</w:t>
            </w:r>
            <w:r w:rsidR="00DB770B">
              <w:rPr>
                <w:rFonts w:eastAsia="Times New Roman"/>
                <w:lang w:val="en-US"/>
              </w:rPr>
              <w:t>s</w:t>
            </w:r>
            <w:r w:rsidRPr="003034D9">
              <w:rPr>
                <w:rFonts w:eastAsia="Times New Roman"/>
                <w:lang w:val="en-US"/>
              </w:rPr>
              <w:t xml:space="preserve"> 3</w:t>
            </w:r>
            <w:r w:rsidR="00DB770B">
              <w:rPr>
                <w:rFonts w:eastAsia="Times New Roman"/>
                <w:lang w:val="en-US"/>
              </w:rPr>
              <w:t xml:space="preserve"> and 8</w:t>
            </w:r>
            <w:r w:rsidRPr="003034D9">
              <w:rPr>
                <w:rFonts w:eastAsia="Times New Roman"/>
                <w:lang w:val="en-US"/>
              </w:rPr>
              <w:t xml:space="preserve"> of the report.</w:t>
            </w:r>
          </w:p>
        </w:tc>
      </w:tr>
      <w:tr w:rsidR="00B65286" w:rsidRPr="009E47A2" w14:paraId="599E2E57" w14:textId="77777777" w:rsidTr="00B65286">
        <w:trPr>
          <w:trHeight w:val="3233"/>
        </w:trPr>
        <w:tc>
          <w:tcPr>
            <w:tcW w:w="2693" w:type="dxa"/>
          </w:tcPr>
          <w:p w14:paraId="6EF6ECD7" w14:textId="1DF6EDEC" w:rsidR="00B65286" w:rsidRDefault="00B65286" w:rsidP="00A31F19">
            <w:pPr>
              <w:rPr>
                <w:rFonts w:eastAsia="Times New Roman"/>
                <w:i/>
                <w:iCs/>
                <w:lang w:val="en-US"/>
              </w:rPr>
            </w:pPr>
            <w:r w:rsidRPr="009E47A2">
              <w:rPr>
                <w:rFonts w:eastAsia="Times New Roman"/>
                <w:i/>
                <w:iCs/>
                <w:lang w:val="en-US"/>
              </w:rPr>
              <w:t>Identify which ones are most suitable and the refinements/improvements that may be required.</w:t>
            </w:r>
          </w:p>
          <w:p w14:paraId="0BF1AA53" w14:textId="09EF69DA" w:rsidR="00B65286" w:rsidRPr="009E47A2" w:rsidRDefault="00B65286" w:rsidP="00A31F19">
            <w:pPr>
              <w:rPr>
                <w:rFonts w:eastAsia="Times New Roman"/>
                <w:i/>
                <w:iCs/>
                <w:lang w:val="en-US"/>
              </w:rPr>
            </w:pPr>
          </w:p>
        </w:tc>
        <w:tc>
          <w:tcPr>
            <w:tcW w:w="6804" w:type="dxa"/>
            <w:vMerge w:val="restart"/>
          </w:tcPr>
          <w:p w14:paraId="4DF8B756" w14:textId="05FAE6DF" w:rsidR="00B65286" w:rsidRPr="003034D9" w:rsidRDefault="00B65286" w:rsidP="004A61E6">
            <w:pPr>
              <w:rPr>
                <w:rFonts w:eastAsia="Times New Roman"/>
                <w:lang w:val="en-US"/>
              </w:rPr>
            </w:pPr>
            <w:r w:rsidRPr="003034D9">
              <w:rPr>
                <w:rFonts w:eastAsia="Times New Roman"/>
                <w:lang w:val="en-US"/>
              </w:rPr>
              <w:t xml:space="preserve">These issues are discussed in Sections 4, 5 and 8 of the report.  Small panels (several hundred SNPs) can be used for identification, pedigree ascertainment detection of genetic defects </w:t>
            </w:r>
            <w:r w:rsidRPr="00F60624">
              <w:rPr>
                <w:rFonts w:eastAsia="Times New Roman"/>
                <w:i/>
                <w:iCs/>
                <w:lang w:val="en-US"/>
              </w:rPr>
              <w:t>etc</w:t>
            </w:r>
            <w:r w:rsidRPr="003034D9">
              <w:rPr>
                <w:rFonts w:eastAsia="Times New Roman"/>
                <w:lang w:val="en-US"/>
              </w:rPr>
              <w:t xml:space="preserve">., but 50k SNP panels offer a range of additional benefits. The value of extra genetic gain that can be achieved with the larger panel, if used judiciously (such </w:t>
            </w:r>
            <w:r w:rsidR="00A31F19">
              <w:rPr>
                <w:rFonts w:eastAsia="Times New Roman"/>
                <w:lang w:val="en-US"/>
              </w:rPr>
              <w:t xml:space="preserve">as </w:t>
            </w:r>
            <w:r w:rsidRPr="003034D9">
              <w:rPr>
                <w:rFonts w:eastAsia="Times New Roman"/>
                <w:lang w:val="en-US"/>
              </w:rPr>
              <w:t>some of the options evaluated in Tables 1-3), can greatly outweigh</w:t>
            </w:r>
            <w:r w:rsidR="00A31F19">
              <w:rPr>
                <w:rFonts w:eastAsia="Times New Roman"/>
                <w:lang w:val="en-US"/>
              </w:rPr>
              <w:t xml:space="preserve"> </w:t>
            </w:r>
            <w:r w:rsidRPr="003034D9">
              <w:rPr>
                <w:rFonts w:eastAsia="Times New Roman"/>
                <w:lang w:val="en-US"/>
              </w:rPr>
              <w:t>any additional cost.  Larger panels (</w:t>
            </w:r>
            <w:proofErr w:type="gramStart"/>
            <w:r w:rsidRPr="00520D0C">
              <w:rPr>
                <w:rFonts w:eastAsia="Times New Roman"/>
                <w:i/>
                <w:iCs/>
                <w:lang w:val="en-US"/>
              </w:rPr>
              <w:t>e.g.</w:t>
            </w:r>
            <w:proofErr w:type="gramEnd"/>
            <w:r w:rsidRPr="003034D9">
              <w:rPr>
                <w:rFonts w:eastAsia="Times New Roman"/>
                <w:lang w:val="en-US"/>
              </w:rPr>
              <w:t xml:space="preserve"> 750k) have been extensively trialed and found to offer very few benefits over 50k panels</w:t>
            </w:r>
            <w:r w:rsidR="008D1529">
              <w:rPr>
                <w:rFonts w:eastAsia="Times New Roman"/>
                <w:lang w:val="en-US"/>
              </w:rPr>
              <w:t>.  T</w:t>
            </w:r>
            <w:r w:rsidR="00A31F19">
              <w:rPr>
                <w:rFonts w:eastAsia="Times New Roman"/>
                <w:lang w:val="en-US"/>
              </w:rPr>
              <w:t xml:space="preserve">echnology improvements </w:t>
            </w:r>
            <w:r w:rsidR="008D1529">
              <w:rPr>
                <w:rFonts w:eastAsia="Times New Roman"/>
                <w:lang w:val="en-US"/>
              </w:rPr>
              <w:t>have resulted in the standard 50K panels being upgraded to 70-100K recently at the same costs</w:t>
            </w:r>
            <w:r w:rsidRPr="003034D9">
              <w:rPr>
                <w:rFonts w:eastAsia="Times New Roman"/>
                <w:lang w:val="en-US"/>
              </w:rPr>
              <w:t>.</w:t>
            </w:r>
            <w:r w:rsidR="008D1529">
              <w:rPr>
                <w:rFonts w:eastAsia="Times New Roman"/>
                <w:lang w:val="en-US"/>
              </w:rPr>
              <w:t xml:space="preserve">  For the purposes of this report the term ‘50K panel</w:t>
            </w:r>
            <w:proofErr w:type="gramStart"/>
            <w:r w:rsidR="008D1529">
              <w:rPr>
                <w:rFonts w:eastAsia="Times New Roman"/>
                <w:lang w:val="en-US"/>
              </w:rPr>
              <w:t>’  will</w:t>
            </w:r>
            <w:proofErr w:type="gramEnd"/>
            <w:r w:rsidR="008D1529">
              <w:rPr>
                <w:rFonts w:eastAsia="Times New Roman"/>
                <w:lang w:val="en-US"/>
              </w:rPr>
              <w:t xml:space="preserve"> refer to this family of panels that now ranges from 40K-100K and offer similar outcomes.</w:t>
            </w:r>
            <w:r w:rsidRPr="003034D9">
              <w:rPr>
                <w:rFonts w:eastAsia="Times New Roman"/>
                <w:lang w:val="en-US"/>
              </w:rPr>
              <w:t xml:space="preserve">  Full or partial genome sequencing is neither necessary nor cost effective for the applications considered in this report.  </w:t>
            </w:r>
            <w:bookmarkStart w:id="16" w:name="_Hlk95912789"/>
            <w:r>
              <w:rPr>
                <w:rFonts w:eastAsia="Times New Roman"/>
                <w:lang w:val="en-US"/>
              </w:rPr>
              <w:t>According to genotyping companies, r</w:t>
            </w:r>
            <w:r w:rsidRPr="003034D9">
              <w:rPr>
                <w:rFonts w:eastAsia="Times New Roman"/>
                <w:lang w:val="en-US"/>
              </w:rPr>
              <w:t>ace-side genotyping technologies are not feasible, at least cost-effectively, now or in the foreseeable future</w:t>
            </w:r>
            <w:bookmarkEnd w:id="16"/>
            <w:r w:rsidRPr="003034D9">
              <w:rPr>
                <w:rFonts w:eastAsia="Times New Roman"/>
                <w:lang w:val="en-US"/>
              </w:rPr>
              <w:t xml:space="preserve">. </w:t>
            </w:r>
            <w:r>
              <w:rPr>
                <w:rFonts w:eastAsia="Times New Roman"/>
                <w:lang w:val="en-US"/>
              </w:rPr>
              <w:t xml:space="preserve"> </w:t>
            </w:r>
            <w:r w:rsidRPr="003034D9">
              <w:rPr>
                <w:rFonts w:eastAsia="Times New Roman"/>
                <w:lang w:val="en-US"/>
              </w:rPr>
              <w:t xml:space="preserve">A likely solution is that all samples are genotyped with a genomic profile in the order of 50K SNP, as commonly used in genetic applications in cattle and sheep.  These genotypes would be stored in the database.  Then if there is an animal, or a product from an animal, where the identity is not known, this sample could be genotyped for a reduced targeted list of SNPs, which are a subset of the full genomic panel.  This reduced genotype could be obtained much faster and be queried against the entire database to determine its identity.  </w:t>
            </w:r>
          </w:p>
        </w:tc>
      </w:tr>
      <w:tr w:rsidR="00B65286" w:rsidRPr="009E47A2" w14:paraId="38CB9319" w14:textId="77777777" w:rsidTr="00B65286">
        <w:trPr>
          <w:trHeight w:val="3232"/>
        </w:trPr>
        <w:tc>
          <w:tcPr>
            <w:tcW w:w="2693" w:type="dxa"/>
          </w:tcPr>
          <w:p w14:paraId="1C2BF5E0" w14:textId="795A2496" w:rsidR="00B65286" w:rsidRPr="009E47A2" w:rsidRDefault="00B65286" w:rsidP="00A31F19">
            <w:pPr>
              <w:rPr>
                <w:rFonts w:eastAsia="Times New Roman"/>
                <w:i/>
                <w:iCs/>
                <w:lang w:val="en-US"/>
              </w:rPr>
            </w:pPr>
            <w:r w:rsidRPr="009E47A2">
              <w:rPr>
                <w:rFonts w:eastAsia="Times New Roman"/>
                <w:i/>
                <w:iCs/>
                <w:lang w:val="en-US"/>
              </w:rPr>
              <w:t xml:space="preserve">Assess technologies regarding cost vs benefits, </w:t>
            </w:r>
            <w:proofErr w:type="gramStart"/>
            <w:r w:rsidRPr="009E47A2">
              <w:rPr>
                <w:rFonts w:eastAsia="Times New Roman"/>
                <w:i/>
                <w:iCs/>
                <w:lang w:val="en-US"/>
              </w:rPr>
              <w:t>scalability</w:t>
            </w:r>
            <w:proofErr w:type="gramEnd"/>
            <w:r w:rsidRPr="009E47A2">
              <w:rPr>
                <w:rFonts w:eastAsia="Times New Roman"/>
                <w:i/>
                <w:iCs/>
                <w:lang w:val="en-US"/>
              </w:rPr>
              <w:t xml:space="preserve"> and timeliness of response</w:t>
            </w:r>
          </w:p>
        </w:tc>
        <w:tc>
          <w:tcPr>
            <w:tcW w:w="6804" w:type="dxa"/>
            <w:vMerge/>
          </w:tcPr>
          <w:p w14:paraId="5D84555C" w14:textId="77777777" w:rsidR="00B65286" w:rsidRPr="003034D9" w:rsidRDefault="00B65286" w:rsidP="004A61E6">
            <w:pPr>
              <w:rPr>
                <w:rFonts w:eastAsia="Times New Roman"/>
                <w:lang w:val="en-US"/>
              </w:rPr>
            </w:pPr>
          </w:p>
        </w:tc>
      </w:tr>
      <w:tr w:rsidR="008F6EB4" w:rsidRPr="009E47A2" w14:paraId="5836FE37" w14:textId="77777777" w:rsidTr="00B65286">
        <w:tc>
          <w:tcPr>
            <w:tcW w:w="2693" w:type="dxa"/>
          </w:tcPr>
          <w:p w14:paraId="1A832CE0" w14:textId="77777777" w:rsidR="008F6EB4" w:rsidRPr="009E47A2" w:rsidRDefault="008F6EB4" w:rsidP="00A31F19">
            <w:pPr>
              <w:rPr>
                <w:rFonts w:eastAsia="Times New Roman"/>
                <w:i/>
                <w:iCs/>
                <w:lang w:val="en-US"/>
              </w:rPr>
            </w:pPr>
            <w:r w:rsidRPr="009E47A2">
              <w:rPr>
                <w:rFonts w:eastAsia="Times New Roman"/>
                <w:i/>
                <w:iCs/>
                <w:lang w:val="en-US"/>
              </w:rPr>
              <w:lastRenderedPageBreak/>
              <w:t>Detail additional value adds -can the same sample be used for multiple purposes and what sector of the value chain would be interested in these?</w:t>
            </w:r>
          </w:p>
        </w:tc>
        <w:tc>
          <w:tcPr>
            <w:tcW w:w="6804" w:type="dxa"/>
          </w:tcPr>
          <w:p w14:paraId="355D529C" w14:textId="54E860B3" w:rsidR="008F6EB4" w:rsidRPr="003034D9" w:rsidRDefault="008F6EB4" w:rsidP="00A31F19">
            <w:pPr>
              <w:rPr>
                <w:rFonts w:eastAsia="Times New Roman"/>
                <w:lang w:val="en-US"/>
              </w:rPr>
            </w:pPr>
            <w:proofErr w:type="gramStart"/>
            <w:r w:rsidRPr="003034D9">
              <w:rPr>
                <w:rFonts w:eastAsia="Times New Roman"/>
                <w:lang w:val="en-US"/>
              </w:rPr>
              <w:t xml:space="preserve">A </w:t>
            </w:r>
            <w:r w:rsidR="007F71E8">
              <w:rPr>
                <w:rFonts w:eastAsia="Times New Roman"/>
                <w:lang w:val="en-US"/>
              </w:rPr>
              <w:t>number</w:t>
            </w:r>
            <w:r w:rsidRPr="003034D9">
              <w:rPr>
                <w:rFonts w:eastAsia="Times New Roman"/>
                <w:lang w:val="en-US"/>
              </w:rPr>
              <w:t xml:space="preserve"> of</w:t>
            </w:r>
            <w:proofErr w:type="gramEnd"/>
            <w:r w:rsidRPr="003034D9">
              <w:rPr>
                <w:rFonts w:eastAsia="Times New Roman"/>
                <w:lang w:val="en-US"/>
              </w:rPr>
              <w:t xml:space="preserve"> other applications of genomic information are described Section 3.</w:t>
            </w:r>
          </w:p>
        </w:tc>
      </w:tr>
      <w:tr w:rsidR="008F6EB4" w:rsidRPr="009E47A2" w14:paraId="51B55920" w14:textId="77777777" w:rsidTr="00B65286">
        <w:tc>
          <w:tcPr>
            <w:tcW w:w="2693" w:type="dxa"/>
          </w:tcPr>
          <w:p w14:paraId="50C37220" w14:textId="77777777" w:rsidR="008F6EB4" w:rsidRPr="009E47A2" w:rsidRDefault="008F6EB4" w:rsidP="00A31F19">
            <w:pPr>
              <w:rPr>
                <w:rFonts w:eastAsia="Times New Roman"/>
                <w:i/>
                <w:iCs/>
                <w:lang w:val="en-US"/>
              </w:rPr>
            </w:pPr>
            <w:r w:rsidRPr="009E47A2">
              <w:rPr>
                <w:rFonts w:eastAsia="Times New Roman"/>
                <w:i/>
                <w:iCs/>
                <w:lang w:val="en-US"/>
              </w:rPr>
              <w:t>Detail how a verification process would work from any point in the supply chain including live animal and carcass sampling as well as time frames and critical success factors.</w:t>
            </w:r>
          </w:p>
        </w:tc>
        <w:tc>
          <w:tcPr>
            <w:tcW w:w="6804" w:type="dxa"/>
          </w:tcPr>
          <w:p w14:paraId="74FE0FE9" w14:textId="6F8AFB9B" w:rsidR="008F6EB4" w:rsidRPr="003034D9" w:rsidRDefault="008F6EB4" w:rsidP="00A31F19">
            <w:pPr>
              <w:rPr>
                <w:rFonts w:eastAsia="Times New Roman"/>
                <w:lang w:val="en-US"/>
              </w:rPr>
            </w:pPr>
            <w:r w:rsidRPr="003034D9">
              <w:rPr>
                <w:rFonts w:eastAsia="Times New Roman"/>
                <w:lang w:val="en-US"/>
              </w:rPr>
              <w:t>Discussed in Section 5 (Requirements of an operational DNA-based tracing system)</w:t>
            </w:r>
            <w:r w:rsidR="00F60624">
              <w:rPr>
                <w:rFonts w:eastAsia="Times New Roman"/>
                <w:lang w:val="en-US"/>
              </w:rPr>
              <w:t>.</w:t>
            </w:r>
          </w:p>
        </w:tc>
      </w:tr>
      <w:tr w:rsidR="008F6EB4" w:rsidRPr="009E47A2" w14:paraId="2C333B9D" w14:textId="77777777" w:rsidTr="00B65286">
        <w:tc>
          <w:tcPr>
            <w:tcW w:w="2693" w:type="dxa"/>
          </w:tcPr>
          <w:p w14:paraId="352907A7" w14:textId="77777777" w:rsidR="008F6EB4" w:rsidRPr="009E47A2" w:rsidRDefault="008F6EB4" w:rsidP="00A31F19">
            <w:pPr>
              <w:rPr>
                <w:rFonts w:eastAsia="Times New Roman"/>
                <w:i/>
                <w:iCs/>
                <w:lang w:val="en-US"/>
              </w:rPr>
            </w:pPr>
            <w:r w:rsidRPr="009E47A2">
              <w:rPr>
                <w:rFonts w:eastAsia="Times New Roman"/>
                <w:i/>
                <w:iCs/>
                <w:lang w:val="en-US"/>
              </w:rPr>
              <w:t xml:space="preserve">Explore storage options, </w:t>
            </w:r>
            <w:proofErr w:type="gramStart"/>
            <w:r w:rsidRPr="009E47A2">
              <w:rPr>
                <w:rFonts w:eastAsia="Times New Roman"/>
                <w:i/>
                <w:iCs/>
                <w:lang w:val="en-US"/>
              </w:rPr>
              <w:t>risks</w:t>
            </w:r>
            <w:proofErr w:type="gramEnd"/>
            <w:r w:rsidRPr="009E47A2">
              <w:rPr>
                <w:rFonts w:eastAsia="Times New Roman"/>
                <w:i/>
                <w:iCs/>
                <w:lang w:val="en-US"/>
              </w:rPr>
              <w:t xml:space="preserve"> and costs - should items be stored as samples, DNA or data? Identify key barriers to adoption and develop a plan to overcome these.</w:t>
            </w:r>
          </w:p>
        </w:tc>
        <w:tc>
          <w:tcPr>
            <w:tcW w:w="6804" w:type="dxa"/>
          </w:tcPr>
          <w:p w14:paraId="561CDC10" w14:textId="15B4501B" w:rsidR="008F6EB4" w:rsidRPr="003034D9" w:rsidRDefault="008F6EB4" w:rsidP="006C7883">
            <w:pPr>
              <w:rPr>
                <w:rFonts w:eastAsia="Times New Roman"/>
                <w:lang w:val="en-US"/>
              </w:rPr>
            </w:pPr>
            <w:r w:rsidRPr="003034D9">
              <w:rPr>
                <w:rFonts w:eastAsia="Times New Roman"/>
                <w:lang w:val="en-US"/>
              </w:rPr>
              <w:t>Discussions with genotyping companies and people experienced with using DNA for these applications indicate that long-term storage of samples or DNA for traceability purposes is not feasible</w:t>
            </w:r>
            <w:r w:rsidR="006C7883">
              <w:rPr>
                <w:rFonts w:eastAsia="Times New Roman"/>
                <w:lang w:val="en-US"/>
              </w:rPr>
              <w:t xml:space="preserve"> (Section 4)</w:t>
            </w:r>
            <w:r w:rsidRPr="003034D9">
              <w:rPr>
                <w:rFonts w:eastAsia="Times New Roman"/>
                <w:lang w:val="en-US"/>
              </w:rPr>
              <w:t>. Rather, DNA should be extracted from samples and genotyped as soon as possible.  Genomic data, stored in an appropriate database, is the safest and most flexible option.</w:t>
            </w:r>
            <w:r w:rsidR="006C7883">
              <w:rPr>
                <w:rFonts w:eastAsia="Times New Roman"/>
                <w:lang w:val="en-US"/>
              </w:rPr>
              <w:t xml:space="preserve">  </w:t>
            </w:r>
            <w:r w:rsidRPr="003034D9">
              <w:rPr>
                <w:rFonts w:eastAsia="Times New Roman"/>
                <w:lang w:val="en-US"/>
              </w:rPr>
              <w:t xml:space="preserve">Barriers to adoption are </w:t>
            </w:r>
            <w:r w:rsidR="006C7883">
              <w:rPr>
                <w:rFonts w:eastAsia="Times New Roman"/>
                <w:lang w:val="en-US"/>
              </w:rPr>
              <w:t xml:space="preserve">also </w:t>
            </w:r>
            <w:r w:rsidRPr="003034D9">
              <w:rPr>
                <w:rFonts w:eastAsia="Times New Roman"/>
                <w:lang w:val="en-US"/>
              </w:rPr>
              <w:t>identified and discussed in Section 4</w:t>
            </w:r>
            <w:r w:rsidR="006C7883">
              <w:rPr>
                <w:rFonts w:eastAsia="Times New Roman"/>
                <w:lang w:val="en-US"/>
              </w:rPr>
              <w:t xml:space="preserve">, </w:t>
            </w:r>
            <w:r w:rsidR="00D8524C">
              <w:rPr>
                <w:rFonts w:eastAsia="Times New Roman"/>
                <w:lang w:val="en-US"/>
              </w:rPr>
              <w:t xml:space="preserve">opportunities for resolution are discussed in Section 8 and </w:t>
            </w:r>
            <w:r w:rsidR="00DD195B">
              <w:rPr>
                <w:rFonts w:eastAsia="Times New Roman"/>
                <w:lang w:val="en-US"/>
              </w:rPr>
              <w:t xml:space="preserve">an appropriate plan is described in </w:t>
            </w:r>
            <w:r w:rsidR="00D8524C">
              <w:rPr>
                <w:rFonts w:eastAsia="Times New Roman"/>
                <w:lang w:val="en-US"/>
              </w:rPr>
              <w:t xml:space="preserve">Section 9.  </w:t>
            </w:r>
            <w:r w:rsidR="00F5212E">
              <w:rPr>
                <w:rFonts w:eastAsia="Times New Roman"/>
                <w:lang w:val="en-US"/>
              </w:rPr>
              <w:t>A</w:t>
            </w:r>
            <w:r w:rsidR="00A14BF0" w:rsidRPr="00A14BF0">
              <w:rPr>
                <w:rFonts w:eastAsia="Times New Roman"/>
                <w:lang w:val="en-US"/>
              </w:rPr>
              <w:t xml:space="preserve"> primary concern is data ownership, </w:t>
            </w:r>
            <w:proofErr w:type="gramStart"/>
            <w:r w:rsidR="00A14BF0" w:rsidRPr="00A14BF0">
              <w:rPr>
                <w:rFonts w:eastAsia="Times New Roman"/>
                <w:lang w:val="en-US"/>
              </w:rPr>
              <w:t>access</w:t>
            </w:r>
            <w:proofErr w:type="gramEnd"/>
            <w:r w:rsidR="00A14BF0" w:rsidRPr="00A14BF0">
              <w:rPr>
                <w:rFonts w:eastAsia="Times New Roman"/>
                <w:lang w:val="en-US"/>
              </w:rPr>
              <w:t xml:space="preserve"> and utilization</w:t>
            </w:r>
            <w:r w:rsidR="00A14BF0">
              <w:rPr>
                <w:rFonts w:eastAsia="Times New Roman"/>
                <w:lang w:val="en-US"/>
              </w:rPr>
              <w:t xml:space="preserve">.  These issues </w:t>
            </w:r>
            <w:r w:rsidR="00A14BF0" w:rsidRPr="00A14BF0">
              <w:rPr>
                <w:rFonts w:eastAsia="Times New Roman"/>
                <w:lang w:val="en-US"/>
              </w:rPr>
              <w:t>will have to be managed through extensive industry consultation.</w:t>
            </w:r>
          </w:p>
        </w:tc>
      </w:tr>
      <w:tr w:rsidR="008F6EB4" w:rsidRPr="009E47A2" w14:paraId="78DC457B" w14:textId="77777777" w:rsidTr="00B65286">
        <w:tc>
          <w:tcPr>
            <w:tcW w:w="2693" w:type="dxa"/>
          </w:tcPr>
          <w:p w14:paraId="4482D2CC" w14:textId="77777777" w:rsidR="008F6EB4" w:rsidRPr="009E47A2" w:rsidRDefault="008F6EB4" w:rsidP="00A31F19">
            <w:pPr>
              <w:rPr>
                <w:rFonts w:eastAsia="Times New Roman"/>
                <w:i/>
                <w:iCs/>
                <w:lang w:val="en-US"/>
              </w:rPr>
            </w:pPr>
            <w:r w:rsidRPr="009E47A2">
              <w:rPr>
                <w:rFonts w:eastAsia="Times New Roman"/>
                <w:i/>
                <w:iCs/>
                <w:lang w:val="en-US"/>
              </w:rPr>
              <w:t>Explore options of what a feasible business model could look like for using DNA for verification of provenance or other claims.</w:t>
            </w:r>
          </w:p>
        </w:tc>
        <w:tc>
          <w:tcPr>
            <w:tcW w:w="6804" w:type="dxa"/>
          </w:tcPr>
          <w:p w14:paraId="69DDB100" w14:textId="77777777" w:rsidR="008F6EB4" w:rsidRPr="003034D9" w:rsidRDefault="008F6EB4" w:rsidP="00A31F19">
            <w:pPr>
              <w:rPr>
                <w:rFonts w:eastAsia="Times New Roman"/>
                <w:lang w:val="en-US"/>
              </w:rPr>
            </w:pPr>
            <w:r w:rsidRPr="003034D9">
              <w:rPr>
                <w:rFonts w:eastAsia="Times New Roman"/>
                <w:lang w:val="en-US"/>
              </w:rPr>
              <w:t>These options are explored in Sections 7, 8 and 9.  Appropriate actions to underpin implementation are detailed in Section 9.</w:t>
            </w:r>
          </w:p>
        </w:tc>
      </w:tr>
      <w:tr w:rsidR="008F6EB4" w:rsidRPr="009E47A2" w14:paraId="0CF5F89B" w14:textId="77777777" w:rsidTr="00B65286">
        <w:tc>
          <w:tcPr>
            <w:tcW w:w="2693" w:type="dxa"/>
          </w:tcPr>
          <w:p w14:paraId="356282E2" w14:textId="77777777" w:rsidR="008F6EB4" w:rsidRPr="009E47A2" w:rsidRDefault="008F6EB4" w:rsidP="00A31F19">
            <w:pPr>
              <w:rPr>
                <w:rFonts w:eastAsia="Times New Roman"/>
                <w:i/>
                <w:iCs/>
                <w:lang w:val="en-US"/>
              </w:rPr>
            </w:pPr>
            <w:r w:rsidRPr="009E47A2">
              <w:rPr>
                <w:rFonts w:eastAsia="Times New Roman"/>
                <w:i/>
                <w:iCs/>
                <w:lang w:val="en-US"/>
              </w:rPr>
              <w:t>This study will be backed by practical, validated learnings.</w:t>
            </w:r>
          </w:p>
        </w:tc>
        <w:tc>
          <w:tcPr>
            <w:tcW w:w="6804" w:type="dxa"/>
          </w:tcPr>
          <w:p w14:paraId="48A7A28D" w14:textId="77777777" w:rsidR="008F6EB4" w:rsidRDefault="00DC328E" w:rsidP="00A31F19">
            <w:pPr>
              <w:rPr>
                <w:rFonts w:eastAsia="Times New Roman"/>
                <w:lang w:val="en-US"/>
              </w:rPr>
            </w:pPr>
            <w:r>
              <w:rPr>
                <w:rFonts w:eastAsia="Times New Roman"/>
                <w:lang w:val="en-US"/>
              </w:rPr>
              <w:t xml:space="preserve">The industry-wide survey (Section 4) provided significant insights into the practicalities of genomic technology implementation and potential prices that industry would be willing to pay.  </w:t>
            </w:r>
            <w:r w:rsidR="008F6EB4">
              <w:rPr>
                <w:rFonts w:eastAsia="Times New Roman"/>
                <w:lang w:val="en-US"/>
              </w:rPr>
              <w:t xml:space="preserve">Relevant information was </w:t>
            </w:r>
            <w:r>
              <w:rPr>
                <w:rFonts w:eastAsia="Times New Roman"/>
                <w:lang w:val="en-US"/>
              </w:rPr>
              <w:t xml:space="preserve">also </w:t>
            </w:r>
            <w:r w:rsidR="008F6EB4">
              <w:rPr>
                <w:rFonts w:eastAsia="Times New Roman"/>
                <w:lang w:val="en-US"/>
              </w:rPr>
              <w:t>sought from personnel in</w:t>
            </w:r>
            <w:r w:rsidR="008F6EB4" w:rsidRPr="003034D9">
              <w:rPr>
                <w:rFonts w:eastAsia="Times New Roman"/>
                <w:lang w:val="en-US"/>
              </w:rPr>
              <w:t xml:space="preserve"> vertically integrated companies that have developed their own traceability system</w:t>
            </w:r>
            <w:r w:rsidR="008F6EB4">
              <w:rPr>
                <w:rFonts w:eastAsia="Times New Roman"/>
                <w:lang w:val="en-US"/>
              </w:rPr>
              <w:t>s</w:t>
            </w:r>
            <w:r w:rsidR="008F6EB4" w:rsidRPr="003034D9">
              <w:rPr>
                <w:rFonts w:eastAsia="Times New Roman"/>
                <w:lang w:val="en-US"/>
              </w:rPr>
              <w:t xml:space="preserve">, </w:t>
            </w:r>
            <w:r w:rsidR="008F6EB4">
              <w:rPr>
                <w:rFonts w:eastAsia="Times New Roman"/>
                <w:lang w:val="en-US"/>
              </w:rPr>
              <w:t>from</w:t>
            </w:r>
            <w:r w:rsidR="008F6EB4" w:rsidRPr="003034D9">
              <w:rPr>
                <w:rFonts w:eastAsia="Times New Roman"/>
                <w:lang w:val="en-US"/>
              </w:rPr>
              <w:t xml:space="preserve"> genotype providers experienced in providing DNA-based traceability solutions and </w:t>
            </w:r>
            <w:r w:rsidR="008F6EB4">
              <w:rPr>
                <w:rFonts w:eastAsia="Times New Roman"/>
                <w:lang w:val="en-US"/>
              </w:rPr>
              <w:t>from</w:t>
            </w:r>
            <w:r w:rsidR="008F6EB4" w:rsidRPr="003034D9">
              <w:rPr>
                <w:rFonts w:eastAsia="Times New Roman"/>
                <w:lang w:val="en-US"/>
              </w:rPr>
              <w:t xml:space="preserve"> colleagues who have been involved in implementing national genotyping programs in other countries (notably Switzerland and Ireland).</w:t>
            </w:r>
            <w:r w:rsidR="005E784B">
              <w:rPr>
                <w:rFonts w:eastAsia="Times New Roman"/>
                <w:lang w:val="en-US"/>
              </w:rPr>
              <w:t xml:space="preserve">  </w:t>
            </w:r>
          </w:p>
          <w:p w14:paraId="1F43F40A" w14:textId="41E35102" w:rsidR="00F60624" w:rsidRPr="003034D9" w:rsidRDefault="00F60624" w:rsidP="00A31F19">
            <w:pPr>
              <w:rPr>
                <w:rFonts w:eastAsia="Times New Roman"/>
                <w:lang w:val="en-US"/>
              </w:rPr>
            </w:pPr>
          </w:p>
        </w:tc>
      </w:tr>
    </w:tbl>
    <w:p w14:paraId="3F99C3DE" w14:textId="77777777" w:rsidR="0073732A" w:rsidRDefault="0073732A" w:rsidP="008D2899"/>
    <w:p w14:paraId="7C7E3CAA" w14:textId="77777777" w:rsidR="00F10691" w:rsidRDefault="00F10691" w:rsidP="00577199">
      <w:pPr>
        <w:pStyle w:val="Heading1"/>
        <w:sectPr w:rsidR="00F10691" w:rsidSect="00490FA4">
          <w:pgSz w:w="11906" w:h="16838"/>
          <w:pgMar w:top="1135" w:right="720" w:bottom="993" w:left="1134" w:header="709" w:footer="709" w:gutter="0"/>
          <w:cols w:space="708"/>
          <w:titlePg/>
          <w:docGrid w:linePitch="360"/>
        </w:sectPr>
      </w:pPr>
    </w:p>
    <w:p w14:paraId="18B061A9" w14:textId="77777777" w:rsidR="00FF4590" w:rsidRPr="00FF4590" w:rsidRDefault="00FF4590" w:rsidP="00577199">
      <w:pPr>
        <w:pStyle w:val="Heading1"/>
      </w:pPr>
      <w:bookmarkStart w:id="17" w:name="_Toc95983373"/>
      <w:r w:rsidRPr="00FF4590">
        <w:lastRenderedPageBreak/>
        <w:t>Introduction</w:t>
      </w:r>
      <w:bookmarkEnd w:id="17"/>
    </w:p>
    <w:p w14:paraId="419F58ED" w14:textId="77777777" w:rsidR="00FF4590" w:rsidRDefault="00FF4590" w:rsidP="00996CC5"/>
    <w:p w14:paraId="19234F58" w14:textId="3B552BDA" w:rsidR="00204261" w:rsidRDefault="00204261" w:rsidP="00204261">
      <w:r w:rsidRPr="00747A85">
        <w:t xml:space="preserve">Today’s consumers require </w:t>
      </w:r>
      <w:r w:rsidR="00D33BBC">
        <w:t xml:space="preserve">and expect </w:t>
      </w:r>
      <w:r w:rsidR="00C64521">
        <w:t xml:space="preserve">integral </w:t>
      </w:r>
      <w:r w:rsidRPr="00747A85">
        <w:t>knowledge about the</w:t>
      </w:r>
      <w:r w:rsidR="005E08E3">
        <w:t>ir</w:t>
      </w:r>
      <w:r w:rsidRPr="00747A85">
        <w:t xml:space="preserve"> food</w:t>
      </w:r>
      <w:r w:rsidR="00EF4987">
        <w:t xml:space="preserve"> </w:t>
      </w:r>
      <w:r w:rsidRPr="00747A85">
        <w:t>– its origins, how it is produced</w:t>
      </w:r>
      <w:r>
        <w:t xml:space="preserve">, how it is prepared and </w:t>
      </w:r>
      <w:r w:rsidRPr="00747A85">
        <w:t xml:space="preserve">whether it is safe. </w:t>
      </w:r>
      <w:bookmarkStart w:id="18" w:name="_Hlk92232234"/>
      <w:r>
        <w:t xml:space="preserve">Consequently, </w:t>
      </w:r>
      <w:r w:rsidR="00AB5027">
        <w:t xml:space="preserve">to protect brands and allow accountability, </w:t>
      </w:r>
      <w:r w:rsidR="00EF4987">
        <w:t xml:space="preserve">livestock </w:t>
      </w:r>
      <w:r>
        <w:t xml:space="preserve">producers have </w:t>
      </w:r>
      <w:r w:rsidR="007757C6">
        <w:t xml:space="preserve">a strong incentive </w:t>
      </w:r>
      <w:r>
        <w:t xml:space="preserve">to </w:t>
      </w:r>
      <w:r w:rsidR="00C64521">
        <w:t>develop and participate in</w:t>
      </w:r>
      <w:r>
        <w:t xml:space="preserve"> systems that </w:t>
      </w:r>
      <w:r w:rsidR="001C51D7">
        <w:t xml:space="preserve">can track </w:t>
      </w:r>
      <w:r w:rsidR="00EF4987">
        <w:t xml:space="preserve">red meat </w:t>
      </w:r>
      <w:r w:rsidR="001C51D7">
        <w:t xml:space="preserve">products through the supply chain </w:t>
      </w:r>
      <w:r w:rsidR="0086697A">
        <w:t>and inform consumers.  Governments also have an</w:t>
      </w:r>
      <w:r w:rsidR="008F7BCB">
        <w:t xml:space="preserve"> inherit</w:t>
      </w:r>
      <w:r w:rsidR="0086697A">
        <w:t xml:space="preserve"> interest </w:t>
      </w:r>
      <w:r w:rsidR="008F7BCB">
        <w:t xml:space="preserve">in </w:t>
      </w:r>
      <w:r w:rsidR="00A7275D">
        <w:t>biosecurity, public health and safety</w:t>
      </w:r>
      <w:r w:rsidR="004C061F">
        <w:t xml:space="preserve"> </w:t>
      </w:r>
      <w:r w:rsidR="00A7275D">
        <w:t xml:space="preserve">and </w:t>
      </w:r>
      <w:r w:rsidR="0086697A">
        <w:t xml:space="preserve">ensuring </w:t>
      </w:r>
      <w:r w:rsidR="00296444">
        <w:t>that</w:t>
      </w:r>
      <w:r w:rsidR="00D3524E">
        <w:t xml:space="preserve"> agricultural</w:t>
      </w:r>
      <w:r w:rsidR="00296444">
        <w:t xml:space="preserve"> industries have ready access to export markets. </w:t>
      </w:r>
    </w:p>
    <w:bookmarkEnd w:id="18"/>
    <w:p w14:paraId="7AA7B53D" w14:textId="79061C9F" w:rsidR="0023734D" w:rsidRDefault="0023734D" w:rsidP="00204261"/>
    <w:p w14:paraId="19DCD03E" w14:textId="78DFC9DF" w:rsidR="00EF4987" w:rsidRDefault="00EF4987" w:rsidP="00EF4987">
      <w:bookmarkStart w:id="19" w:name="_Hlk92232168"/>
      <w:r>
        <w:t xml:space="preserve">The Australian red meat industries are dominated by beef, veal, </w:t>
      </w:r>
      <w:proofErr w:type="gramStart"/>
      <w:r>
        <w:t>mutton</w:t>
      </w:r>
      <w:proofErr w:type="gramEnd"/>
      <w:r>
        <w:t xml:space="preserve"> and lamb, so this study will be focused on cattle and sheep </w:t>
      </w:r>
      <w:bookmarkEnd w:id="19"/>
      <w:r>
        <w:t>with an emphasis on the former, which represents the greatest dollar value. According to M</w:t>
      </w:r>
      <w:r w:rsidR="00AB2CD6">
        <w:t>eat and Livestock Australia (M</w:t>
      </w:r>
      <w:r>
        <w:t>LA</w:t>
      </w:r>
      <w:r w:rsidR="00AB2CD6">
        <w:t>)</w:t>
      </w:r>
      <w:r>
        <w:t xml:space="preserve">, the off-farm meat value of the Australian beef industry was approximately $20.2b in 2019.  This figure includes domestic expenditure plus export value, including live exports; and compares with the off-farm meat value of $7.2b for the Australian </w:t>
      </w:r>
      <w:proofErr w:type="spellStart"/>
      <w:r>
        <w:t>sheepmeat</w:t>
      </w:r>
      <w:proofErr w:type="spellEnd"/>
      <w:r>
        <w:t xml:space="preserve"> industry over the same period.  Around 189,000 people are employed in the red meat industry, including on-farm production, </w:t>
      </w:r>
      <w:proofErr w:type="gramStart"/>
      <w:r>
        <w:t>processing</w:t>
      </w:r>
      <w:proofErr w:type="gramEnd"/>
      <w:r>
        <w:t xml:space="preserve"> and retail</w:t>
      </w:r>
      <w:bookmarkStart w:id="20" w:name="_Ref88993008"/>
      <w:r w:rsidR="004A54DF">
        <w:rPr>
          <w:rStyle w:val="FootnoteReference"/>
        </w:rPr>
        <w:footnoteReference w:id="3"/>
      </w:r>
      <w:bookmarkEnd w:id="20"/>
      <w:r w:rsidR="004A54DF">
        <w:t>.</w:t>
      </w:r>
      <w:r>
        <w:t xml:space="preserve"> </w:t>
      </w:r>
    </w:p>
    <w:p w14:paraId="3DE916EB" w14:textId="77777777" w:rsidR="00EF4987" w:rsidRDefault="00EF4987" w:rsidP="00EF4987"/>
    <w:p w14:paraId="0EE0CFF0" w14:textId="1DF6822C" w:rsidR="0023734D" w:rsidRDefault="003F7B36" w:rsidP="006821B4">
      <w:r>
        <w:t xml:space="preserve">The </w:t>
      </w:r>
      <w:r w:rsidR="00A249EF">
        <w:t>amenability</w:t>
      </w:r>
      <w:r w:rsidR="00D828F5">
        <w:t xml:space="preserve"> of a product to be </w:t>
      </w:r>
      <w:r>
        <w:t>track</w:t>
      </w:r>
      <w:r w:rsidR="00D828F5">
        <w:t>ed</w:t>
      </w:r>
      <w:r>
        <w:t xml:space="preserve"> </w:t>
      </w:r>
      <w:r w:rsidRPr="003B201B">
        <w:t>through</w:t>
      </w:r>
      <w:r>
        <w:t xml:space="preserve"> the supply chain is commonly referred to as </w:t>
      </w:r>
      <w:r w:rsidR="003E0E13">
        <w:t xml:space="preserve">its </w:t>
      </w:r>
      <w:r>
        <w:t>traceability</w:t>
      </w:r>
      <w:r w:rsidR="00A972BA">
        <w:t xml:space="preserve">. </w:t>
      </w:r>
      <w:r w:rsidR="0023734D">
        <w:t>Australia’s red m</w:t>
      </w:r>
      <w:r w:rsidR="006B2CDA">
        <w:t>e</w:t>
      </w:r>
      <w:r w:rsidR="0023734D">
        <w:t xml:space="preserve">at industries have been proactive </w:t>
      </w:r>
      <w:r w:rsidR="006B2CDA">
        <w:t xml:space="preserve">in developing traceability </w:t>
      </w:r>
      <w:r w:rsidR="000F7A85">
        <w:t>for its products</w:t>
      </w:r>
      <w:r w:rsidR="00A972BA">
        <w:t>. SAFEMEAT (a national partnership between industry and government</w:t>
      </w:r>
      <w:r w:rsidR="00747DAE">
        <w:rPr>
          <w:rStyle w:val="FootnoteReference"/>
        </w:rPr>
        <w:footnoteReference w:id="4"/>
      </w:r>
      <w:r w:rsidR="00A972BA">
        <w:t xml:space="preserve">) provides the policy direction and oversight for the national integrity system, </w:t>
      </w:r>
      <w:bookmarkStart w:id="21" w:name="_Hlk92232503"/>
      <w:r w:rsidR="00A972BA">
        <w:t xml:space="preserve">whilst the Integrity Systems Company (ISC) was established </w:t>
      </w:r>
      <w:r w:rsidR="00747DAE">
        <w:t xml:space="preserve">in 2017 </w:t>
      </w:r>
      <w:r w:rsidR="00A972BA">
        <w:t xml:space="preserve">as a wholly owned subsidiary of MLA to manage </w:t>
      </w:r>
      <w:r w:rsidR="00A972BA" w:rsidRPr="00A972BA">
        <w:t>and deliver</w:t>
      </w:r>
      <w:r w:rsidR="00747DAE">
        <w:t xml:space="preserve"> the three </w:t>
      </w:r>
      <w:r w:rsidR="00A972BA" w:rsidRPr="00A972BA">
        <w:t xml:space="preserve">industry integrity programs </w:t>
      </w:r>
      <w:r w:rsidR="00747DAE">
        <w:t>being the</w:t>
      </w:r>
      <w:r w:rsidR="00A972BA" w:rsidRPr="00A972BA">
        <w:t xml:space="preserve"> National Livestock Identification System (NLIS), Livestock Production Assurance (LPA) program, and National Vendor Declarations (NVDs)</w:t>
      </w:r>
      <w:r w:rsidR="00216550">
        <w:t>.</w:t>
      </w:r>
      <w:r w:rsidR="00730727">
        <w:t xml:space="preserve"> </w:t>
      </w:r>
      <w:bookmarkEnd w:id="21"/>
      <w:r w:rsidR="007C4CC6">
        <w:t>T</w:t>
      </w:r>
      <w:r w:rsidR="00FA52D5">
        <w:t xml:space="preserve">he </w:t>
      </w:r>
      <w:r w:rsidR="0023734D">
        <w:t>system</w:t>
      </w:r>
      <w:r w:rsidR="00FA52D5">
        <w:t xml:space="preserve"> currently in place</w:t>
      </w:r>
      <w:r w:rsidR="0023734D">
        <w:t xml:space="preserve"> appears to work very well, but it does have some inherent weaknesses as it primarily relies on physical labelling – initially ear tags in animals (which can become lost) and subsequently on information being passed along the processing and marketing chain </w:t>
      </w:r>
      <w:r w:rsidR="00216550">
        <w:t xml:space="preserve">(box labels) </w:t>
      </w:r>
      <w:r w:rsidR="0023734D">
        <w:t>without error</w:t>
      </w:r>
      <w:r w:rsidR="00903167">
        <w:t xml:space="preserve">. </w:t>
      </w:r>
      <w:r w:rsidR="00903167" w:rsidRPr="00903167">
        <w:t xml:space="preserve">Note that this information transfer is not automatic or embedded </w:t>
      </w:r>
      <w:r w:rsidR="00903167" w:rsidRPr="006821B4">
        <w:t>(</w:t>
      </w:r>
      <w:proofErr w:type="gramStart"/>
      <w:r w:rsidR="00903167" w:rsidRPr="00951267">
        <w:rPr>
          <w:i/>
          <w:iCs/>
        </w:rPr>
        <w:t>i.e.</w:t>
      </w:r>
      <w:proofErr w:type="gramEnd"/>
      <w:r w:rsidR="00903167" w:rsidRPr="00903167">
        <w:t xml:space="preserve"> in the sense that the information is contained in a tag that stays with the animal and its component products</w:t>
      </w:r>
      <w:r w:rsidR="00B37CC4">
        <w:t>)</w:t>
      </w:r>
      <w:r w:rsidR="0023734D">
        <w:t>.</w:t>
      </w:r>
    </w:p>
    <w:p w14:paraId="6195D784" w14:textId="77777777" w:rsidR="004C061F" w:rsidRDefault="004C061F" w:rsidP="00204261"/>
    <w:p w14:paraId="09F97629" w14:textId="788BB3FF" w:rsidR="00B42D13" w:rsidRDefault="3888A7A5" w:rsidP="00996CC5">
      <w:r>
        <w:t xml:space="preserve">This project was initiated to investigate the feasibility of using genomic technologies to </w:t>
      </w:r>
      <w:r w:rsidR="00DB7121">
        <w:t>enhance</w:t>
      </w:r>
      <w:r>
        <w:t xml:space="preserve"> traceability along the red meat supply chain; and to determine whether its inclusion in the current system (NLIS, LPA </w:t>
      </w:r>
      <w:r w:rsidRPr="3888A7A5">
        <w:rPr>
          <w:i/>
          <w:iCs/>
        </w:rPr>
        <w:t>etc</w:t>
      </w:r>
      <w:r>
        <w:t xml:space="preserve">.)  presents a clear value proposition for both sheep and cattle.  Establishing the value proposition requires the consideration of numerous factors, including: </w:t>
      </w:r>
    </w:p>
    <w:p w14:paraId="162E573D" w14:textId="0F088951" w:rsidR="00D535EA" w:rsidRDefault="00D535EA" w:rsidP="00374617">
      <w:pPr>
        <w:pStyle w:val="ListParagraph"/>
        <w:numPr>
          <w:ilvl w:val="0"/>
          <w:numId w:val="5"/>
        </w:numPr>
      </w:pPr>
      <w:r>
        <w:t xml:space="preserve">the effectiveness of the technology </w:t>
      </w:r>
      <w:r w:rsidR="0055565A">
        <w:t>in aiding traceability</w:t>
      </w:r>
    </w:p>
    <w:p w14:paraId="042D38F7" w14:textId="73164A4A" w:rsidR="0055565A" w:rsidRDefault="0055565A" w:rsidP="00374617">
      <w:pPr>
        <w:pStyle w:val="ListParagraph"/>
        <w:numPr>
          <w:ilvl w:val="0"/>
          <w:numId w:val="5"/>
        </w:numPr>
      </w:pPr>
      <w:r>
        <w:t>potential ancillary benefits</w:t>
      </w:r>
    </w:p>
    <w:p w14:paraId="6F9997A1" w14:textId="4FC60EA3" w:rsidR="00B42D13" w:rsidRDefault="00B810C0" w:rsidP="00374617">
      <w:pPr>
        <w:pStyle w:val="ListParagraph"/>
        <w:numPr>
          <w:ilvl w:val="0"/>
          <w:numId w:val="5"/>
        </w:numPr>
      </w:pPr>
      <w:r>
        <w:t xml:space="preserve">the likely </w:t>
      </w:r>
      <w:r w:rsidR="008B0503">
        <w:t>costs</w:t>
      </w:r>
    </w:p>
    <w:p w14:paraId="2C8566B7" w14:textId="2D5602D9" w:rsidR="00B42D13" w:rsidRDefault="00A11D6C" w:rsidP="00374617">
      <w:pPr>
        <w:pStyle w:val="ListParagraph"/>
        <w:numPr>
          <w:ilvl w:val="0"/>
          <w:numId w:val="5"/>
        </w:numPr>
      </w:pPr>
      <w:r>
        <w:t xml:space="preserve">logistical </w:t>
      </w:r>
      <w:r w:rsidR="008B0503">
        <w:t>issues</w:t>
      </w:r>
      <w:r w:rsidR="00166694">
        <w:t xml:space="preserve"> including </w:t>
      </w:r>
      <w:r w:rsidR="00AA4B8C">
        <w:t xml:space="preserve">sample and </w:t>
      </w:r>
      <w:r w:rsidR="00166694">
        <w:t>data management</w:t>
      </w:r>
    </w:p>
    <w:p w14:paraId="17FAF953" w14:textId="767533B4" w:rsidR="008E4FFA" w:rsidRDefault="008E4FFA" w:rsidP="00374617">
      <w:pPr>
        <w:pStyle w:val="ListParagraph"/>
        <w:numPr>
          <w:ilvl w:val="0"/>
          <w:numId w:val="5"/>
        </w:numPr>
      </w:pPr>
      <w:r>
        <w:t>genotyping methodology</w:t>
      </w:r>
    </w:p>
    <w:p w14:paraId="26377996" w14:textId="79AD6D9B" w:rsidR="008B0503" w:rsidRDefault="00166694" w:rsidP="00374617">
      <w:pPr>
        <w:pStyle w:val="ListParagraph"/>
        <w:numPr>
          <w:ilvl w:val="0"/>
          <w:numId w:val="5"/>
        </w:numPr>
      </w:pPr>
      <w:r>
        <w:t xml:space="preserve">which animals </w:t>
      </w:r>
      <w:r w:rsidR="00996CC5">
        <w:t xml:space="preserve">(and their products) </w:t>
      </w:r>
      <w:r w:rsidR="00133715">
        <w:t>should be</w:t>
      </w:r>
      <w:r>
        <w:t xml:space="preserve"> </w:t>
      </w:r>
      <w:proofErr w:type="gramStart"/>
      <w:r>
        <w:t>genotyp</w:t>
      </w:r>
      <w:r w:rsidR="00133715">
        <w:t>ed</w:t>
      </w:r>
      <w:proofErr w:type="gramEnd"/>
    </w:p>
    <w:p w14:paraId="1EBC578E" w14:textId="77777777" w:rsidR="0055565A" w:rsidRDefault="0055565A" w:rsidP="00374617">
      <w:pPr>
        <w:pStyle w:val="ListParagraph"/>
        <w:numPr>
          <w:ilvl w:val="0"/>
          <w:numId w:val="5"/>
        </w:numPr>
      </w:pPr>
      <w:r>
        <w:t>turnaround times</w:t>
      </w:r>
    </w:p>
    <w:p w14:paraId="4E2ECA36" w14:textId="77777777" w:rsidR="008B0503" w:rsidRDefault="008B0503" w:rsidP="00374617">
      <w:pPr>
        <w:pStyle w:val="ListParagraph"/>
        <w:numPr>
          <w:ilvl w:val="0"/>
          <w:numId w:val="5"/>
        </w:numPr>
      </w:pPr>
      <w:r>
        <w:t>t</w:t>
      </w:r>
      <w:r w:rsidR="002573EF">
        <w:t xml:space="preserve">he receptiveness of </w:t>
      </w:r>
      <w:r w:rsidR="00BB27AA">
        <w:t>key participants</w:t>
      </w:r>
    </w:p>
    <w:p w14:paraId="7173BA08" w14:textId="77777777" w:rsidR="008B0503" w:rsidRDefault="00347D4F" w:rsidP="00374617">
      <w:pPr>
        <w:pStyle w:val="ListParagraph"/>
        <w:numPr>
          <w:ilvl w:val="0"/>
          <w:numId w:val="5"/>
        </w:numPr>
      </w:pPr>
      <w:r>
        <w:t>potential implementation models</w:t>
      </w:r>
    </w:p>
    <w:p w14:paraId="5AE62D04" w14:textId="77777777" w:rsidR="00133715" w:rsidRDefault="00AA4B8C" w:rsidP="00374617">
      <w:pPr>
        <w:pStyle w:val="ListParagraph"/>
        <w:numPr>
          <w:ilvl w:val="0"/>
          <w:numId w:val="5"/>
        </w:numPr>
      </w:pPr>
      <w:r>
        <w:t xml:space="preserve">the availability of </w:t>
      </w:r>
      <w:r w:rsidR="00347D4F">
        <w:t>service providers</w:t>
      </w:r>
    </w:p>
    <w:p w14:paraId="7A6E2E50" w14:textId="77777777" w:rsidR="00996CC5" w:rsidRDefault="00996CC5" w:rsidP="00996CC5"/>
    <w:p w14:paraId="6FF3AF4B" w14:textId="5F9A55E6" w:rsidR="00D06F60" w:rsidRDefault="00406E90">
      <w:r>
        <w:lastRenderedPageBreak/>
        <w:t>To provide the context for potential implementation</w:t>
      </w:r>
      <w:r w:rsidR="005803E6">
        <w:t xml:space="preserve">, </w:t>
      </w:r>
      <w:r w:rsidR="00EF4987">
        <w:t xml:space="preserve">this report </w:t>
      </w:r>
      <w:r w:rsidR="00F36BA2">
        <w:t>briefly describe</w:t>
      </w:r>
      <w:r w:rsidR="00EF4987">
        <w:t>s</w:t>
      </w:r>
      <w:r w:rsidR="00F36BA2">
        <w:t xml:space="preserve"> </w:t>
      </w:r>
      <w:r w:rsidR="00574EE1">
        <w:t xml:space="preserve">how the red meat </w:t>
      </w:r>
      <w:r w:rsidR="006B7059">
        <w:t xml:space="preserve">industries are structured, </w:t>
      </w:r>
      <w:r w:rsidR="00BD4CA1">
        <w:t xml:space="preserve">identifies </w:t>
      </w:r>
      <w:r w:rsidR="006B7059">
        <w:t xml:space="preserve">the main markets, </w:t>
      </w:r>
      <w:r w:rsidR="00677F38">
        <w:t>examine</w:t>
      </w:r>
      <w:r w:rsidR="00BD4CA1">
        <w:t>s</w:t>
      </w:r>
      <w:r w:rsidR="00677F38">
        <w:t xml:space="preserve"> </w:t>
      </w:r>
      <w:r w:rsidR="00AE5C95">
        <w:t>the need for traceability</w:t>
      </w:r>
      <w:r w:rsidR="00CE5465">
        <w:t>,</w:t>
      </w:r>
      <w:r w:rsidR="009D64A6">
        <w:t xml:space="preserve"> and </w:t>
      </w:r>
      <w:r w:rsidR="00677F38">
        <w:t>outline</w:t>
      </w:r>
      <w:r w:rsidR="00BD4CA1">
        <w:t>s</w:t>
      </w:r>
      <w:r w:rsidR="00677F38">
        <w:t xml:space="preserve"> </w:t>
      </w:r>
      <w:r w:rsidR="009D64A6">
        <w:t>the processes currently being used</w:t>
      </w:r>
      <w:r w:rsidR="00CE5465">
        <w:t xml:space="preserve"> to underpin traceability</w:t>
      </w:r>
      <w:r w:rsidR="009D64A6">
        <w:t xml:space="preserve">. </w:t>
      </w:r>
      <w:r w:rsidR="00FA0C45">
        <w:t xml:space="preserve"> </w:t>
      </w:r>
      <w:r w:rsidR="00BD4CA1">
        <w:t>We</w:t>
      </w:r>
      <w:r w:rsidR="00EF4987">
        <w:t xml:space="preserve"> </w:t>
      </w:r>
      <w:r w:rsidR="00FA0C45">
        <w:t>also explore the views of industry participants</w:t>
      </w:r>
      <w:r w:rsidR="00C622BB">
        <w:t xml:space="preserve"> and potential service providers, before modelling </w:t>
      </w:r>
      <w:r w:rsidR="0062789F">
        <w:t xml:space="preserve">the benefits and costs of </w:t>
      </w:r>
      <w:r w:rsidR="00C622BB">
        <w:t xml:space="preserve">some </w:t>
      </w:r>
      <w:r w:rsidR="00B91AE0">
        <w:t>potential</w:t>
      </w:r>
      <w:r w:rsidR="00C622BB">
        <w:t xml:space="preserve"> options </w:t>
      </w:r>
      <w:r w:rsidR="0062789F">
        <w:t>for using genomic information for traceability.</w:t>
      </w:r>
      <w:r w:rsidR="00683538">
        <w:t xml:space="preserve"> Important considerations include the </w:t>
      </w:r>
      <w:r w:rsidR="009535EF">
        <w:t xml:space="preserve">suitability of alternative technologies, the </w:t>
      </w:r>
      <w:r w:rsidR="000A7170">
        <w:t>capabilities</w:t>
      </w:r>
      <w:r w:rsidR="009535EF">
        <w:t xml:space="preserve"> of </w:t>
      </w:r>
      <w:r w:rsidR="000A7170">
        <w:t>potential</w:t>
      </w:r>
      <w:r w:rsidR="009535EF">
        <w:t xml:space="preserve"> service providers, </w:t>
      </w:r>
      <w:r w:rsidR="00E60534">
        <w:t xml:space="preserve">the logistics of </w:t>
      </w:r>
      <w:r w:rsidR="000A7170">
        <w:t>sample storage</w:t>
      </w:r>
      <w:r w:rsidR="00E60534">
        <w:t xml:space="preserve"> and </w:t>
      </w:r>
      <w:r w:rsidR="000A7170">
        <w:t>data management</w:t>
      </w:r>
      <w:r w:rsidR="00E60534">
        <w:t>, implementation model</w:t>
      </w:r>
      <w:r w:rsidR="00D06F60">
        <w:t xml:space="preserve">s and user incentives. </w:t>
      </w:r>
    </w:p>
    <w:p w14:paraId="137F58D4" w14:textId="77777777" w:rsidR="00FF4590" w:rsidRPr="00FF4590" w:rsidRDefault="00FF4590" w:rsidP="00E7660F">
      <w:pPr>
        <w:pStyle w:val="Heading1"/>
      </w:pPr>
      <w:bookmarkStart w:id="22" w:name="_Toc95983374"/>
      <w:r w:rsidRPr="00FF4590">
        <w:lastRenderedPageBreak/>
        <w:t>Industry structures</w:t>
      </w:r>
      <w:bookmarkEnd w:id="22"/>
    </w:p>
    <w:p w14:paraId="177F69C0" w14:textId="77777777" w:rsidR="00FF4590" w:rsidRDefault="00FF4590" w:rsidP="0007424C"/>
    <w:p w14:paraId="0E08AF17" w14:textId="7157ABE5" w:rsidR="001F4249" w:rsidRDefault="00761403">
      <w:r w:rsidRPr="008C30CB">
        <w:t>A detailed study of the structure of the Australian beef herd can b</w:t>
      </w:r>
      <w:r w:rsidR="00836419" w:rsidRPr="008C30CB">
        <w:t>e</w:t>
      </w:r>
      <w:r w:rsidRPr="008C30CB">
        <w:t xml:space="preserve"> found in </w:t>
      </w:r>
      <w:r w:rsidR="002C3C48" w:rsidRPr="000B5241">
        <w:t>DAFF (2006)</w:t>
      </w:r>
      <w:r w:rsidR="00C05885">
        <w:rPr>
          <w:rStyle w:val="FootnoteReference"/>
        </w:rPr>
        <w:footnoteReference w:id="5"/>
      </w:r>
      <w:r w:rsidR="00836419" w:rsidRPr="008C30CB">
        <w:t xml:space="preserve">, which </w:t>
      </w:r>
      <w:r w:rsidR="001F5655" w:rsidRPr="008C30CB">
        <w:t xml:space="preserve">describes the various production sectors, their main geographic locations and factors influencing movements of livestock between them.  </w:t>
      </w:r>
      <w:r w:rsidR="00020AB9" w:rsidRPr="008C30CB">
        <w:t xml:space="preserve">The structure of the Australian sheep flock and factors influencing </w:t>
      </w:r>
      <w:r w:rsidR="00F46A51" w:rsidRPr="008C30CB">
        <w:t>sheep</w:t>
      </w:r>
      <w:r w:rsidR="00020AB9" w:rsidRPr="008C30CB">
        <w:t xml:space="preserve"> movements w</w:t>
      </w:r>
      <w:r w:rsidR="004A4C67" w:rsidRPr="008C30CB">
        <w:t>ere</w:t>
      </w:r>
      <w:r w:rsidR="00020AB9" w:rsidRPr="008C30CB">
        <w:t xml:space="preserve"> reported </w:t>
      </w:r>
      <w:r w:rsidR="004A4C67" w:rsidRPr="008C30CB">
        <w:t xml:space="preserve">in detail </w:t>
      </w:r>
      <w:r w:rsidR="009F0DAD" w:rsidRPr="008C30CB">
        <w:t xml:space="preserve">by </w:t>
      </w:r>
      <w:r w:rsidR="00424D5D" w:rsidRPr="008C30CB">
        <w:t>East and Foreman (2011)</w:t>
      </w:r>
      <w:r w:rsidR="00D24A69" w:rsidRPr="004C7BF0">
        <w:rPr>
          <w:rStyle w:val="FootnoteReference"/>
        </w:rPr>
        <w:footnoteReference w:id="6"/>
      </w:r>
      <w:r w:rsidR="00424D5D" w:rsidRPr="008C30CB">
        <w:t xml:space="preserve"> and Perrett (2015)</w:t>
      </w:r>
      <w:r w:rsidR="005E6F0E">
        <w:rPr>
          <w:rStyle w:val="FootnoteReference"/>
        </w:rPr>
        <w:footnoteReference w:id="7"/>
      </w:r>
      <w:r w:rsidR="00020AB9" w:rsidRPr="008C30CB">
        <w:t xml:space="preserve">.  </w:t>
      </w:r>
      <w:proofErr w:type="gramStart"/>
      <w:r w:rsidR="00020AB9" w:rsidRPr="008C30CB">
        <w:t>F</w:t>
      </w:r>
      <w:r w:rsidR="001F5655" w:rsidRPr="008C30CB">
        <w:t>or the purpose of</w:t>
      </w:r>
      <w:proofErr w:type="gramEnd"/>
      <w:r w:rsidR="001F5655" w:rsidRPr="008C30CB">
        <w:t xml:space="preserve"> this study, p</w:t>
      </w:r>
      <w:r w:rsidR="007F301F" w:rsidRPr="008C30CB">
        <w:t xml:space="preserve">articipants involved in the </w:t>
      </w:r>
      <w:r w:rsidR="00F565E5" w:rsidRPr="008C30CB">
        <w:t>passage</w:t>
      </w:r>
      <w:r w:rsidR="009A7F36" w:rsidRPr="008C30CB">
        <w:t xml:space="preserve"> of red meat from </w:t>
      </w:r>
      <w:r w:rsidR="00F26991" w:rsidRPr="008C30CB">
        <w:t>producer</w:t>
      </w:r>
      <w:r w:rsidR="009A7F36" w:rsidRPr="008C30CB">
        <w:t xml:space="preserve"> to </w:t>
      </w:r>
      <w:r w:rsidR="00F26991" w:rsidRPr="008C30CB">
        <w:t>consumer</w:t>
      </w:r>
      <w:r w:rsidR="00F565E5" w:rsidRPr="008C30CB">
        <w:t xml:space="preserve"> </w:t>
      </w:r>
      <w:r w:rsidR="002646DF" w:rsidRPr="008C30CB">
        <w:t xml:space="preserve">can be categorised into </w:t>
      </w:r>
      <w:r w:rsidR="00F15FB1" w:rsidRPr="008C30CB">
        <w:t>one or more of the following</w:t>
      </w:r>
      <w:r w:rsidR="001F4249" w:rsidRPr="008C30CB">
        <w:t>:</w:t>
      </w:r>
    </w:p>
    <w:p w14:paraId="7E31ABA4" w14:textId="77777777" w:rsidR="00F26991" w:rsidRDefault="00F26991"/>
    <w:p w14:paraId="5292ABD0" w14:textId="77777777" w:rsidR="00F15FB1" w:rsidRDefault="00F15FB1" w:rsidP="00ED25FE">
      <w:pPr>
        <w:pStyle w:val="ListParagraph"/>
        <w:numPr>
          <w:ilvl w:val="0"/>
          <w:numId w:val="2"/>
        </w:numPr>
      </w:pPr>
      <w:r>
        <w:t xml:space="preserve">Seedstock </w:t>
      </w:r>
      <w:r w:rsidR="00ED25FE">
        <w:t>breeders</w:t>
      </w:r>
    </w:p>
    <w:p w14:paraId="5FD62081" w14:textId="7AC66E1D" w:rsidR="00F15FB1" w:rsidRDefault="005044A1" w:rsidP="00ED25FE">
      <w:pPr>
        <w:pStyle w:val="ListParagraph"/>
        <w:numPr>
          <w:ilvl w:val="0"/>
          <w:numId w:val="2"/>
        </w:numPr>
      </w:pPr>
      <w:r>
        <w:t xml:space="preserve">Commercial </w:t>
      </w:r>
      <w:r w:rsidR="004D3EB0">
        <w:t>producers</w:t>
      </w:r>
    </w:p>
    <w:p w14:paraId="34A9DBD1" w14:textId="77777777" w:rsidR="00F15FB1" w:rsidRDefault="003026D4" w:rsidP="00ED25FE">
      <w:pPr>
        <w:pStyle w:val="ListParagraph"/>
        <w:numPr>
          <w:ilvl w:val="0"/>
          <w:numId w:val="2"/>
        </w:numPr>
      </w:pPr>
      <w:r>
        <w:t xml:space="preserve">Backgrounders and Finishers </w:t>
      </w:r>
    </w:p>
    <w:p w14:paraId="7362AA6D" w14:textId="77777777" w:rsidR="00F15FB1" w:rsidRDefault="003026D4" w:rsidP="00ED25FE">
      <w:pPr>
        <w:pStyle w:val="ListParagraph"/>
        <w:numPr>
          <w:ilvl w:val="0"/>
          <w:numId w:val="2"/>
        </w:numPr>
      </w:pPr>
      <w:r>
        <w:t xml:space="preserve">Lot feeders </w:t>
      </w:r>
    </w:p>
    <w:p w14:paraId="2B311F12" w14:textId="77777777" w:rsidR="00F15FB1" w:rsidRDefault="00F15FB1" w:rsidP="00ED25FE">
      <w:pPr>
        <w:pStyle w:val="ListParagraph"/>
        <w:numPr>
          <w:ilvl w:val="0"/>
          <w:numId w:val="2"/>
        </w:numPr>
      </w:pPr>
      <w:r>
        <w:t>Processors</w:t>
      </w:r>
    </w:p>
    <w:p w14:paraId="1681B89A" w14:textId="538C640D" w:rsidR="00C26199" w:rsidRDefault="00C26199" w:rsidP="00C26199">
      <w:pPr>
        <w:pStyle w:val="ListParagraph"/>
        <w:numPr>
          <w:ilvl w:val="0"/>
          <w:numId w:val="2"/>
        </w:numPr>
      </w:pPr>
      <w:r>
        <w:t xml:space="preserve">Wholesalers, </w:t>
      </w:r>
      <w:proofErr w:type="gramStart"/>
      <w:r>
        <w:t>retailers</w:t>
      </w:r>
      <w:proofErr w:type="gramEnd"/>
      <w:r>
        <w:t xml:space="preserve"> and smallgoods</w:t>
      </w:r>
      <w:r w:rsidR="009E297C">
        <w:t xml:space="preserve"> manufacturers</w:t>
      </w:r>
    </w:p>
    <w:p w14:paraId="0993B53B" w14:textId="77777777" w:rsidR="00F15FB1" w:rsidRDefault="00F15FB1" w:rsidP="00ED25FE">
      <w:pPr>
        <w:pStyle w:val="ListParagraph"/>
        <w:numPr>
          <w:ilvl w:val="0"/>
          <w:numId w:val="2"/>
        </w:numPr>
      </w:pPr>
      <w:r>
        <w:t>Exporters</w:t>
      </w:r>
    </w:p>
    <w:p w14:paraId="029C3E47" w14:textId="4BE7AC84" w:rsidR="00ED25FE" w:rsidRDefault="00ED25FE" w:rsidP="00ED25FE">
      <w:pPr>
        <w:pStyle w:val="ListParagraph"/>
        <w:numPr>
          <w:ilvl w:val="0"/>
          <w:numId w:val="2"/>
        </w:numPr>
      </w:pPr>
      <w:r>
        <w:t>Consumers</w:t>
      </w:r>
    </w:p>
    <w:p w14:paraId="11D21913" w14:textId="06449021" w:rsidR="00A33BE0" w:rsidRDefault="00A33BE0" w:rsidP="00A33BE0"/>
    <w:p w14:paraId="0F59EA9A" w14:textId="1E900C27" w:rsidR="000A246A" w:rsidRDefault="000A246A" w:rsidP="00A33BE0">
      <w:r>
        <w:t xml:space="preserve">In addition, there are numerous service providers </w:t>
      </w:r>
      <w:r w:rsidR="000A7128">
        <w:t>who</w:t>
      </w:r>
      <w:r>
        <w:t xml:space="preserve"> operate within and across each of the sectors including livestock agents, vet</w:t>
      </w:r>
      <w:r w:rsidR="004A4C67">
        <w:t>eri</w:t>
      </w:r>
      <w:r w:rsidR="000A7128">
        <w:t>n</w:t>
      </w:r>
      <w:r w:rsidR="004A4C67">
        <w:t>arians</w:t>
      </w:r>
      <w:r>
        <w:t xml:space="preserve">, consultants, </w:t>
      </w:r>
      <w:r w:rsidRPr="00577199">
        <w:rPr>
          <w:i/>
          <w:iCs/>
        </w:rPr>
        <w:t>etc</w:t>
      </w:r>
      <w:r>
        <w:t xml:space="preserve">. </w:t>
      </w:r>
      <w:r w:rsidR="004A4C67">
        <w:t>who</w:t>
      </w:r>
      <w:r>
        <w:t xml:space="preserve"> have direct engagement with the NLIS and traceability. </w:t>
      </w:r>
    </w:p>
    <w:p w14:paraId="63893F1B" w14:textId="7492D669" w:rsidR="0077016D" w:rsidRDefault="0077016D" w:rsidP="00A33BE0"/>
    <w:p w14:paraId="40385F26" w14:textId="42C1679E" w:rsidR="00886755" w:rsidRDefault="00886755" w:rsidP="00A33BE0">
      <w:r>
        <w:t xml:space="preserve">The flow of animals and </w:t>
      </w:r>
      <w:r w:rsidR="00F27D4A">
        <w:t xml:space="preserve">animal products between the various participants in the red meat industries is depicted in </w:t>
      </w:r>
      <w:r w:rsidR="00F27D4A">
        <w:fldChar w:fldCharType="begin"/>
      </w:r>
      <w:r w:rsidR="00F27D4A">
        <w:instrText xml:space="preserve"> REF _Ref87887296 \h </w:instrText>
      </w:r>
      <w:r w:rsidR="00F27D4A">
        <w:fldChar w:fldCharType="separate"/>
      </w:r>
      <w:r w:rsidR="008D0D42">
        <w:t xml:space="preserve">Figure </w:t>
      </w:r>
      <w:r w:rsidR="008D0D42">
        <w:rPr>
          <w:noProof/>
        </w:rPr>
        <w:t>1</w:t>
      </w:r>
      <w:r w:rsidR="00F27D4A">
        <w:fldChar w:fldCharType="end"/>
      </w:r>
      <w:r w:rsidR="00F27D4A">
        <w:t>.</w:t>
      </w:r>
    </w:p>
    <w:p w14:paraId="6E2FCCCF" w14:textId="77777777" w:rsidR="0077016D" w:rsidRDefault="0077016D" w:rsidP="000B5241">
      <w:pPr>
        <w:keepNext/>
        <w:keepLines/>
        <w:jc w:val="right"/>
      </w:pPr>
      <w:r>
        <w:rPr>
          <w:noProof/>
        </w:rPr>
        <w:lastRenderedPageBreak/>
        <w:drawing>
          <wp:inline distT="0" distB="0" distL="0" distR="0" wp14:anchorId="7F60B32F" wp14:editId="3BC71A72">
            <wp:extent cx="4186555" cy="3345627"/>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4700" cy="3352136"/>
                    </a:xfrm>
                    <a:prstGeom prst="rect">
                      <a:avLst/>
                    </a:prstGeom>
                  </pic:spPr>
                </pic:pic>
              </a:graphicData>
            </a:graphic>
          </wp:inline>
        </w:drawing>
      </w:r>
    </w:p>
    <w:p w14:paraId="3AD102AE" w14:textId="432F7F57" w:rsidR="0077016D" w:rsidRPr="0020677E" w:rsidRDefault="0077016D" w:rsidP="00475E28">
      <w:pPr>
        <w:pStyle w:val="Caption"/>
      </w:pPr>
      <w:bookmarkStart w:id="23" w:name="_Ref87887296"/>
      <w:bookmarkStart w:id="24" w:name="_Toc95983447"/>
      <w:r>
        <w:t xml:space="preserve">Figure </w:t>
      </w:r>
      <w:r>
        <w:fldChar w:fldCharType="begin"/>
      </w:r>
      <w:r>
        <w:instrText>SEQ Figure \* ARABIC</w:instrText>
      </w:r>
      <w:r>
        <w:fldChar w:fldCharType="separate"/>
      </w:r>
      <w:r w:rsidR="008D0D42">
        <w:rPr>
          <w:noProof/>
        </w:rPr>
        <w:t>1</w:t>
      </w:r>
      <w:r>
        <w:fldChar w:fldCharType="end"/>
      </w:r>
      <w:bookmarkEnd w:id="23"/>
      <w:r>
        <w:t>.</w:t>
      </w:r>
      <w:r w:rsidRPr="0020677E">
        <w:t xml:space="preserve">  Sectors of the beef and sheep industries</w:t>
      </w:r>
      <w:bookmarkEnd w:id="24"/>
    </w:p>
    <w:p w14:paraId="06A4CBAE" w14:textId="728E368A" w:rsidR="0077016D" w:rsidRDefault="0077016D" w:rsidP="00A33BE0"/>
    <w:p w14:paraId="105EE3B8" w14:textId="77777777" w:rsidR="005044A1" w:rsidRDefault="005044A1" w:rsidP="00577199">
      <w:pPr>
        <w:pStyle w:val="Heading2"/>
      </w:pPr>
      <w:bookmarkStart w:id="25" w:name="_Toc95983375"/>
      <w:r w:rsidRPr="002F7A0A">
        <w:t xml:space="preserve">Seedstock </w:t>
      </w:r>
      <w:r w:rsidR="00ED25FE" w:rsidRPr="002F7A0A">
        <w:t>breeders</w:t>
      </w:r>
      <w:bookmarkEnd w:id="25"/>
    </w:p>
    <w:p w14:paraId="2352D141" w14:textId="77777777" w:rsidR="00005102" w:rsidRPr="002F7A0A" w:rsidRDefault="00005102">
      <w:pPr>
        <w:rPr>
          <w:b/>
          <w:bCs/>
        </w:rPr>
      </w:pPr>
    </w:p>
    <w:p w14:paraId="3B326210" w14:textId="728868E2" w:rsidR="001E26BF" w:rsidRDefault="005B54AB">
      <w:r>
        <w:t>T</w:t>
      </w:r>
      <w:r w:rsidR="00A969D7">
        <w:t xml:space="preserve">he value chain </w:t>
      </w:r>
      <w:r>
        <w:t xml:space="preserve">arguably starts with </w:t>
      </w:r>
      <w:r w:rsidR="00ED25FE">
        <w:t xml:space="preserve">breeders of </w:t>
      </w:r>
      <w:r w:rsidR="007103E5">
        <w:t>seedstock</w:t>
      </w:r>
      <w:r w:rsidR="00530AA7">
        <w:t xml:space="preserve">, who are primarily </w:t>
      </w:r>
      <w:r w:rsidR="007103E5">
        <w:t>responsible for genetic improvement</w:t>
      </w:r>
      <w:r w:rsidR="00530AA7">
        <w:t xml:space="preserve">; and who are also likely to have an interest in </w:t>
      </w:r>
      <w:r w:rsidR="00CE5187">
        <w:t>DNA technolog</w:t>
      </w:r>
      <w:r w:rsidR="005A1A9C">
        <w:t>y</w:t>
      </w:r>
      <w:r w:rsidR="00CE5187">
        <w:t xml:space="preserve"> </w:t>
      </w:r>
      <w:r w:rsidR="003F6F4A">
        <w:t>as a tool</w:t>
      </w:r>
      <w:r w:rsidR="000A246A">
        <w:t xml:space="preserve"> to aid in selection</w:t>
      </w:r>
      <w:r w:rsidR="00CE5187">
        <w:t xml:space="preserve">.  </w:t>
      </w:r>
    </w:p>
    <w:p w14:paraId="16E8C32D" w14:textId="77777777" w:rsidR="001E26BF" w:rsidRDefault="001E26BF"/>
    <w:p w14:paraId="7A945422" w14:textId="749E58CF" w:rsidR="00FD060B" w:rsidRDefault="00976BDA">
      <w:r>
        <w:t>S</w:t>
      </w:r>
      <w:r w:rsidR="00632EA5">
        <w:t xml:space="preserve">uccessful genetic improvement is a </w:t>
      </w:r>
      <w:r w:rsidR="00CE5465">
        <w:t xml:space="preserve">complex </w:t>
      </w:r>
      <w:r w:rsidR="00632EA5">
        <w:t>and costly process</w:t>
      </w:r>
      <w:r w:rsidR="006D3017">
        <w:t xml:space="preserve">, </w:t>
      </w:r>
      <w:r w:rsidR="00CE5465">
        <w:t xml:space="preserve">and in Australia </w:t>
      </w:r>
      <w:r w:rsidR="000B10D9">
        <w:t xml:space="preserve">most of the </w:t>
      </w:r>
      <w:r w:rsidR="00306681">
        <w:t xml:space="preserve">genetic improvement </w:t>
      </w:r>
      <w:r w:rsidR="000B10D9">
        <w:t xml:space="preserve">effort is </w:t>
      </w:r>
      <w:r w:rsidR="00F0247A">
        <w:t>undertaken</w:t>
      </w:r>
      <w:r w:rsidR="000B10D9">
        <w:t xml:space="preserve"> by specialised seedst</w:t>
      </w:r>
      <w:r w:rsidR="00744761">
        <w:t>ock breeders</w:t>
      </w:r>
      <w:r w:rsidR="007F20B3">
        <w:t>.</w:t>
      </w:r>
      <w:r w:rsidR="00744761">
        <w:t xml:space="preserve"> </w:t>
      </w:r>
      <w:r w:rsidR="00E11A30">
        <w:t xml:space="preserve">These </w:t>
      </w:r>
      <w:r w:rsidR="00E92818">
        <w:t xml:space="preserve">breeders </w:t>
      </w:r>
      <w:r w:rsidR="00306681">
        <w:t xml:space="preserve">are </w:t>
      </w:r>
      <w:r w:rsidR="00E11A30">
        <w:t>often known as “stud breeders</w:t>
      </w:r>
      <w:proofErr w:type="gramStart"/>
      <w:r w:rsidR="00E11A30">
        <w:t>”, because</w:t>
      </w:r>
      <w:proofErr w:type="gramEnd"/>
      <w:r w:rsidR="00E11A30">
        <w:t xml:space="preserve"> they </w:t>
      </w:r>
      <w:r w:rsidR="00A715D3">
        <w:t xml:space="preserve">have registered their herd/flock with a breed society.  Strictly speaking however, seedstock breeders do not have to be </w:t>
      </w:r>
      <w:r w:rsidR="00FD060B">
        <w:t>registered studs</w:t>
      </w:r>
      <w:r w:rsidR="00227F46">
        <w:t xml:space="preserve"> and many are not</w:t>
      </w:r>
      <w:r w:rsidR="00FD060B">
        <w:t xml:space="preserve">.  </w:t>
      </w:r>
    </w:p>
    <w:p w14:paraId="276CA4CC" w14:textId="77777777" w:rsidR="00FD060B" w:rsidRDefault="00FD060B"/>
    <w:p w14:paraId="0DFAF71C" w14:textId="3A99D435" w:rsidR="00F27AAC" w:rsidRDefault="00744761">
      <w:r>
        <w:t>T</w:t>
      </w:r>
      <w:r w:rsidR="00780B5D">
        <w:t>ypically</w:t>
      </w:r>
      <w:r>
        <w:t xml:space="preserve">, </w:t>
      </w:r>
      <w:r w:rsidR="00370C22">
        <w:t xml:space="preserve">these </w:t>
      </w:r>
      <w:r w:rsidR="006D3017">
        <w:t>breeders supply</w:t>
      </w:r>
      <w:r w:rsidR="0059226C">
        <w:t xml:space="preserve"> entire males </w:t>
      </w:r>
      <w:r w:rsidR="00632EA5">
        <w:t>(and surplus females) to</w:t>
      </w:r>
      <w:r w:rsidR="003C2E5B">
        <w:t xml:space="preserve"> commercial </w:t>
      </w:r>
      <w:r w:rsidR="00632EA5">
        <w:t xml:space="preserve">producers for use as breeding stock. </w:t>
      </w:r>
      <w:r w:rsidR="00024301">
        <w:t xml:space="preserve">They may also sell semen and/or embryos to commercial producers </w:t>
      </w:r>
      <w:r w:rsidR="0007086B">
        <w:t>but in general, th</w:t>
      </w:r>
      <w:r w:rsidR="00CE5465">
        <w:t xml:space="preserve">is </w:t>
      </w:r>
      <w:r w:rsidR="00A6798C">
        <w:t>practice</w:t>
      </w:r>
      <w:r w:rsidR="00CE5465">
        <w:t xml:space="preserve"> is much more prevalent in</w:t>
      </w:r>
      <w:r w:rsidR="0007086B">
        <w:t xml:space="preserve"> the dairy industry. </w:t>
      </w:r>
    </w:p>
    <w:p w14:paraId="6FE6AE35" w14:textId="77777777" w:rsidR="00FD060B" w:rsidRDefault="00FD060B"/>
    <w:p w14:paraId="7FB61A91" w14:textId="2C2AC436" w:rsidR="00EC780E" w:rsidRDefault="00EC780E">
      <w:r>
        <w:t xml:space="preserve">According to the </w:t>
      </w:r>
      <w:bookmarkStart w:id="26" w:name="_Hlk83134315"/>
      <w:r>
        <w:t>Australian Registered Cattle Breeders Association</w:t>
      </w:r>
      <w:bookmarkEnd w:id="26"/>
      <w:r w:rsidR="00A6798C">
        <w:t xml:space="preserve"> (ARCBA)</w:t>
      </w:r>
      <w:r>
        <w:t xml:space="preserve">, there were approximately 145,000 </w:t>
      </w:r>
      <w:r w:rsidR="00BB754C">
        <w:t>cattle registered as seedstock</w:t>
      </w:r>
      <w:r>
        <w:t xml:space="preserve"> in </w:t>
      </w:r>
      <w:r w:rsidR="00DE1A1E" w:rsidRPr="004C7BF0">
        <w:t>2020</w:t>
      </w:r>
      <w:r>
        <w:t>,</w:t>
      </w:r>
      <w:r w:rsidR="002F5618">
        <w:t xml:space="preserve"> about half of which were British breeds, with almost 25% tropical breeds and the remainder </w:t>
      </w:r>
      <w:r w:rsidR="00DA59B7">
        <w:t>European and other breeds</w:t>
      </w:r>
      <w:r w:rsidR="00732B07">
        <w:rPr>
          <w:rStyle w:val="FootnoteReference"/>
        </w:rPr>
        <w:footnoteReference w:id="8"/>
      </w:r>
      <w:r w:rsidR="00DA59B7">
        <w:t xml:space="preserve">.  </w:t>
      </w:r>
      <w:r w:rsidR="00B95B4F">
        <w:t xml:space="preserve">These were </w:t>
      </w:r>
      <w:r w:rsidR="00D37941">
        <w:t>distributed among a</w:t>
      </w:r>
      <w:r w:rsidR="000A246A">
        <w:t xml:space="preserve">pproximately </w:t>
      </w:r>
      <w:r w:rsidR="00D37941">
        <w:t>7</w:t>
      </w:r>
      <w:r w:rsidR="00496DF2">
        <w:t>,</w:t>
      </w:r>
      <w:r w:rsidR="00D37941">
        <w:t>000 registered breeders.</w:t>
      </w:r>
    </w:p>
    <w:p w14:paraId="08261B80" w14:textId="77777777" w:rsidR="001E26BF" w:rsidRDefault="001E26BF" w:rsidP="00550B98"/>
    <w:p w14:paraId="38F9A37D" w14:textId="2C1FF7FA" w:rsidR="006F1D20" w:rsidRDefault="00370C22" w:rsidP="00155550">
      <w:r>
        <w:t>T</w:t>
      </w:r>
      <w:r w:rsidR="00550B98">
        <w:t xml:space="preserve">here are approximately 900 </w:t>
      </w:r>
      <w:r>
        <w:t xml:space="preserve">sheep seedstock breeders </w:t>
      </w:r>
      <w:r w:rsidR="00550B98">
        <w:t>registered</w:t>
      </w:r>
      <w:r>
        <w:t xml:space="preserve"> </w:t>
      </w:r>
      <w:r w:rsidR="00550B98">
        <w:t xml:space="preserve">with the </w:t>
      </w:r>
      <w:r w:rsidR="00D855AA">
        <w:t xml:space="preserve">Australian Association of Stud Merino Breeders and 570 with the Australian </w:t>
      </w:r>
      <w:r w:rsidR="0018603B">
        <w:t>Stud Breeders Association (which covers non-Merino breeds).</w:t>
      </w:r>
      <w:r w:rsidR="00092CF1">
        <w:t xml:space="preserve">  Although there are </w:t>
      </w:r>
      <w:r w:rsidR="00155550">
        <w:t>almost 30 recognised breeds of sheep in Australia</w:t>
      </w:r>
      <w:r w:rsidR="00092CF1">
        <w:t xml:space="preserve">, </w:t>
      </w:r>
      <w:r w:rsidR="006F1D20">
        <w:t>according to Sheep Genetics</w:t>
      </w:r>
      <w:r w:rsidR="005D5D9A">
        <w:t xml:space="preserve"> (</w:t>
      </w:r>
      <w:r w:rsidR="00124CAD" w:rsidRPr="00124CAD">
        <w:t>the national genetic information and evaluation service for the meat and wool sectors</w:t>
      </w:r>
      <w:r w:rsidR="005D5D9A">
        <w:t>)</w:t>
      </w:r>
      <w:r w:rsidR="00124CAD" w:rsidRPr="00124CAD">
        <w:t>,</w:t>
      </w:r>
      <w:r w:rsidR="00734B42">
        <w:t xml:space="preserve"> </w:t>
      </w:r>
      <w:r w:rsidR="006F1D20">
        <w:t xml:space="preserve">six breeds of sheep account for 90% of the </w:t>
      </w:r>
      <w:r w:rsidR="007D692B">
        <w:t xml:space="preserve">commercially active </w:t>
      </w:r>
      <w:r w:rsidR="006F1D20">
        <w:t>seedstock sector</w:t>
      </w:r>
      <w:r w:rsidR="007D692B">
        <w:t xml:space="preserve"> in Australia</w:t>
      </w:r>
      <w:r w:rsidR="006F1D20">
        <w:t>: Merino, Poll Merino,</w:t>
      </w:r>
      <w:r w:rsidR="006F1D20" w:rsidRPr="00155550">
        <w:t xml:space="preserve"> </w:t>
      </w:r>
      <w:r w:rsidR="006F1D20">
        <w:t>Poll</w:t>
      </w:r>
      <w:r w:rsidR="006F1D20" w:rsidRPr="00155550">
        <w:t xml:space="preserve"> </w:t>
      </w:r>
      <w:r w:rsidR="006F1D20">
        <w:t>Dorset, White Suffolk,</w:t>
      </w:r>
      <w:r w:rsidR="006F1D20" w:rsidRPr="00155550">
        <w:t xml:space="preserve"> </w:t>
      </w:r>
      <w:proofErr w:type="gramStart"/>
      <w:r w:rsidR="006F1D20">
        <w:t>Suffolk</w:t>
      </w:r>
      <w:proofErr w:type="gramEnd"/>
      <w:r w:rsidR="006F1D20">
        <w:t xml:space="preserve"> and</w:t>
      </w:r>
      <w:r w:rsidR="006F1D20" w:rsidRPr="00155550">
        <w:t xml:space="preserve"> </w:t>
      </w:r>
      <w:r w:rsidR="006F1D20">
        <w:t>Border</w:t>
      </w:r>
      <w:r w:rsidR="006F1D20" w:rsidRPr="00155550">
        <w:t xml:space="preserve"> </w:t>
      </w:r>
      <w:r w:rsidR="006F1D20">
        <w:t>Leicester</w:t>
      </w:r>
      <w:r w:rsidR="00DE1A1E">
        <w:rPr>
          <w:rStyle w:val="FootnoteReference"/>
        </w:rPr>
        <w:footnoteReference w:id="9"/>
      </w:r>
      <w:r w:rsidR="006F1D20">
        <w:t>.</w:t>
      </w:r>
    </w:p>
    <w:p w14:paraId="5C01CFC5" w14:textId="77777777" w:rsidR="001E26BF" w:rsidRDefault="006F1D20">
      <w:r>
        <w:t xml:space="preserve"> </w:t>
      </w:r>
    </w:p>
    <w:p w14:paraId="54CA29CB" w14:textId="23A15C4A" w:rsidR="007F219C" w:rsidRDefault="00F27DEB" w:rsidP="00431E08">
      <w:r>
        <w:lastRenderedPageBreak/>
        <w:t>Among the large number of seedstock breeders registered for beef cattle and</w:t>
      </w:r>
      <w:r w:rsidR="00124CAD">
        <w:t>/or</w:t>
      </w:r>
      <w:r>
        <w:t xml:space="preserve"> sheep, a relatively small number </w:t>
      </w:r>
      <w:r w:rsidR="00BD4F98">
        <w:t>contribute</w:t>
      </w:r>
      <w:r w:rsidR="00692EC3">
        <w:t xml:space="preserve"> </w:t>
      </w:r>
      <w:r w:rsidR="00564498">
        <w:t xml:space="preserve">to </w:t>
      </w:r>
      <w:proofErr w:type="gramStart"/>
      <w:r w:rsidR="00692EC3">
        <w:t xml:space="preserve">the majority </w:t>
      </w:r>
      <w:r w:rsidR="00564498">
        <w:t>of</w:t>
      </w:r>
      <w:proofErr w:type="gramEnd"/>
      <w:r w:rsidR="00564498">
        <w:t xml:space="preserve"> genetic improvement</w:t>
      </w:r>
      <w:r w:rsidR="00692EC3">
        <w:t xml:space="preserve">; although </w:t>
      </w:r>
      <w:r w:rsidR="00132EBF">
        <w:t xml:space="preserve">the exact balance </w:t>
      </w:r>
      <w:r w:rsidR="00692EC3">
        <w:t>is difficult to quantify.</w:t>
      </w:r>
      <w:r w:rsidR="002E3C70">
        <w:t xml:space="preserve"> </w:t>
      </w:r>
      <w:r w:rsidR="00423BE5">
        <w:t xml:space="preserve"> </w:t>
      </w:r>
      <w:r w:rsidR="00CA016A">
        <w:t xml:space="preserve">Figures from </w:t>
      </w:r>
      <w:r w:rsidR="002E3C70">
        <w:t>BREEDPLAN</w:t>
      </w:r>
      <w:r w:rsidR="00564498">
        <w:rPr>
          <w:rStyle w:val="FootnoteReference"/>
        </w:rPr>
        <w:footnoteReference w:id="10"/>
      </w:r>
      <w:r w:rsidR="00CA016A">
        <w:t xml:space="preserve"> (the major genetic evaluation service for Australian beef breeders) indicate that </w:t>
      </w:r>
      <w:r w:rsidR="00F50DEF">
        <w:t>among its clients, about 67% of the registered animals come from the largest 23% of the herds.</w:t>
      </w:r>
      <w:r w:rsidR="00124F03">
        <w:t xml:space="preserve"> </w:t>
      </w:r>
      <w:r w:rsidR="00E93E8A">
        <w:t xml:space="preserve"> </w:t>
      </w:r>
      <w:r w:rsidR="00EF4C15">
        <w:t>I</w:t>
      </w:r>
      <w:r w:rsidR="00124F03" w:rsidRPr="00124F03">
        <w:t xml:space="preserve">n sheep, 57% of the animals in the Sheep Genetics database come from about 27% of the participating flocks.  </w:t>
      </w:r>
    </w:p>
    <w:p w14:paraId="33B38FCB" w14:textId="77777777" w:rsidR="006B1FA1" w:rsidRDefault="006B1FA1"/>
    <w:p w14:paraId="0AA030CC" w14:textId="57B3599A" w:rsidR="00A65FB2" w:rsidRDefault="00A65FB2" w:rsidP="00577199">
      <w:pPr>
        <w:pStyle w:val="Heading2"/>
      </w:pPr>
      <w:bookmarkStart w:id="27" w:name="_Toc95983376"/>
      <w:r w:rsidRPr="002F7A0A">
        <w:t xml:space="preserve">Commercial </w:t>
      </w:r>
      <w:r w:rsidR="004D3EB0">
        <w:t>producers</w:t>
      </w:r>
      <w:bookmarkStart w:id="28" w:name="Commercial_producers"/>
      <w:bookmarkEnd w:id="27"/>
      <w:bookmarkEnd w:id="28"/>
    </w:p>
    <w:p w14:paraId="3E7CB19D" w14:textId="77777777" w:rsidR="00A65FB2" w:rsidRPr="002F7A0A" w:rsidRDefault="00A65FB2" w:rsidP="00A65FB2">
      <w:pPr>
        <w:rPr>
          <w:b/>
          <w:bCs/>
        </w:rPr>
      </w:pPr>
    </w:p>
    <w:p w14:paraId="2A8C63AE" w14:textId="308A1D7F" w:rsidR="0007097D" w:rsidRDefault="00A65FB2" w:rsidP="0007097D">
      <w:r w:rsidRPr="00A70149">
        <w:t>This is the sector in which the great bulk of calves and lambs are born and weaned</w:t>
      </w:r>
      <w:r w:rsidR="003C18CD" w:rsidRPr="00A70149">
        <w:t xml:space="preserve">. </w:t>
      </w:r>
      <w:r w:rsidR="0007097D">
        <w:t xml:space="preserve"> Although commercial producers typically maintain their own self-replacing herds or flocks, they generally source their </w:t>
      </w:r>
      <w:r w:rsidR="0007097D" w:rsidRPr="00B61A1F">
        <w:t>improved breeding stock from the seedstock sector</w:t>
      </w:r>
      <w:r w:rsidR="0007097D">
        <w:t xml:space="preserve">.  This is mostly in the form of </w:t>
      </w:r>
      <w:r w:rsidR="0007097D" w:rsidRPr="00B61A1F">
        <w:t>breeding males</w:t>
      </w:r>
      <w:r w:rsidR="0007097D">
        <w:t xml:space="preserve"> and to a lesser extent breeding females but </w:t>
      </w:r>
      <w:r w:rsidR="0007097D" w:rsidRPr="00B61A1F">
        <w:t xml:space="preserve">can also be </w:t>
      </w:r>
      <w:r w:rsidR="0007097D">
        <w:t xml:space="preserve">via </w:t>
      </w:r>
      <w:r w:rsidR="0007097D" w:rsidRPr="00B61A1F">
        <w:t xml:space="preserve">semen and/or embryos. </w:t>
      </w:r>
    </w:p>
    <w:p w14:paraId="1D6E6E4C" w14:textId="77777777" w:rsidR="0007097D" w:rsidRDefault="0007097D" w:rsidP="00A65FB2"/>
    <w:p w14:paraId="4AD9E049" w14:textId="283BE935" w:rsidR="00F71B08" w:rsidRDefault="00CB1DFE" w:rsidP="00A65FB2">
      <w:r>
        <w:t xml:space="preserve">Tables released by </w:t>
      </w:r>
      <w:r w:rsidR="003C18CD">
        <w:t xml:space="preserve">the </w:t>
      </w:r>
      <w:r w:rsidR="00A66563" w:rsidRPr="003B7E74">
        <w:t>Australian Bureau of Statistics</w:t>
      </w:r>
      <w:r w:rsidR="003C18CD">
        <w:t xml:space="preserve"> (</w:t>
      </w:r>
      <w:r w:rsidR="00A65FB2" w:rsidRPr="00E055F1">
        <w:t>ABS</w:t>
      </w:r>
      <w:r w:rsidR="003C18CD" w:rsidRPr="008436DC">
        <w:t>)</w:t>
      </w:r>
      <w:r w:rsidR="008436DC" w:rsidRPr="008436DC">
        <w:t xml:space="preserve"> in May 2021 </w:t>
      </w:r>
      <w:r w:rsidR="008436DC">
        <w:t xml:space="preserve">show </w:t>
      </w:r>
      <w:r w:rsidR="00633246">
        <w:t>the total number of calves l</w:t>
      </w:r>
      <w:r w:rsidR="00982EFF">
        <w:t>ess than one year old to be about 5m</w:t>
      </w:r>
      <w:r w:rsidR="00182059">
        <w:t>,</w:t>
      </w:r>
      <w:r w:rsidR="00982EFF">
        <w:t xml:space="preserve"> and the total number of marked lambs younger than one year to be a </w:t>
      </w:r>
      <w:r w:rsidR="00982EFF" w:rsidRPr="005E235E">
        <w:t>little over 20m</w:t>
      </w:r>
      <w:r w:rsidR="009575E5" w:rsidRPr="005E235E">
        <w:rPr>
          <w:rStyle w:val="FootnoteReference"/>
        </w:rPr>
        <w:footnoteReference w:id="11"/>
      </w:r>
      <w:r w:rsidR="00982EFF" w:rsidRPr="005E235E">
        <w:t xml:space="preserve">.  </w:t>
      </w:r>
      <w:r w:rsidR="00A70149" w:rsidRPr="005E235E">
        <w:t xml:space="preserve">These are likely to under-estimate the </w:t>
      </w:r>
      <w:r w:rsidR="00112097" w:rsidRPr="005E235E">
        <w:t xml:space="preserve">true </w:t>
      </w:r>
      <w:r w:rsidR="00A70149" w:rsidRPr="005E235E">
        <w:t xml:space="preserve">numbers weaned, which </w:t>
      </w:r>
      <w:r w:rsidR="005E235E">
        <w:t xml:space="preserve">can be estimated from </w:t>
      </w:r>
      <w:r w:rsidR="00A91374" w:rsidRPr="005E235E">
        <w:t>survey data published by the Department of Agriculture, Water and Environment</w:t>
      </w:r>
      <w:r w:rsidR="00A91374">
        <w:rPr>
          <w:rStyle w:val="FootnoteReference"/>
        </w:rPr>
        <w:footnoteReference w:id="12"/>
      </w:r>
      <w:r w:rsidR="00F71B08">
        <w:t>:</w:t>
      </w:r>
    </w:p>
    <w:p w14:paraId="35A51578" w14:textId="77777777" w:rsidR="0007097D" w:rsidRDefault="0007097D" w:rsidP="00A65FB2"/>
    <w:p w14:paraId="0BCB7924" w14:textId="40CD085A" w:rsidR="00241141" w:rsidRDefault="5E0E5D06" w:rsidP="00A65FB2">
      <w:r>
        <w:t xml:space="preserve">a) In the case of cattle, the branding rates and numbers of cows mated indicate that the average number of calves branded over the past 20 years is approximately 6.6m </w:t>
      </w:r>
      <w:r w:rsidR="002C593D">
        <w:t>p.a.</w:t>
      </w:r>
      <w:r>
        <w:t xml:space="preserve"> </w:t>
      </w:r>
    </w:p>
    <w:p w14:paraId="6588A733" w14:textId="77777777" w:rsidR="0007097D" w:rsidRDefault="0007097D" w:rsidP="00A65FB2"/>
    <w:p w14:paraId="7B21F853" w14:textId="13658A70" w:rsidR="0007097D" w:rsidRDefault="5E0E5D06" w:rsidP="00A65FB2">
      <w:r>
        <w:t xml:space="preserve">b) For sheep, the average number of lambs marked per farm and the total number of farms indicate that the average number of lambs marked over the past 20 years is approximately 33m </w:t>
      </w:r>
      <w:r w:rsidR="002C593D">
        <w:t>p.a.</w:t>
      </w:r>
      <w:r>
        <w:t xml:space="preserve">  </w:t>
      </w:r>
    </w:p>
    <w:p w14:paraId="00ED3D24" w14:textId="77777777" w:rsidR="0007097D" w:rsidRDefault="0007097D" w:rsidP="00A65FB2"/>
    <w:p w14:paraId="07655B30" w14:textId="7D7BDB0A" w:rsidR="00042134" w:rsidRDefault="0007097D" w:rsidP="00A65FB2">
      <w:r>
        <w:t xml:space="preserve">Recently, Fordyce </w:t>
      </w:r>
      <w:r w:rsidRPr="5E0E5D06">
        <w:rPr>
          <w:i/>
          <w:iCs/>
        </w:rPr>
        <w:t>et al</w:t>
      </w:r>
      <w:r>
        <w:t>. (2021)</w:t>
      </w:r>
      <w:r w:rsidR="00067204">
        <w:rPr>
          <w:rStyle w:val="FootnoteReference"/>
        </w:rPr>
        <w:footnoteReference w:id="13"/>
      </w:r>
      <w:r>
        <w:t xml:space="preserve"> </w:t>
      </w:r>
      <w:r w:rsidR="00C730D5">
        <w:t xml:space="preserve">argued that </w:t>
      </w:r>
      <w:r w:rsidR="00B7576F">
        <w:t>survey data published by ABS and ABARES</w:t>
      </w:r>
      <w:r w:rsidR="00C730D5">
        <w:t xml:space="preserve"> consistently under-estimate </w:t>
      </w:r>
      <w:r w:rsidR="00A5552A">
        <w:t xml:space="preserve">the true number of cattle in Australia and calculated that </w:t>
      </w:r>
      <w:r w:rsidR="00E96812">
        <w:t xml:space="preserve">since 1985, the average number of calves weaned annually has been approximately 9.8m.  </w:t>
      </w:r>
      <w:r w:rsidR="007819BC" w:rsidRPr="00DA6C91">
        <w:t>For the modelling described later in this report</w:t>
      </w:r>
      <w:r w:rsidR="001C01AC" w:rsidRPr="00DA6C91">
        <w:t xml:space="preserve"> (</w:t>
      </w:r>
      <w:r w:rsidR="00782F87">
        <w:t xml:space="preserve">Section </w:t>
      </w:r>
      <w:r w:rsidR="002C67CA">
        <w:t>6</w:t>
      </w:r>
      <w:r w:rsidR="001414D0" w:rsidRPr="00DA6C91">
        <w:t>)</w:t>
      </w:r>
      <w:r w:rsidR="007819BC" w:rsidRPr="00DA6C91">
        <w:t xml:space="preserve">, we have assumed the number of calves weaned to be 7.5m </w:t>
      </w:r>
      <w:r w:rsidR="002C593D">
        <w:t>p.a.</w:t>
      </w:r>
      <w:r w:rsidR="007819BC" w:rsidRPr="00DA6C91">
        <w:t xml:space="preserve">; and the number of lambs weaned to be </w:t>
      </w:r>
      <w:r w:rsidR="001C01AC" w:rsidRPr="00DA6C91">
        <w:t xml:space="preserve">35m </w:t>
      </w:r>
      <w:r w:rsidR="002C593D">
        <w:t>p.a.</w:t>
      </w:r>
      <w:r w:rsidR="001C01AC">
        <w:t xml:space="preserve"> </w:t>
      </w:r>
    </w:p>
    <w:p w14:paraId="3BAE99BF" w14:textId="31471534" w:rsidR="0007315E" w:rsidRDefault="0007315E" w:rsidP="00A65FB2"/>
    <w:p w14:paraId="0F0546C8" w14:textId="5BE0B083" w:rsidR="0007315E" w:rsidRDefault="0007315E" w:rsidP="00A65FB2">
      <w:r>
        <w:t xml:space="preserve">The number of sires used </w:t>
      </w:r>
      <w:r w:rsidR="0065742A">
        <w:t xml:space="preserve">across Australia </w:t>
      </w:r>
      <w:r>
        <w:t xml:space="preserve">is of interest </w:t>
      </w:r>
      <w:r w:rsidR="00252711">
        <w:t>in</w:t>
      </w:r>
      <w:r>
        <w:t xml:space="preserve"> this study</w:t>
      </w:r>
      <w:r w:rsidR="0065742A">
        <w:t>,</w:t>
      </w:r>
      <w:r w:rsidR="00252711">
        <w:t xml:space="preserve"> because genotyping sires may be a cost-effective alternative </w:t>
      </w:r>
      <w:r w:rsidR="0065742A">
        <w:t>to genotyping all livestock for the purpose of assisting traceability.</w:t>
      </w:r>
      <w:r w:rsidR="00287FC7">
        <w:t xml:space="preserve">  Sire numbers are not readily available, but </w:t>
      </w:r>
      <w:proofErr w:type="spellStart"/>
      <w:r w:rsidR="003F2EF4" w:rsidRPr="004C7BF0">
        <w:t>Fennessy</w:t>
      </w:r>
      <w:proofErr w:type="spellEnd"/>
      <w:r w:rsidR="003F2EF4" w:rsidRPr="004C7BF0">
        <w:t xml:space="preserve"> </w:t>
      </w:r>
      <w:r w:rsidR="003F2EF4" w:rsidRPr="004C7BF0">
        <w:rPr>
          <w:i/>
          <w:iCs/>
        </w:rPr>
        <w:t>et al</w:t>
      </w:r>
      <w:r w:rsidR="003F2EF4" w:rsidRPr="004C7BF0">
        <w:t>.</w:t>
      </w:r>
      <w:r w:rsidR="00287FC7">
        <w:t xml:space="preserve"> (2014)</w:t>
      </w:r>
      <w:bookmarkStart w:id="29" w:name="_Ref92052042"/>
      <w:r w:rsidR="003F2EF4">
        <w:rPr>
          <w:rStyle w:val="FootnoteReference"/>
        </w:rPr>
        <w:footnoteReference w:id="14"/>
      </w:r>
      <w:bookmarkEnd w:id="29"/>
      <w:r w:rsidR="00287FC7">
        <w:t xml:space="preserve"> </w:t>
      </w:r>
      <w:r w:rsidR="00517E22">
        <w:t xml:space="preserve">estimated, using 2012 figures, </w:t>
      </w:r>
      <w:r w:rsidR="00517E22" w:rsidRPr="000745C1">
        <w:t>that a</w:t>
      </w:r>
      <w:r w:rsidR="00D65558" w:rsidRPr="000745C1">
        <w:t xml:space="preserve">n annual intake </w:t>
      </w:r>
      <w:r w:rsidR="00517E22" w:rsidRPr="000745C1">
        <w:t xml:space="preserve">of 86,000 beef sires would be needed to mate </w:t>
      </w:r>
      <w:r w:rsidR="00687476" w:rsidRPr="000745C1">
        <w:t xml:space="preserve">the </w:t>
      </w:r>
      <w:r w:rsidR="00517E22" w:rsidRPr="000745C1">
        <w:t xml:space="preserve">Australian </w:t>
      </w:r>
      <w:r w:rsidR="00564498" w:rsidRPr="000745C1">
        <w:t xml:space="preserve">beef </w:t>
      </w:r>
      <w:r w:rsidR="00AB0326" w:rsidRPr="000745C1">
        <w:t xml:space="preserve">cow </w:t>
      </w:r>
      <w:r w:rsidR="00517E22" w:rsidRPr="000745C1">
        <w:t>herd</w:t>
      </w:r>
      <w:r w:rsidR="00AB0326" w:rsidRPr="000745C1">
        <w:t xml:space="preserve">; and </w:t>
      </w:r>
      <w:r w:rsidR="00D65558" w:rsidRPr="000745C1">
        <w:t xml:space="preserve">an intake of </w:t>
      </w:r>
      <w:r w:rsidR="00AB0326" w:rsidRPr="000745C1">
        <w:t>254,100 rams would be needed for the national sheep flock.</w:t>
      </w:r>
      <w:r w:rsidR="0065742A">
        <w:t xml:space="preserve"> </w:t>
      </w:r>
      <w:r w:rsidR="00687476">
        <w:t xml:space="preserve"> Our computations </w:t>
      </w:r>
      <w:r w:rsidR="000244BC">
        <w:t xml:space="preserve">using the most recent farm survey data from ABARES </w:t>
      </w:r>
      <w:r w:rsidR="00687476">
        <w:t xml:space="preserve">suggest that these </w:t>
      </w:r>
      <w:r w:rsidR="00DA2A47">
        <w:t xml:space="preserve">are probably </w:t>
      </w:r>
      <w:r w:rsidR="00821C64">
        <w:t xml:space="preserve">the right order of magnitude but are more likely to be </w:t>
      </w:r>
      <w:r w:rsidR="00687476">
        <w:t>under-estimates</w:t>
      </w:r>
      <w:r w:rsidR="00821C64">
        <w:t xml:space="preserve"> than over-estimates</w:t>
      </w:r>
      <w:r w:rsidR="00DA2A47">
        <w:t>.</w:t>
      </w:r>
      <w:r w:rsidR="0065742A">
        <w:t xml:space="preserve"> </w:t>
      </w:r>
    </w:p>
    <w:p w14:paraId="0D1042C3" w14:textId="77777777" w:rsidR="0007315E" w:rsidRDefault="0007315E" w:rsidP="00A65FB2"/>
    <w:p w14:paraId="50B6B405" w14:textId="6AC30B8E" w:rsidR="00A65FB2" w:rsidRDefault="00A65FB2" w:rsidP="00A65FB2">
      <w:r>
        <w:t xml:space="preserve">Commercial </w:t>
      </w:r>
      <w:r w:rsidR="004D3EB0">
        <w:t>producers</w:t>
      </w:r>
      <w:r>
        <w:t xml:space="preserve"> may elect to finish their young livestock themselves ready for sale to </w:t>
      </w:r>
      <w:r w:rsidR="00564498">
        <w:t>processors or</w:t>
      </w:r>
      <w:r>
        <w:t xml:space="preserve"> focus on breeding and then sell progeny as store stock to specialist growers or </w:t>
      </w:r>
      <w:proofErr w:type="spellStart"/>
      <w:r>
        <w:t>feedlotters</w:t>
      </w:r>
      <w:proofErr w:type="spellEnd"/>
      <w:r>
        <w:t>.  Breeding</w:t>
      </w:r>
      <w:r w:rsidR="000F7E9C">
        <w:rPr>
          <w:rStyle w:val="CommentReference"/>
        </w:rPr>
        <w:t xml:space="preserve"> </w:t>
      </w:r>
      <w:r>
        <w:t xml:space="preserve">animals </w:t>
      </w:r>
      <w:r w:rsidR="006D0C89">
        <w:t xml:space="preserve">in commercial herds or flocks </w:t>
      </w:r>
      <w:r>
        <w:t xml:space="preserve">that are surplus to requirements (usually because of their age or their unsuitability for breeding) are generally sold to processors, </w:t>
      </w:r>
      <w:r>
        <w:lastRenderedPageBreak/>
        <w:t>either directly or through sale yards; but they may also be on-sold for f</w:t>
      </w:r>
      <w:r w:rsidR="00564498">
        <w:t>inishing at pasture or through feed lots</w:t>
      </w:r>
      <w:r>
        <w:t xml:space="preserve">. </w:t>
      </w:r>
    </w:p>
    <w:p w14:paraId="0C24F172" w14:textId="77777777" w:rsidR="00A65FB2" w:rsidRDefault="00A65FB2" w:rsidP="00A65FB2"/>
    <w:p w14:paraId="2042079A" w14:textId="456D27AB" w:rsidR="00145341" w:rsidRDefault="00A65FB2" w:rsidP="00A65FB2">
      <w:r>
        <w:t xml:space="preserve">According to </w:t>
      </w:r>
      <w:r w:rsidR="00CD2C4A" w:rsidRPr="00A6273D">
        <w:t>ABS statistics for 2019-20</w:t>
      </w:r>
      <w:r>
        <w:t xml:space="preserve">, </w:t>
      </w:r>
      <w:r w:rsidR="005A7B68">
        <w:t xml:space="preserve">over </w:t>
      </w:r>
      <w:r w:rsidR="008E380C">
        <w:t>half of Australia’s</w:t>
      </w:r>
      <w:r w:rsidR="00564498">
        <w:t xml:space="preserve"> beef </w:t>
      </w:r>
      <w:r w:rsidR="007E4C40">
        <w:t>cattle</w:t>
      </w:r>
      <w:r w:rsidR="008E380C">
        <w:t xml:space="preserve"> </w:t>
      </w:r>
      <w:r w:rsidR="007E4C40">
        <w:t>are</w:t>
      </w:r>
      <w:r w:rsidR="008E380C">
        <w:t xml:space="preserve"> in </w:t>
      </w:r>
      <w:r w:rsidR="00A14C60">
        <w:t xml:space="preserve">Queensland </w:t>
      </w:r>
      <w:r w:rsidR="005A7B68">
        <w:t>and the Northern Territory (</w:t>
      </w:r>
      <w:r w:rsidR="00754F26">
        <w:fldChar w:fldCharType="begin"/>
      </w:r>
      <w:r w:rsidR="00754F26">
        <w:instrText xml:space="preserve"> REF _Ref87876507 \h </w:instrText>
      </w:r>
      <w:r w:rsidR="00754F26">
        <w:fldChar w:fldCharType="separate"/>
      </w:r>
      <w:r w:rsidR="008D0D42">
        <w:t xml:space="preserve">Figure </w:t>
      </w:r>
      <w:r w:rsidR="008D0D42">
        <w:rPr>
          <w:noProof/>
        </w:rPr>
        <w:t>2</w:t>
      </w:r>
      <w:r w:rsidR="00754F26">
        <w:fldChar w:fldCharType="end"/>
      </w:r>
      <w:r w:rsidR="005A7B68">
        <w:t>)</w:t>
      </w:r>
      <w:r w:rsidR="000E5E06">
        <w:t xml:space="preserve">, implying that </w:t>
      </w:r>
      <w:r>
        <w:t xml:space="preserve">at least half of Australia’s beef cattle are born under relatively extensive conditions.  This was illustrated in the report by </w:t>
      </w:r>
      <w:r w:rsidR="006835FF" w:rsidRPr="000B5241">
        <w:t>DAFF (2006)</w:t>
      </w:r>
      <w:r w:rsidR="006835FF">
        <w:rPr>
          <w:rStyle w:val="FootnoteReference"/>
        </w:rPr>
        <w:footnoteReference w:id="15"/>
      </w:r>
      <w:r>
        <w:t>, where breeding cow numbers in the northern herds averaged 3,000 head, with some holdings up to 25,000</w:t>
      </w:r>
      <w:r w:rsidR="00564498">
        <w:t xml:space="preserve"> </w:t>
      </w:r>
      <w:r>
        <w:t xml:space="preserve">head, compared with average breeder numbers of 150-400 cows in more temperate regions. </w:t>
      </w:r>
    </w:p>
    <w:p w14:paraId="16FAD879" w14:textId="2497A5C0" w:rsidR="00672013" w:rsidRDefault="00672013" w:rsidP="00672013">
      <w:pPr>
        <w:jc w:val="center"/>
      </w:pPr>
    </w:p>
    <w:p w14:paraId="7F08FF36" w14:textId="6A2FFA9D" w:rsidR="00672013" w:rsidRDefault="0042627B" w:rsidP="00672013">
      <w:pPr>
        <w:jc w:val="center"/>
      </w:pPr>
      <w:r>
        <w:rPr>
          <w:noProof/>
        </w:rPr>
        <w:drawing>
          <wp:inline distT="0" distB="0" distL="0" distR="0" wp14:anchorId="1F7B912B" wp14:editId="152C93D4">
            <wp:extent cx="4584700" cy="27559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325B3D" w14:textId="3E9062D8" w:rsidR="00C13DCC" w:rsidRDefault="00670B60" w:rsidP="00475E28">
      <w:pPr>
        <w:pStyle w:val="Caption"/>
      </w:pPr>
      <w:bookmarkStart w:id="30" w:name="_Ref87876507"/>
      <w:bookmarkStart w:id="31" w:name="_Toc95983448"/>
      <w:r>
        <w:t xml:space="preserve">Figure </w:t>
      </w:r>
      <w:r>
        <w:fldChar w:fldCharType="begin"/>
      </w:r>
      <w:r>
        <w:instrText>SEQ Figure \* ARABIC</w:instrText>
      </w:r>
      <w:r>
        <w:fldChar w:fldCharType="separate"/>
      </w:r>
      <w:r w:rsidR="008D0D42">
        <w:rPr>
          <w:noProof/>
        </w:rPr>
        <w:t>2</w:t>
      </w:r>
      <w:r>
        <w:fldChar w:fldCharType="end"/>
      </w:r>
      <w:bookmarkEnd w:id="30"/>
      <w:r w:rsidR="00CD2C4A">
        <w:t xml:space="preserve">.  Distribution of </w:t>
      </w:r>
      <w:r w:rsidR="00564498">
        <w:t>beef</w:t>
      </w:r>
      <w:r w:rsidR="00CD2C4A">
        <w:t xml:space="preserve"> cattle and sheep by State</w:t>
      </w:r>
      <w:r w:rsidR="002C1E89">
        <w:rPr>
          <w:rStyle w:val="FootnoteReference"/>
        </w:rPr>
        <w:footnoteReference w:id="16"/>
      </w:r>
      <w:bookmarkEnd w:id="31"/>
      <w:r w:rsidR="00CD2C4A">
        <w:t xml:space="preserve"> </w:t>
      </w:r>
    </w:p>
    <w:p w14:paraId="50878076" w14:textId="77777777" w:rsidR="005A7B68" w:rsidRDefault="005A7B68"/>
    <w:p w14:paraId="79581DC2" w14:textId="658F7BF1" w:rsidR="001306E9" w:rsidRDefault="00771B4C" w:rsidP="001306E9">
      <w:r>
        <w:t xml:space="preserve">In contrast with cattle, </w:t>
      </w:r>
      <w:proofErr w:type="gramStart"/>
      <w:r>
        <w:t>t</w:t>
      </w:r>
      <w:r w:rsidRPr="004D5E94">
        <w:t>he majority of</w:t>
      </w:r>
      <w:proofErr w:type="gramEnd"/>
      <w:r w:rsidRPr="004D5E94">
        <w:t xml:space="preserve"> Australia’s sheep population </w:t>
      </w:r>
      <w:r>
        <w:t>is</w:t>
      </w:r>
      <w:r w:rsidRPr="004D5E94">
        <w:t xml:space="preserve"> located in New South Wales (3</w:t>
      </w:r>
      <w:r w:rsidR="00EE0315">
        <w:t>4</w:t>
      </w:r>
      <w:r w:rsidRPr="004D5E94">
        <w:t>%</w:t>
      </w:r>
      <w:r w:rsidR="00C27959">
        <w:t xml:space="preserve"> in 201</w:t>
      </w:r>
      <w:r w:rsidR="00634BA2">
        <w:t>9</w:t>
      </w:r>
      <w:r w:rsidR="00C27959">
        <w:t>-</w:t>
      </w:r>
      <w:r w:rsidR="00634BA2">
        <w:t>20</w:t>
      </w:r>
      <w:r w:rsidRPr="004D5E94">
        <w:t>)</w:t>
      </w:r>
      <w:r w:rsidR="00A34579">
        <w:t xml:space="preserve"> and</w:t>
      </w:r>
      <w:r w:rsidRPr="004D5E94">
        <w:t xml:space="preserve"> </w:t>
      </w:r>
      <w:r w:rsidR="00EE0315">
        <w:t>Western Australia</w:t>
      </w:r>
      <w:r w:rsidR="00C27959">
        <w:t xml:space="preserve"> (2</w:t>
      </w:r>
      <w:r w:rsidR="00EE0315">
        <w:t>2</w:t>
      </w:r>
      <w:r w:rsidR="00C27959">
        <w:t>%)</w:t>
      </w:r>
      <w:r w:rsidR="0033581D">
        <w:t xml:space="preserve">, </w:t>
      </w:r>
      <w:r w:rsidR="00240217">
        <w:t xml:space="preserve">with 21% in </w:t>
      </w:r>
      <w:r w:rsidR="00EE0315">
        <w:t>Victoria</w:t>
      </w:r>
      <w:r w:rsidRPr="004D5E94">
        <w:t xml:space="preserve"> and </w:t>
      </w:r>
      <w:r w:rsidR="00240217">
        <w:t xml:space="preserve">16% </w:t>
      </w:r>
      <w:r w:rsidRPr="004D5E94">
        <w:t>South Australia</w:t>
      </w:r>
      <w:r w:rsidR="00EE0315">
        <w:t xml:space="preserve"> (</w:t>
      </w:r>
      <w:r w:rsidR="00670B60">
        <w:fldChar w:fldCharType="begin"/>
      </w:r>
      <w:r w:rsidR="00670B60">
        <w:instrText xml:space="preserve"> REF _Ref87876507 \h </w:instrText>
      </w:r>
      <w:r w:rsidR="00670B60">
        <w:fldChar w:fldCharType="separate"/>
      </w:r>
      <w:r w:rsidR="008D0D42">
        <w:t xml:space="preserve">Figure </w:t>
      </w:r>
      <w:r w:rsidR="008D0D42">
        <w:rPr>
          <w:noProof/>
        </w:rPr>
        <w:t>2</w:t>
      </w:r>
      <w:r w:rsidR="00670B60">
        <w:fldChar w:fldCharType="end"/>
      </w:r>
      <w:r w:rsidR="00EE0315">
        <w:t>)</w:t>
      </w:r>
      <w:r w:rsidRPr="004D5E94">
        <w:t xml:space="preserve">. </w:t>
      </w:r>
      <w:r w:rsidR="008A409B">
        <w:t xml:space="preserve"> Survey information from ABARES indicates that in 2019-2020, the largest 10% of beef farms </w:t>
      </w:r>
      <w:r w:rsidR="001404D4">
        <w:t xml:space="preserve">produced </w:t>
      </w:r>
      <w:r w:rsidR="009A4AE8">
        <w:t>almost 61% of Australia’s beef.</w:t>
      </w:r>
      <w:r w:rsidR="00511474">
        <w:t xml:space="preserve">  </w:t>
      </w:r>
      <w:r w:rsidR="001306E9">
        <w:t xml:space="preserve">This contrasts with the distribution in sheep, </w:t>
      </w:r>
      <w:proofErr w:type="gramStart"/>
      <w:r w:rsidR="001306E9">
        <w:t>where</w:t>
      </w:r>
      <w:proofErr w:type="gramEnd"/>
      <w:r w:rsidR="001306E9">
        <w:t xml:space="preserve"> the </w:t>
      </w:r>
    </w:p>
    <w:p w14:paraId="419F7552" w14:textId="6A83A351" w:rsidR="001306E9" w:rsidRDefault="00472694" w:rsidP="00053139">
      <w:r>
        <w:t xml:space="preserve">the largest 10% of farms </w:t>
      </w:r>
      <w:r w:rsidR="00511474">
        <w:t>produced 34% of Australia’s output from sheep</w:t>
      </w:r>
      <w:r w:rsidR="00583656">
        <w:t xml:space="preserve"> (</w:t>
      </w:r>
      <w:r w:rsidR="00754F26">
        <w:fldChar w:fldCharType="begin"/>
      </w:r>
      <w:r w:rsidR="00754F26">
        <w:instrText xml:space="preserve"> REF _Ref87876438 \h </w:instrText>
      </w:r>
      <w:r w:rsidR="00754F26">
        <w:fldChar w:fldCharType="separate"/>
      </w:r>
      <w:r w:rsidR="008D0D42">
        <w:t xml:space="preserve">Figure </w:t>
      </w:r>
      <w:r w:rsidR="008D0D42">
        <w:rPr>
          <w:noProof/>
        </w:rPr>
        <w:t>3</w:t>
      </w:r>
      <w:r w:rsidR="00754F26">
        <w:fldChar w:fldCharType="end"/>
      </w:r>
      <w:r w:rsidR="00583656">
        <w:t>)</w:t>
      </w:r>
      <w:r w:rsidR="00511474">
        <w:t xml:space="preserve">. </w:t>
      </w:r>
    </w:p>
    <w:p w14:paraId="363546E1" w14:textId="4DC11DC9" w:rsidR="001306E9" w:rsidRDefault="001306E9" w:rsidP="00053139"/>
    <w:p w14:paraId="04A083BC" w14:textId="32550D52" w:rsidR="001306E9" w:rsidRDefault="00583656" w:rsidP="00D30408">
      <w:pPr>
        <w:keepNext/>
        <w:keepLines/>
        <w:jc w:val="center"/>
      </w:pPr>
      <w:r>
        <w:rPr>
          <w:noProof/>
        </w:rPr>
        <w:lastRenderedPageBreak/>
        <w:drawing>
          <wp:inline distT="0" distB="0" distL="0" distR="0" wp14:anchorId="1A7BEDA8" wp14:editId="79CEF3F2">
            <wp:extent cx="4705350" cy="307948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1307" cy="3089929"/>
                    </a:xfrm>
                    <a:prstGeom prst="rect">
                      <a:avLst/>
                    </a:prstGeom>
                    <a:noFill/>
                  </pic:spPr>
                </pic:pic>
              </a:graphicData>
            </a:graphic>
          </wp:inline>
        </w:drawing>
      </w:r>
    </w:p>
    <w:p w14:paraId="508C9E90" w14:textId="2F5891E5" w:rsidR="00C13DCC" w:rsidRDefault="006761B6" w:rsidP="00475E28">
      <w:pPr>
        <w:pStyle w:val="Caption"/>
      </w:pPr>
      <w:bookmarkStart w:id="32" w:name="_Ref87876438"/>
      <w:bookmarkStart w:id="33" w:name="_Toc95983449"/>
      <w:r>
        <w:t xml:space="preserve">Figure </w:t>
      </w:r>
      <w:r>
        <w:fldChar w:fldCharType="begin"/>
      </w:r>
      <w:r>
        <w:instrText>SEQ Figure \* ARABIC</w:instrText>
      </w:r>
      <w:r>
        <w:fldChar w:fldCharType="separate"/>
      </w:r>
      <w:r w:rsidR="008D0D42">
        <w:rPr>
          <w:noProof/>
        </w:rPr>
        <w:t>3</w:t>
      </w:r>
      <w:r>
        <w:fldChar w:fldCharType="end"/>
      </w:r>
      <w:bookmarkEnd w:id="32"/>
      <w:r w:rsidR="00583656">
        <w:t xml:space="preserve">. Contribution to </w:t>
      </w:r>
      <w:r w:rsidR="00E70545">
        <w:t xml:space="preserve">national </w:t>
      </w:r>
      <w:r w:rsidR="00583656">
        <w:t xml:space="preserve">industry output </w:t>
      </w:r>
      <w:r w:rsidR="0074544D">
        <w:t xml:space="preserve">in 2019-2020 </w:t>
      </w:r>
      <w:r w:rsidR="00E70545">
        <w:t>according to farm size</w:t>
      </w:r>
      <w:r w:rsidR="00E31379">
        <w:rPr>
          <w:rStyle w:val="FootnoteReference"/>
        </w:rPr>
        <w:footnoteReference w:id="17"/>
      </w:r>
      <w:r w:rsidR="00E70545">
        <w:t xml:space="preserve"> for sheep and cattle</w:t>
      </w:r>
      <w:r w:rsidR="002C1E89">
        <w:rPr>
          <w:rStyle w:val="FootnoteReference"/>
        </w:rPr>
        <w:footnoteReference w:id="18"/>
      </w:r>
      <w:bookmarkEnd w:id="33"/>
      <w:r w:rsidR="00E70545">
        <w:t xml:space="preserve"> </w:t>
      </w:r>
    </w:p>
    <w:p w14:paraId="35CC7ABA" w14:textId="77777777" w:rsidR="001306E9" w:rsidRDefault="001306E9" w:rsidP="00053139"/>
    <w:p w14:paraId="2DB63F57" w14:textId="680FB562" w:rsidR="00E558B6" w:rsidRDefault="00911AB6" w:rsidP="00053139">
      <w:r>
        <w:t xml:space="preserve">As of </w:t>
      </w:r>
      <w:r w:rsidR="00733C92">
        <w:t xml:space="preserve">June </w:t>
      </w:r>
      <w:r w:rsidR="00E558B6">
        <w:t>2019, breeding ewes (aged one year and over) accounted for 57% of the national flock, while lambs under one year made up 30%</w:t>
      </w:r>
      <w:r w:rsidR="008E3F7E" w:rsidRPr="004C7BF0">
        <w:rPr>
          <w:vertAlign w:val="superscript"/>
        </w:rPr>
        <w:fldChar w:fldCharType="begin"/>
      </w:r>
      <w:r w:rsidR="008E3F7E" w:rsidRPr="004C7BF0">
        <w:rPr>
          <w:vertAlign w:val="superscript"/>
        </w:rPr>
        <w:instrText xml:space="preserve"> NOTEREF _Ref88993008 \h </w:instrText>
      </w:r>
      <w:r w:rsidR="008E3F7E">
        <w:rPr>
          <w:vertAlign w:val="superscript"/>
        </w:rPr>
        <w:instrText xml:space="preserve"> \* MERGEFORMAT </w:instrText>
      </w:r>
      <w:r w:rsidR="008E3F7E" w:rsidRPr="004C7BF0">
        <w:rPr>
          <w:vertAlign w:val="superscript"/>
        </w:rPr>
      </w:r>
      <w:r w:rsidR="008E3F7E" w:rsidRPr="004C7BF0">
        <w:rPr>
          <w:vertAlign w:val="superscript"/>
        </w:rPr>
        <w:fldChar w:fldCharType="separate"/>
      </w:r>
      <w:r w:rsidR="008D0D42">
        <w:rPr>
          <w:vertAlign w:val="superscript"/>
        </w:rPr>
        <w:t>2</w:t>
      </w:r>
      <w:r w:rsidR="008E3F7E" w:rsidRPr="004C7BF0">
        <w:rPr>
          <w:vertAlign w:val="superscript"/>
        </w:rPr>
        <w:fldChar w:fldCharType="end"/>
      </w:r>
      <w:r w:rsidR="00053139">
        <w:t xml:space="preserve">.  In the same year, 52% of the beef herd were cows and heifers (aged one year and over) </w:t>
      </w:r>
      <w:r w:rsidR="00E20561">
        <w:t>and 22% were calves under one year.</w:t>
      </w:r>
    </w:p>
    <w:p w14:paraId="43A8B7FC" w14:textId="77777777" w:rsidR="00AC73A6" w:rsidRDefault="00AC73A6" w:rsidP="00053139"/>
    <w:p w14:paraId="30BAF3C0" w14:textId="77777777" w:rsidR="00B63776" w:rsidRPr="002F7A0A" w:rsidRDefault="007E0F3D" w:rsidP="00577199">
      <w:pPr>
        <w:pStyle w:val="Heading2"/>
      </w:pPr>
      <w:bookmarkStart w:id="34" w:name="_Toc95983377"/>
      <w:r>
        <w:t>Backgrounders and Finishers</w:t>
      </w:r>
      <w:bookmarkEnd w:id="34"/>
      <w:r>
        <w:t xml:space="preserve"> </w:t>
      </w:r>
    </w:p>
    <w:p w14:paraId="6D037D92" w14:textId="77777777" w:rsidR="00F70CD5" w:rsidRDefault="00F70CD5"/>
    <w:p w14:paraId="0F25EB63" w14:textId="083FAFD6" w:rsidR="008A064E" w:rsidRDefault="008A064E" w:rsidP="005C572D">
      <w:r>
        <w:t xml:space="preserve">These are producers who are generally located in more favourable </w:t>
      </w:r>
      <w:r w:rsidR="00FF1B2D">
        <w:t>environments and have the resources</w:t>
      </w:r>
      <w:r>
        <w:t xml:space="preserve"> </w:t>
      </w:r>
      <w:r w:rsidR="00FF1B2D">
        <w:t>to grow (and fatten) livestock to a</w:t>
      </w:r>
      <w:r w:rsidR="00B3224C">
        <w:t xml:space="preserve">n optimal weight </w:t>
      </w:r>
      <w:r w:rsidR="00F70CD5">
        <w:t>prior to</w:t>
      </w:r>
      <w:r w:rsidR="00FF1B2D">
        <w:t xml:space="preserve"> </w:t>
      </w:r>
      <w:r w:rsidR="008B5977">
        <w:t>finishing in a feedlot or</w:t>
      </w:r>
      <w:r w:rsidR="007A003A">
        <w:t xml:space="preserve"> </w:t>
      </w:r>
      <w:r w:rsidR="008B5977">
        <w:t xml:space="preserve">alternatively, for </w:t>
      </w:r>
      <w:r w:rsidR="00FF1B2D">
        <w:t>slaughter.</w:t>
      </w:r>
      <w:r w:rsidR="009977E1">
        <w:t xml:space="preserve"> </w:t>
      </w:r>
      <w:r w:rsidR="001254AA">
        <w:t xml:space="preserve"> </w:t>
      </w:r>
      <w:r w:rsidR="008E3F7E" w:rsidRPr="00D30408">
        <w:t>MLA</w:t>
      </w:r>
      <w:r w:rsidR="007A003A">
        <w:t xml:space="preserve"> describes the backgrounding process for beef as follows</w:t>
      </w:r>
      <w:r w:rsidR="008E3F7E">
        <w:rPr>
          <w:rStyle w:val="FootnoteReference"/>
        </w:rPr>
        <w:footnoteReference w:id="19"/>
      </w:r>
      <w:r w:rsidR="007E3E2A">
        <w:t>:</w:t>
      </w:r>
    </w:p>
    <w:p w14:paraId="24A73FA9" w14:textId="01852562" w:rsidR="007E3E2A" w:rsidRDefault="007E3E2A" w:rsidP="005C572D"/>
    <w:tbl>
      <w:tblPr>
        <w:tblStyle w:val="TableGrid"/>
        <w:tblW w:w="0" w:type="auto"/>
        <w:tblInd w:w="421" w:type="dxa"/>
        <w:tblLook w:val="04A0" w:firstRow="1" w:lastRow="0" w:firstColumn="1" w:lastColumn="0" w:noHBand="0" w:noVBand="1"/>
      </w:tblPr>
      <w:tblGrid>
        <w:gridCol w:w="8476"/>
      </w:tblGrid>
      <w:tr w:rsidR="00A068F4" w:rsidRPr="00A068F4" w14:paraId="4D938954" w14:textId="77777777" w:rsidTr="001B0DC7">
        <w:trPr>
          <w:trHeight w:val="3014"/>
        </w:trPr>
        <w:tc>
          <w:tcPr>
            <w:tcW w:w="8476" w:type="dxa"/>
            <w:shd w:val="clear" w:color="auto" w:fill="D6E1DB" w:themeFill="text2" w:themeFillTint="33"/>
          </w:tcPr>
          <w:p w14:paraId="3CB02F6E" w14:textId="77777777" w:rsidR="001B0DC7" w:rsidRDefault="001B0DC7" w:rsidP="00533798">
            <w:pPr>
              <w:rPr>
                <w:b/>
                <w:bCs/>
              </w:rPr>
            </w:pPr>
          </w:p>
          <w:p w14:paraId="03AB491E" w14:textId="0C65E934" w:rsidR="00A068F4" w:rsidRPr="00A068F4" w:rsidRDefault="00A068F4" w:rsidP="00533798">
            <w:r w:rsidRPr="00991D45">
              <w:rPr>
                <w:b/>
                <w:bCs/>
              </w:rPr>
              <w:t>Backgrounding</w:t>
            </w:r>
            <w:r w:rsidRPr="00A068F4">
              <w:t xml:space="preserve"> refers to the grouping and acclimatisation of animals prior to entry into the feedlot or intensive finishing system. This practice delivers significant production benefits once the cattle are on feed including:</w:t>
            </w:r>
          </w:p>
          <w:p w14:paraId="5D20BE57" w14:textId="7154579C" w:rsidR="00A068F4" w:rsidRPr="00A068F4" w:rsidRDefault="00A068F4" w:rsidP="00533798">
            <w:r>
              <w:tab/>
            </w:r>
            <w:r w:rsidRPr="00A068F4">
              <w:t>- Improved socialisation</w:t>
            </w:r>
          </w:p>
          <w:p w14:paraId="4C330385" w14:textId="071B467C" w:rsidR="00A068F4" w:rsidRPr="00A068F4" w:rsidRDefault="00A068F4" w:rsidP="00533798">
            <w:r>
              <w:tab/>
            </w:r>
            <w:r w:rsidRPr="00A068F4">
              <w:t>- Improved feed intake</w:t>
            </w:r>
          </w:p>
          <w:p w14:paraId="5C1ADF14" w14:textId="4CD217FC" w:rsidR="00A068F4" w:rsidRPr="00A068F4" w:rsidRDefault="00A068F4" w:rsidP="00533798">
            <w:r>
              <w:tab/>
            </w:r>
            <w:r w:rsidRPr="00A068F4">
              <w:t>- Reduced health issues</w:t>
            </w:r>
          </w:p>
          <w:p w14:paraId="0DECF356" w14:textId="77777777" w:rsidR="00A068F4" w:rsidRPr="00A068F4" w:rsidRDefault="00A068F4" w:rsidP="00533798">
            <w:r w:rsidRPr="00A068F4">
              <w:t>Each of these benefits result in increased weight gain on-feed and increased productivity.</w:t>
            </w:r>
          </w:p>
          <w:p w14:paraId="4683E922" w14:textId="563FE163" w:rsidR="00A068F4" w:rsidRPr="00A068F4" w:rsidRDefault="00A068F4" w:rsidP="00533798">
            <w:r w:rsidRPr="00A068F4">
              <w:t>Backgrounding also allows cattle to be grown out to a uniform weight before entering the feedlot, providing for easier management on feed and improved production.</w:t>
            </w:r>
          </w:p>
        </w:tc>
      </w:tr>
    </w:tbl>
    <w:p w14:paraId="74BABF50" w14:textId="454EDD36" w:rsidR="007E3E2A" w:rsidRDefault="007E3E2A" w:rsidP="005C572D"/>
    <w:p w14:paraId="5D740B00" w14:textId="3B4E2502" w:rsidR="00564498" w:rsidRDefault="00564498" w:rsidP="005C572D">
      <w:r>
        <w:t>Finishers generally use high performance pastures and/or grazing crops to target grass-fed markets. Carcase weight ranges from 260-400</w:t>
      </w:r>
      <w:r w:rsidR="00181BB5">
        <w:t>kg</w:t>
      </w:r>
      <w:r>
        <w:t xml:space="preserve"> are </w:t>
      </w:r>
      <w:r w:rsidR="00181BB5">
        <w:t>typical</w:t>
      </w:r>
      <w:r>
        <w:t xml:space="preserve"> and there are </w:t>
      </w:r>
      <w:r w:rsidR="00714E45">
        <w:t xml:space="preserve">a </w:t>
      </w:r>
      <w:r>
        <w:t xml:space="preserve">multitude of dedicated brands for grass-fed animals. The primary markets are domestic consumption and the US. </w:t>
      </w:r>
    </w:p>
    <w:p w14:paraId="3376EC0F" w14:textId="16D75211" w:rsidR="00DA1234" w:rsidRDefault="00564498" w:rsidP="005C572D">
      <w:r>
        <w:lastRenderedPageBreak/>
        <w:t xml:space="preserve"> </w:t>
      </w:r>
    </w:p>
    <w:p w14:paraId="45178D6F" w14:textId="77777777" w:rsidR="00B3224C" w:rsidRDefault="00F80687" w:rsidP="00577199">
      <w:pPr>
        <w:pStyle w:val="Heading2"/>
      </w:pPr>
      <w:bookmarkStart w:id="35" w:name="_Toc95983378"/>
      <w:r>
        <w:t>L</w:t>
      </w:r>
      <w:r w:rsidR="00B3224C" w:rsidRPr="002F7A0A">
        <w:t>ot</w:t>
      </w:r>
      <w:r>
        <w:t xml:space="preserve"> Feeders</w:t>
      </w:r>
      <w:bookmarkEnd w:id="35"/>
    </w:p>
    <w:p w14:paraId="3399C187" w14:textId="77777777" w:rsidR="00B63776" w:rsidRPr="002F7A0A" w:rsidRDefault="00B63776" w:rsidP="002D05CD">
      <w:pPr>
        <w:keepNext/>
        <w:keepLines/>
        <w:rPr>
          <w:b/>
          <w:bCs/>
        </w:rPr>
      </w:pPr>
    </w:p>
    <w:p w14:paraId="2CA22898" w14:textId="77777777" w:rsidR="00B3224C" w:rsidRDefault="00277826">
      <w:r>
        <w:t>Feedlots</w:t>
      </w:r>
      <w:r w:rsidR="00A3405E">
        <w:t xml:space="preserve"> are u</w:t>
      </w:r>
      <w:r w:rsidR="0085728E">
        <w:t xml:space="preserve">sually located close to </w:t>
      </w:r>
      <w:r w:rsidR="001A0EB7">
        <w:t>grain</w:t>
      </w:r>
      <w:r w:rsidR="006945F2">
        <w:t>-</w:t>
      </w:r>
      <w:r w:rsidR="001A0EB7">
        <w:t>growing areas and focus on fattening livestock on grain-dominant rations for a relatively short period (</w:t>
      </w:r>
      <w:r w:rsidR="00B23187">
        <w:t>averaging</w:t>
      </w:r>
      <w:r w:rsidR="000A730D">
        <w:t xml:space="preserve"> 50-120 days </w:t>
      </w:r>
      <w:r w:rsidR="001A0EB7">
        <w:t>in cattle</w:t>
      </w:r>
      <w:r w:rsidR="00DE227A">
        <w:t>)</w:t>
      </w:r>
      <w:r w:rsidR="000A730D">
        <w:t xml:space="preserve">, </w:t>
      </w:r>
      <w:r w:rsidR="001A0EB7">
        <w:t xml:space="preserve">prior </w:t>
      </w:r>
      <w:r w:rsidR="002A2F13">
        <w:t>to slaughter.</w:t>
      </w:r>
      <w:r w:rsidR="0055330E">
        <w:t xml:space="preserve">  There are also </w:t>
      </w:r>
      <w:r w:rsidR="00E867B2">
        <w:t xml:space="preserve">specialist </w:t>
      </w:r>
      <w:r w:rsidR="0055330E">
        <w:t xml:space="preserve">lamb </w:t>
      </w:r>
      <w:r w:rsidR="005F0C39">
        <w:t xml:space="preserve">lot </w:t>
      </w:r>
      <w:proofErr w:type="gramStart"/>
      <w:r w:rsidR="005F0C39">
        <w:t>feeders</w:t>
      </w:r>
      <w:proofErr w:type="gramEnd"/>
      <w:r w:rsidR="005F0C39">
        <w:t xml:space="preserve"> </w:t>
      </w:r>
      <w:r w:rsidR="00E867B2">
        <w:t>but these are less common</w:t>
      </w:r>
      <w:r w:rsidR="000B79CD">
        <w:t xml:space="preserve"> </w:t>
      </w:r>
      <w:r w:rsidR="005F0C39">
        <w:t>and range in scale from small</w:t>
      </w:r>
      <w:r w:rsidR="004C3D61">
        <w:t xml:space="preserve"> (&lt;1000 head) to large </w:t>
      </w:r>
      <w:r w:rsidR="00C868AF">
        <w:t>(&gt;50,000 head)</w:t>
      </w:r>
      <w:r w:rsidR="0095631E">
        <w:t>.</w:t>
      </w:r>
    </w:p>
    <w:p w14:paraId="63FC0CCF" w14:textId="77777777" w:rsidR="00A3405E" w:rsidRDefault="00A3405E"/>
    <w:p w14:paraId="578446E0" w14:textId="637AC79E" w:rsidR="002A2F13" w:rsidRDefault="003E1954">
      <w:r>
        <w:t xml:space="preserve">According to </w:t>
      </w:r>
      <w:r w:rsidR="00DE227A">
        <w:t xml:space="preserve">the </w:t>
      </w:r>
      <w:bookmarkStart w:id="36" w:name="_Hlk83134397"/>
      <w:r w:rsidR="00DE227A">
        <w:t>Australian Lot Feeders</w:t>
      </w:r>
      <w:r w:rsidR="007D7428">
        <w:t>’</w:t>
      </w:r>
      <w:r w:rsidR="00DE227A">
        <w:t xml:space="preserve"> Association</w:t>
      </w:r>
      <w:bookmarkEnd w:id="36"/>
      <w:r w:rsidR="00DE227A">
        <w:t xml:space="preserve"> </w:t>
      </w:r>
      <w:r w:rsidR="007D7428">
        <w:t>(</w:t>
      </w:r>
      <w:r w:rsidR="00EC4695" w:rsidRPr="00D30408">
        <w:t>ALFA</w:t>
      </w:r>
      <w:r w:rsidR="007D7428">
        <w:t>)</w:t>
      </w:r>
      <w:r w:rsidR="0095631E">
        <w:t xml:space="preserve">, </w:t>
      </w:r>
      <w:r w:rsidR="0095631E">
        <w:rPr>
          <w:i/>
          <w:iCs/>
        </w:rPr>
        <w:t>t</w:t>
      </w:r>
      <w:r w:rsidRPr="003E1954">
        <w:t xml:space="preserve">here are up to 400 accredited </w:t>
      </w:r>
      <w:r w:rsidR="008F7DAC">
        <w:t xml:space="preserve">cattle </w:t>
      </w:r>
      <w:r w:rsidRPr="003E1954">
        <w:t>feedlots in Australia with capacities ranging from 500 to over 50,000+ head</w:t>
      </w:r>
      <w:r w:rsidR="00EC4695">
        <w:rPr>
          <w:rStyle w:val="FootnoteReference"/>
        </w:rPr>
        <w:footnoteReference w:id="20"/>
      </w:r>
      <w:r>
        <w:t xml:space="preserve">.  </w:t>
      </w:r>
      <w:r w:rsidRPr="003E1954">
        <w:t>At any one time, 2-3% of Australia’s total cattle population are in feedlots</w:t>
      </w:r>
      <w:r w:rsidR="00C47FE2">
        <w:t xml:space="preserve"> and g</w:t>
      </w:r>
      <w:r w:rsidR="00C47FE2" w:rsidRPr="00C47FE2">
        <w:t>rain fed beef contributes 30-40% of Australia’s total beef production</w:t>
      </w:r>
      <w:r w:rsidR="00C47FE2">
        <w:t xml:space="preserve">. </w:t>
      </w:r>
      <w:r w:rsidR="00564498">
        <w:t xml:space="preserve">In 2020/21 ALFA reported that approximately $2.9 million animals were fed from </w:t>
      </w:r>
      <w:r w:rsidR="00A74F5C">
        <w:t xml:space="preserve">70 </w:t>
      </w:r>
      <w:r w:rsidR="002F2218">
        <w:t xml:space="preserve">days </w:t>
      </w:r>
      <w:r w:rsidR="00A74F5C">
        <w:t>(short</w:t>
      </w:r>
      <w:r w:rsidR="002F2218">
        <w:t>-</w:t>
      </w:r>
      <w:r w:rsidR="00A74F5C">
        <w:t xml:space="preserve">day) </w:t>
      </w:r>
      <w:r w:rsidR="002F2218">
        <w:t xml:space="preserve">through </w:t>
      </w:r>
      <w:r w:rsidR="00A74F5C">
        <w:t xml:space="preserve">to 450 </w:t>
      </w:r>
      <w:r w:rsidR="002F2218">
        <w:t xml:space="preserve">days </w:t>
      </w:r>
      <w:r w:rsidR="00A74F5C">
        <w:t xml:space="preserve">(long-day) on feed. </w:t>
      </w:r>
    </w:p>
    <w:p w14:paraId="089FEBE0" w14:textId="77777777" w:rsidR="00F33E54" w:rsidRDefault="00F33E54" w:rsidP="00533329"/>
    <w:p w14:paraId="7A28A472" w14:textId="5D2C190A" w:rsidR="003E1954" w:rsidRDefault="00533329" w:rsidP="00533329">
      <w:r>
        <w:t xml:space="preserve">It is difficult to provide accurate information on the size of the lamb feedlot industry as there is no central register/survey available </w:t>
      </w:r>
      <w:r w:rsidR="000F4E84">
        <w:t xml:space="preserve">from which </w:t>
      </w:r>
      <w:r>
        <w:t xml:space="preserve">to obtain this </w:t>
      </w:r>
      <w:r w:rsidR="00A87E33">
        <w:t>data</w:t>
      </w:r>
      <w:r>
        <w:t>.</w:t>
      </w:r>
      <w:r w:rsidR="00A87E33">
        <w:t xml:space="preserve"> However</w:t>
      </w:r>
      <w:r w:rsidR="008A02DE">
        <w:t xml:space="preserve">, according to </w:t>
      </w:r>
      <w:r w:rsidR="00EC4695" w:rsidRPr="00D30408">
        <w:t>MLA</w:t>
      </w:r>
      <w:r w:rsidR="008A02DE">
        <w:t>,</w:t>
      </w:r>
      <w:r w:rsidR="00A87E33">
        <w:t xml:space="preserve"> </w:t>
      </w:r>
      <w:bookmarkStart w:id="37" w:name="_Hlk83134409"/>
      <w:r w:rsidR="00140BA0">
        <w:t xml:space="preserve">ABARES </w:t>
      </w:r>
      <w:bookmarkEnd w:id="37"/>
      <w:r w:rsidR="00140BA0">
        <w:t>estimated that from 2012-2014, approximately 6% of slaughter lambs were produced in feedlot</w:t>
      </w:r>
      <w:r w:rsidR="00930CFD">
        <w:t>s</w:t>
      </w:r>
      <w:r w:rsidR="00E4406A">
        <w:rPr>
          <w:rStyle w:val="FootnoteReference"/>
        </w:rPr>
        <w:footnoteReference w:id="21"/>
      </w:r>
      <w:r w:rsidR="00140BA0">
        <w:t>.</w:t>
      </w:r>
      <w:r w:rsidR="00AF636F">
        <w:t xml:space="preserve"> </w:t>
      </w:r>
      <w:r w:rsidR="00140BA0">
        <w:t xml:space="preserve"> On a state basis, W</w:t>
      </w:r>
      <w:r w:rsidR="00AF636F">
        <w:t xml:space="preserve">estern </w:t>
      </w:r>
      <w:r w:rsidR="00140BA0">
        <w:t>A</w:t>
      </w:r>
      <w:r w:rsidR="00AF636F">
        <w:t>ustralia</w:t>
      </w:r>
      <w:r w:rsidR="00140BA0">
        <w:t xml:space="preserve"> had the highest proportion of </w:t>
      </w:r>
      <w:r w:rsidR="008A02DE">
        <w:t>lambs finished on grain</w:t>
      </w:r>
      <w:r w:rsidR="00140BA0">
        <w:t xml:space="preserve"> at 8%</w:t>
      </w:r>
      <w:r w:rsidR="008A02DE">
        <w:t xml:space="preserve">, compared with 4% in the eastern states.  </w:t>
      </w:r>
      <w:r w:rsidR="00140BA0">
        <w:t>However</w:t>
      </w:r>
      <w:r>
        <w:t>, estimates of the numbers of feedlot</w:t>
      </w:r>
      <w:r w:rsidR="0069657B">
        <w:t>-</w:t>
      </w:r>
      <w:r>
        <w:t xml:space="preserve">produced lambs vary considerably. This is not unexpected as many lamb feedlots are opportunistic and will feed lambs when either market prices or grain prices are favourable. In addition, a proportion of lambs </w:t>
      </w:r>
      <w:r w:rsidR="00C522A4">
        <w:t xml:space="preserve">are </w:t>
      </w:r>
      <w:r w:rsidR="0069657B">
        <w:t xml:space="preserve">supplemented with </w:t>
      </w:r>
      <w:r>
        <w:t>grain during the finishing phase</w:t>
      </w:r>
      <w:r w:rsidR="00722D52">
        <w:t xml:space="preserve">, which is largely a consequence </w:t>
      </w:r>
      <w:r>
        <w:t xml:space="preserve">of significant sheep numbers in both the sheep-wheat </w:t>
      </w:r>
      <w:r w:rsidR="00AE3E35">
        <w:t>zone and</w:t>
      </w:r>
      <w:r>
        <w:t xml:space="preserve"> in </w:t>
      </w:r>
      <w:r w:rsidR="00DE6484">
        <w:t xml:space="preserve">the </w:t>
      </w:r>
      <w:r>
        <w:t xml:space="preserve">highly </w:t>
      </w:r>
      <w:r w:rsidR="00DE6484">
        <w:t>seasonal (</w:t>
      </w:r>
      <w:r>
        <w:t>Mediterranean</w:t>
      </w:r>
      <w:r w:rsidR="00DE6484">
        <w:t>)</w:t>
      </w:r>
      <w:r>
        <w:t xml:space="preserve"> </w:t>
      </w:r>
      <w:r w:rsidR="000F4E84">
        <w:t xml:space="preserve">regions </w:t>
      </w:r>
      <w:r>
        <w:t xml:space="preserve">of </w:t>
      </w:r>
      <w:r w:rsidR="000F4E84">
        <w:t xml:space="preserve">southern </w:t>
      </w:r>
      <w:r>
        <w:t xml:space="preserve">Australia.  </w:t>
      </w:r>
    </w:p>
    <w:p w14:paraId="25D06BD4" w14:textId="77777777" w:rsidR="00395937" w:rsidRDefault="00395937" w:rsidP="00FD060B">
      <w:pPr>
        <w:rPr>
          <w:highlight w:val="cyan"/>
        </w:rPr>
      </w:pPr>
    </w:p>
    <w:p w14:paraId="58110038" w14:textId="4AF2B280" w:rsidR="002A2F13" w:rsidRDefault="002A2F13" w:rsidP="00577199">
      <w:pPr>
        <w:pStyle w:val="Heading2"/>
      </w:pPr>
      <w:bookmarkStart w:id="38" w:name="_Toc95983379"/>
      <w:r w:rsidRPr="002F7A0A">
        <w:t xml:space="preserve">Processors </w:t>
      </w:r>
      <w:r w:rsidR="004D5C79">
        <w:t>and smallgoods</w:t>
      </w:r>
      <w:r w:rsidR="002D05CD">
        <w:t xml:space="preserve"> manufacturers</w:t>
      </w:r>
      <w:bookmarkEnd w:id="38"/>
    </w:p>
    <w:p w14:paraId="1F425869" w14:textId="77777777" w:rsidR="00B63776" w:rsidRPr="002F7A0A" w:rsidRDefault="00B63776" w:rsidP="00577199">
      <w:pPr>
        <w:keepNext/>
        <w:keepLines/>
        <w:rPr>
          <w:b/>
          <w:bCs/>
        </w:rPr>
      </w:pPr>
    </w:p>
    <w:p w14:paraId="4F46757B" w14:textId="16839195" w:rsidR="002A4294" w:rsidRDefault="008B7828">
      <w:r>
        <w:t>Processors</w:t>
      </w:r>
      <w:r w:rsidR="002A2F13">
        <w:t xml:space="preserve"> </w:t>
      </w:r>
      <w:r w:rsidR="00AE3E35">
        <w:t xml:space="preserve">purchase </w:t>
      </w:r>
      <w:r w:rsidR="002A2F13">
        <w:t xml:space="preserve">livestock </w:t>
      </w:r>
      <w:r w:rsidR="00E867B2">
        <w:t>for</w:t>
      </w:r>
      <w:r w:rsidR="002A2F13">
        <w:t xml:space="preserve"> </w:t>
      </w:r>
      <w:r w:rsidR="0055330E">
        <w:t xml:space="preserve">slaughter </w:t>
      </w:r>
      <w:r w:rsidR="00E867B2">
        <w:t xml:space="preserve">and break down the carcases </w:t>
      </w:r>
      <w:r w:rsidR="006F5CF6">
        <w:t xml:space="preserve">in a form that is </w:t>
      </w:r>
      <w:r w:rsidR="00E867B2">
        <w:t xml:space="preserve">ready for domestic or </w:t>
      </w:r>
      <w:r w:rsidR="006F5CF6">
        <w:t>export consumption.</w:t>
      </w:r>
      <w:r w:rsidR="000F3FDD">
        <w:t xml:space="preserve"> </w:t>
      </w:r>
      <w:r w:rsidR="002A4294">
        <w:t xml:space="preserve">The </w:t>
      </w:r>
      <w:bookmarkStart w:id="39" w:name="_Hlk83134427"/>
      <w:r w:rsidR="002A4294">
        <w:t xml:space="preserve">Australian Meat Industry Council </w:t>
      </w:r>
      <w:bookmarkEnd w:id="39"/>
      <w:r w:rsidR="002A4294">
        <w:t>(AMIC)</w:t>
      </w:r>
      <w:r w:rsidR="002A4294" w:rsidRPr="005F1A64">
        <w:t xml:space="preserve"> is the peak body representing retailers, </w:t>
      </w:r>
      <w:proofErr w:type="gramStart"/>
      <w:r w:rsidR="002A4294" w:rsidRPr="005F1A64">
        <w:t>processors</w:t>
      </w:r>
      <w:proofErr w:type="gramEnd"/>
      <w:r w:rsidR="002A4294" w:rsidRPr="005F1A64">
        <w:t xml:space="preserve"> and smallgoods manufacturers across the country</w:t>
      </w:r>
      <w:r w:rsidR="002A4294">
        <w:t>.  I</w:t>
      </w:r>
      <w:r w:rsidR="00890C1B">
        <w:t xml:space="preserve">t currently </w:t>
      </w:r>
      <w:r w:rsidR="00BD2C46">
        <w:t>values</w:t>
      </w:r>
      <w:r w:rsidR="00890C1B">
        <w:t xml:space="preserve"> the domestic smallgoods market at $</w:t>
      </w:r>
      <w:r w:rsidR="00E4406A" w:rsidRPr="00D30408">
        <w:t>4b</w:t>
      </w:r>
      <w:r w:rsidR="00BE2E7D">
        <w:t xml:space="preserve"> </w:t>
      </w:r>
      <w:r w:rsidR="00AE670F">
        <w:t>p.a.</w:t>
      </w:r>
      <w:r w:rsidR="00BE2E7D">
        <w:t>,</w:t>
      </w:r>
      <w:r w:rsidR="00762DD9">
        <w:t xml:space="preserve"> </w:t>
      </w:r>
      <w:r w:rsidR="005409F3">
        <w:t xml:space="preserve">compared with </w:t>
      </w:r>
      <w:r w:rsidR="005409F3" w:rsidRPr="005409F3">
        <w:t xml:space="preserve">red meat exports </w:t>
      </w:r>
      <w:r w:rsidR="00BE2E7D">
        <w:t>of</w:t>
      </w:r>
      <w:r w:rsidR="005409F3" w:rsidRPr="005409F3">
        <w:t xml:space="preserve"> around $17.2b </w:t>
      </w:r>
      <w:r w:rsidR="00AE670F">
        <w:t>p.a.</w:t>
      </w:r>
      <w:r w:rsidR="00BE2E7D">
        <w:t xml:space="preserve"> and </w:t>
      </w:r>
      <w:r w:rsidR="005409F3" w:rsidRPr="005409F3">
        <w:t>domestic red meat sales of $11.3b</w:t>
      </w:r>
      <w:r w:rsidR="00E4406A">
        <w:rPr>
          <w:rStyle w:val="FootnoteReference"/>
        </w:rPr>
        <w:footnoteReference w:id="22"/>
      </w:r>
      <w:r w:rsidR="005409F3" w:rsidRPr="005409F3">
        <w:t>.</w:t>
      </w:r>
      <w:r w:rsidR="00561C00">
        <w:t xml:space="preserve">  AMIC</w:t>
      </w:r>
      <w:r w:rsidR="00A53DE6">
        <w:t xml:space="preserve"> has estimated that barriers to trade could potentially lead to losses of the order of $3b:</w:t>
      </w:r>
    </w:p>
    <w:p w14:paraId="40D4F120" w14:textId="689F847C" w:rsidR="00A53DE6" w:rsidRDefault="00A53DE6"/>
    <w:tbl>
      <w:tblPr>
        <w:tblStyle w:val="TableGrid"/>
        <w:tblW w:w="0" w:type="auto"/>
        <w:shd w:val="clear" w:color="auto" w:fill="D6E1DB" w:themeFill="text2" w:themeFillTint="33"/>
        <w:tblLook w:val="04A0" w:firstRow="1" w:lastRow="0" w:firstColumn="1" w:lastColumn="0" w:noHBand="0" w:noVBand="1"/>
      </w:tblPr>
      <w:tblGrid>
        <w:gridCol w:w="9016"/>
      </w:tblGrid>
      <w:tr w:rsidR="00577199" w14:paraId="62471DA1" w14:textId="77777777" w:rsidTr="00096403">
        <w:tc>
          <w:tcPr>
            <w:tcW w:w="9242" w:type="dxa"/>
            <w:shd w:val="clear" w:color="auto" w:fill="D6E1DB" w:themeFill="text2" w:themeFillTint="33"/>
          </w:tcPr>
          <w:p w14:paraId="7029CDFC" w14:textId="1EA520AF" w:rsidR="00A53DE6" w:rsidRPr="00EB7D2B" w:rsidRDefault="00A53DE6" w:rsidP="00CE1800">
            <w:pPr>
              <w:pStyle w:val="Quote"/>
              <w:keepNext/>
              <w:keepLines/>
              <w:jc w:val="left"/>
            </w:pPr>
            <w:r w:rsidRPr="00EB7D2B">
              <w:lastRenderedPageBreak/>
              <w:t>More than 70% of the beef and sheep meat produced in Australia</w:t>
            </w:r>
            <w:r>
              <w:rPr>
                <w:noProof/>
              </w:rPr>
              <w:t xml:space="preserve"> </w:t>
            </w:r>
            <w:r w:rsidRPr="00EB7D2B">
              <w:t xml:space="preserve">is exported, to over 100 international </w:t>
            </w:r>
            <w:r w:rsidR="000964FA" w:rsidRPr="00EB7D2B">
              <w:t>markets</w:t>
            </w:r>
            <w:r w:rsidR="000964FA" w:rsidRPr="00EB7D2B">
              <w:rPr>
                <w:noProof/>
              </w:rPr>
              <w:t>.</w:t>
            </w:r>
            <w:r w:rsidR="000964FA" w:rsidRPr="00EB7D2B">
              <w:t xml:space="preserve"> Free</w:t>
            </w:r>
            <w:r w:rsidRPr="00EB7D2B">
              <w:t xml:space="preserve"> trade agreements are essential to gaining market access and there have been some good wins on this front in recent years – but FTAs are not enough to help our members maximise their market potential. Technical barriers to trade must be addressed too.</w:t>
            </w:r>
          </w:p>
          <w:p w14:paraId="0ED027B3" w14:textId="77777777" w:rsidR="00A53DE6" w:rsidRPr="00EB7D2B" w:rsidRDefault="00A53DE6" w:rsidP="00A277E6">
            <w:pPr>
              <w:pStyle w:val="CommentText"/>
              <w:keepNext/>
              <w:keepLines/>
              <w:rPr>
                <w:i/>
                <w:iCs/>
              </w:rPr>
            </w:pPr>
          </w:p>
          <w:p w14:paraId="628FA7E9" w14:textId="77777777" w:rsidR="00A53DE6" w:rsidRPr="00EB7D2B" w:rsidRDefault="00A53DE6" w:rsidP="00A277E6">
            <w:pPr>
              <w:pStyle w:val="IntenseQuote"/>
              <w:keepNext/>
              <w:keepLines/>
              <w:shd w:val="clear" w:color="auto" w:fill="D6E1DB" w:themeFill="text2" w:themeFillTint="33"/>
              <w:spacing w:before="120" w:after="120"/>
              <w:ind w:left="862" w:right="862"/>
              <w:rPr>
                <w:noProof/>
              </w:rPr>
            </w:pPr>
            <w:r w:rsidRPr="00EB7D2B">
              <w:t>Our calculations show these barriers create the potential for loss of business in the order of more than $3 billion.</w:t>
            </w:r>
          </w:p>
          <w:p w14:paraId="3C298417" w14:textId="77777777" w:rsidR="00A53DE6" w:rsidRPr="00EB7D2B" w:rsidRDefault="00A53DE6" w:rsidP="00A277E6">
            <w:pPr>
              <w:pStyle w:val="CommentText"/>
              <w:keepNext/>
              <w:keepLines/>
              <w:rPr>
                <w:b/>
                <w:bCs/>
                <w:i/>
                <w:iCs/>
                <w:noProof/>
              </w:rPr>
            </w:pPr>
          </w:p>
          <w:p w14:paraId="3154452D" w14:textId="52086AAE" w:rsidR="00A53DE6" w:rsidRPr="00577199" w:rsidRDefault="00096403" w:rsidP="00A277E6">
            <w:pPr>
              <w:keepNext/>
              <w:keepLines/>
              <w:rPr>
                <w:sz w:val="18"/>
                <w:szCs w:val="18"/>
              </w:rPr>
            </w:pPr>
            <w:r>
              <w:rPr>
                <w:i/>
                <w:iCs/>
              </w:rPr>
              <w:t xml:space="preserve">Barriers </w:t>
            </w:r>
            <w:r w:rsidR="00A53DE6" w:rsidRPr="00EB7D2B">
              <w:rPr>
                <w:i/>
                <w:iCs/>
              </w:rPr>
              <w:t xml:space="preserve">include things like detailed export plant accreditation, product shelf-life restrictions and </w:t>
            </w:r>
            <w:r w:rsidR="000964FA" w:rsidRPr="00EB7D2B">
              <w:rPr>
                <w:i/>
                <w:iCs/>
              </w:rPr>
              <w:t>labelling</w:t>
            </w:r>
            <w:r w:rsidR="00A53DE6" w:rsidRPr="00EB7D2B">
              <w:rPr>
                <w:i/>
                <w:iCs/>
              </w:rPr>
              <w:t xml:space="preserve"> issues.</w:t>
            </w:r>
          </w:p>
          <w:p w14:paraId="22322147" w14:textId="7527D35E" w:rsidR="00A53DE6" w:rsidRDefault="00A53DE6" w:rsidP="00A277E6">
            <w:pPr>
              <w:keepNext/>
              <w:keepLines/>
              <w:jc w:val="right"/>
              <w:rPr>
                <w:noProof/>
              </w:rPr>
            </w:pPr>
            <w:r w:rsidRPr="00577199">
              <w:rPr>
                <w:noProof/>
                <w:sz w:val="18"/>
                <w:szCs w:val="18"/>
                <w:u w:val="single"/>
              </w:rPr>
              <w:t>Source</w:t>
            </w:r>
            <w:r w:rsidRPr="00577199">
              <w:rPr>
                <w:noProof/>
                <w:sz w:val="18"/>
                <w:szCs w:val="18"/>
              </w:rPr>
              <w:t>:   https://amic.org.au/market-access/</w:t>
            </w:r>
          </w:p>
        </w:tc>
      </w:tr>
    </w:tbl>
    <w:p w14:paraId="4AAA7C10" w14:textId="096644B0" w:rsidR="00A53DE6" w:rsidRDefault="00A53DE6"/>
    <w:p w14:paraId="2A1FD17D" w14:textId="66CE9027" w:rsidR="002A2F13" w:rsidRDefault="00875140">
      <w:r>
        <w:t xml:space="preserve">Research and development </w:t>
      </w:r>
      <w:r w:rsidR="00634334">
        <w:t xml:space="preserve">for the processing sector is </w:t>
      </w:r>
      <w:r w:rsidR="002A366B">
        <w:t xml:space="preserve">coordinated by </w:t>
      </w:r>
      <w:bookmarkStart w:id="40" w:name="_Hlk83134445"/>
      <w:r w:rsidR="004D322D">
        <w:t>the Australian Meat Processor Corporat</w:t>
      </w:r>
      <w:r w:rsidR="001177C0">
        <w:t>i</w:t>
      </w:r>
      <w:r w:rsidR="004D322D">
        <w:t xml:space="preserve">on </w:t>
      </w:r>
      <w:bookmarkEnd w:id="40"/>
      <w:r w:rsidR="004D322D">
        <w:t>(</w:t>
      </w:r>
      <w:r w:rsidR="00272CCE" w:rsidRPr="004C7BF0">
        <w:t>AMPC</w:t>
      </w:r>
      <w:r w:rsidR="004D322D">
        <w:t>)</w:t>
      </w:r>
      <w:r w:rsidR="00272CCE">
        <w:rPr>
          <w:rStyle w:val="FootnoteReference"/>
        </w:rPr>
        <w:footnoteReference w:id="23"/>
      </w:r>
      <w:r w:rsidR="000F3FDD">
        <w:t>, with membership free to levy-paying red meat processors</w:t>
      </w:r>
      <w:r w:rsidR="001177C0">
        <w:t xml:space="preserve"> but </w:t>
      </w:r>
      <w:r w:rsidR="002A366B">
        <w:t xml:space="preserve">funded </w:t>
      </w:r>
      <w:r w:rsidR="00EE6049">
        <w:t xml:space="preserve">indirectly through mandatory slaughter levies paid to the government. </w:t>
      </w:r>
      <w:r w:rsidR="002A366B">
        <w:t>It</w:t>
      </w:r>
      <w:r w:rsidR="00F205F3" w:rsidRPr="00F205F3">
        <w:t xml:space="preserve"> has 102 members operating in 130 meat processing establishments, representing more than 90% of </w:t>
      </w:r>
      <w:r w:rsidR="008C7DDC">
        <w:t>A</w:t>
      </w:r>
      <w:r w:rsidR="00F205F3" w:rsidRPr="00F205F3">
        <w:t>ustralia's red meat processing capacity.</w:t>
      </w:r>
      <w:r w:rsidR="00421A80">
        <w:t xml:space="preserve">  </w:t>
      </w:r>
      <w:r w:rsidR="000C3515">
        <w:t xml:space="preserve">However, </w:t>
      </w:r>
      <w:r w:rsidR="00AC064D">
        <w:t xml:space="preserve">the </w:t>
      </w:r>
      <w:r w:rsidR="00037FA5">
        <w:t xml:space="preserve">distribution of </w:t>
      </w:r>
      <w:r w:rsidR="000C3515">
        <w:t>employee</w:t>
      </w:r>
      <w:r w:rsidR="00037FA5">
        <w:t xml:space="preserve"> numbers among</w:t>
      </w:r>
      <w:r w:rsidR="000C3515">
        <w:t xml:space="preserve"> the largest </w:t>
      </w:r>
      <w:r w:rsidR="00F65152">
        <w:t xml:space="preserve">red meat </w:t>
      </w:r>
      <w:r w:rsidR="000C3515">
        <w:t>processors</w:t>
      </w:r>
      <w:r w:rsidR="000B2862">
        <w:fldChar w:fldCharType="begin"/>
      </w:r>
      <w:r w:rsidR="000B2862">
        <w:instrText xml:space="preserve"> NOTEREF _Ref88993008 \f \h </w:instrText>
      </w:r>
      <w:r w:rsidR="000B2862">
        <w:fldChar w:fldCharType="separate"/>
      </w:r>
      <w:r w:rsidR="008D0D42" w:rsidRPr="008D0D42">
        <w:rPr>
          <w:rStyle w:val="FootnoteReference"/>
        </w:rPr>
        <w:t>2</w:t>
      </w:r>
      <w:r w:rsidR="000B2862">
        <w:fldChar w:fldCharType="end"/>
      </w:r>
      <w:r w:rsidR="00F65152">
        <w:t xml:space="preserve"> suggest</w:t>
      </w:r>
      <w:r w:rsidR="00AC064D">
        <w:t>s</w:t>
      </w:r>
      <w:r w:rsidR="00F65152">
        <w:t xml:space="preserve"> that </w:t>
      </w:r>
      <w:r w:rsidR="00D20201">
        <w:t>about 10 companies employ 80% of the processing workforce</w:t>
      </w:r>
      <w:r w:rsidR="0049171B">
        <w:t xml:space="preserve">, with the largest employer </w:t>
      </w:r>
      <w:r w:rsidR="00DB7122">
        <w:t>accounting for over three times that of the second-largest employer.</w:t>
      </w:r>
      <w:r w:rsidR="00D20201">
        <w:t xml:space="preserve"> </w:t>
      </w:r>
    </w:p>
    <w:p w14:paraId="149B00E6" w14:textId="77777777" w:rsidR="00685C44" w:rsidRDefault="00685C44"/>
    <w:p w14:paraId="1984B53A" w14:textId="4F2AE206" w:rsidR="00756FF0" w:rsidRDefault="003D0298" w:rsidP="00577199">
      <w:pPr>
        <w:pStyle w:val="Heading2"/>
      </w:pPr>
      <w:bookmarkStart w:id="41" w:name="_Toc95983380"/>
      <w:r w:rsidRPr="00834E67">
        <w:t>Wholesalers</w:t>
      </w:r>
      <w:r w:rsidR="004D5C79">
        <w:t xml:space="preserve"> and </w:t>
      </w:r>
      <w:r w:rsidRPr="00834E67">
        <w:t>r</w:t>
      </w:r>
      <w:r w:rsidR="00756FF0" w:rsidRPr="00834E67">
        <w:t>etailers</w:t>
      </w:r>
      <w:bookmarkEnd w:id="41"/>
      <w:r w:rsidR="008D0D1D">
        <w:t xml:space="preserve"> </w:t>
      </w:r>
    </w:p>
    <w:p w14:paraId="13292806" w14:textId="77777777" w:rsidR="00B63776" w:rsidRPr="00834E67" w:rsidRDefault="00B63776">
      <w:pPr>
        <w:rPr>
          <w:b/>
          <w:bCs/>
        </w:rPr>
      </w:pPr>
    </w:p>
    <w:p w14:paraId="2CF11944" w14:textId="656E7716" w:rsidR="00756FF0" w:rsidRDefault="00E36FA9" w:rsidP="00DE3CB5">
      <w:r>
        <w:t>MLA estimate</w:t>
      </w:r>
      <w:r w:rsidR="00834E67">
        <w:t>d</w:t>
      </w:r>
      <w:r>
        <w:t xml:space="preserve"> that in </w:t>
      </w:r>
      <w:r w:rsidR="000B2862" w:rsidRPr="004C7BF0">
        <w:t>2018-19</w:t>
      </w:r>
      <w:r w:rsidR="00BF4F22">
        <w:t xml:space="preserve">, there were about 550 wholesale and 2180 retail businesses in Australia selling </w:t>
      </w:r>
      <w:r w:rsidR="00187D08">
        <w:t>red meat</w:t>
      </w:r>
      <w:r w:rsidR="000B2862">
        <w:fldChar w:fldCharType="begin"/>
      </w:r>
      <w:r w:rsidR="000B2862">
        <w:instrText xml:space="preserve"> NOTEREF _Ref88993008 \f \h </w:instrText>
      </w:r>
      <w:r w:rsidR="000B2862">
        <w:fldChar w:fldCharType="separate"/>
      </w:r>
      <w:r w:rsidR="008D0D42" w:rsidRPr="008D0D42">
        <w:rPr>
          <w:rStyle w:val="FootnoteReference"/>
        </w:rPr>
        <w:t>2</w:t>
      </w:r>
      <w:r w:rsidR="000B2862">
        <w:fldChar w:fldCharType="end"/>
      </w:r>
      <w:r w:rsidR="0025175C">
        <w:t>.</w:t>
      </w:r>
      <w:r w:rsidR="003F6C91">
        <w:t xml:space="preserve"> </w:t>
      </w:r>
      <w:r w:rsidR="0023743A">
        <w:t xml:space="preserve"> This compares </w:t>
      </w:r>
      <w:r w:rsidR="00187D08">
        <w:t xml:space="preserve">with </w:t>
      </w:r>
      <w:r w:rsidR="00FD4682">
        <w:t xml:space="preserve">about 670 </w:t>
      </w:r>
      <w:r w:rsidR="00C92055">
        <w:t xml:space="preserve">businesses involved with processing and </w:t>
      </w:r>
      <w:r w:rsidR="00BE28C1">
        <w:t xml:space="preserve">over 73,000 businesses involved directly in on-farm production.  </w:t>
      </w:r>
      <w:r w:rsidR="00BD2B32">
        <w:t xml:space="preserve">Wholesale and retail sales accounted for 19% of overall (red meat) industry turnover, compared with 29% </w:t>
      </w:r>
      <w:r w:rsidR="00A23A20">
        <w:t>for processing and 52% for the production sector.</w:t>
      </w:r>
      <w:r w:rsidR="00DE3CB5">
        <w:t xml:space="preserve">  In the domestic market, </w:t>
      </w:r>
      <w:r w:rsidR="00186F75">
        <w:t>83</w:t>
      </w:r>
      <w:r w:rsidR="00DE3CB5">
        <w:t xml:space="preserve">% of fresh meat is sold in </w:t>
      </w:r>
      <w:r w:rsidR="00B67E56" w:rsidRPr="004C7BF0">
        <w:t>supermarkets</w:t>
      </w:r>
      <w:r w:rsidR="00DE3CB5">
        <w:t xml:space="preserve"> (mainly Woolworths and Coles) with butchers making up the other 17%</w:t>
      </w:r>
      <w:r w:rsidR="00B67E56">
        <w:rPr>
          <w:rStyle w:val="FootnoteReference"/>
        </w:rPr>
        <w:footnoteReference w:id="24"/>
      </w:r>
      <w:r w:rsidR="00DE3CB5">
        <w:t>.</w:t>
      </w:r>
    </w:p>
    <w:p w14:paraId="38630A30" w14:textId="77777777" w:rsidR="002A2F13" w:rsidRDefault="002A2F13"/>
    <w:p w14:paraId="385D2787" w14:textId="77777777" w:rsidR="00243DA5" w:rsidRDefault="00243DA5" w:rsidP="00577199">
      <w:pPr>
        <w:pStyle w:val="Heading2"/>
      </w:pPr>
      <w:bookmarkStart w:id="42" w:name="_Toc95983381"/>
      <w:r w:rsidRPr="009A670C">
        <w:t>Exporters</w:t>
      </w:r>
      <w:bookmarkEnd w:id="42"/>
    </w:p>
    <w:p w14:paraId="68C23803" w14:textId="77777777" w:rsidR="00243DA5" w:rsidRPr="009A670C" w:rsidRDefault="00243DA5" w:rsidP="00243DA5">
      <w:pPr>
        <w:keepNext/>
        <w:keepLines/>
        <w:rPr>
          <w:b/>
          <w:bCs/>
        </w:rPr>
      </w:pPr>
    </w:p>
    <w:p w14:paraId="7DEBC059" w14:textId="0032EF4A" w:rsidR="00243DA5" w:rsidRDefault="00243DA5" w:rsidP="00243DA5">
      <w:r>
        <w:t xml:space="preserve">Approximately 76% of Australia’s beef and veal production is exported; and of this, the majority is in packed form (88% by value, ~2/3 of which is chilled and 1/3 frozen) with the balance in the form of live animals.  In 2020/21, the greatest proportion of Australia’s beef and veal exports (78%) went to China, Japan, the </w:t>
      </w:r>
      <w:proofErr w:type="gramStart"/>
      <w:r>
        <w:t>US</w:t>
      </w:r>
      <w:proofErr w:type="gramEnd"/>
      <w:r>
        <w:t xml:space="preserve"> and South Korea.  Live cattle are exported to numerous countries, predominantly in </w:t>
      </w:r>
      <w:proofErr w:type="gramStart"/>
      <w:r>
        <w:t>South East</w:t>
      </w:r>
      <w:proofErr w:type="gramEnd"/>
      <w:r>
        <w:t xml:space="preserve"> Asia and the Middle East</w:t>
      </w:r>
      <w:r w:rsidR="00B67E56">
        <w:rPr>
          <w:rStyle w:val="FootnoteReference"/>
        </w:rPr>
        <w:footnoteReference w:id="25"/>
      </w:r>
      <w:r>
        <w:t xml:space="preserve">.     </w:t>
      </w:r>
    </w:p>
    <w:p w14:paraId="583F20CC" w14:textId="77777777" w:rsidR="00243DA5" w:rsidRDefault="00243DA5" w:rsidP="00243DA5"/>
    <w:p w14:paraId="08DA25BA" w14:textId="77777777" w:rsidR="00243DA5" w:rsidRDefault="00243DA5" w:rsidP="00243DA5">
      <w:r>
        <w:t xml:space="preserve">The proportion of Australia’s </w:t>
      </w:r>
      <w:proofErr w:type="spellStart"/>
      <w:r>
        <w:t>sheepmeat</w:t>
      </w:r>
      <w:proofErr w:type="spellEnd"/>
      <w:r>
        <w:t xml:space="preserve"> production that is exported is somewhat lower at about 64%.  In 2020/21, China and the US accounted for 51% of Australia’s </w:t>
      </w:r>
      <w:proofErr w:type="spellStart"/>
      <w:r>
        <w:t>sheepmeat</w:t>
      </w:r>
      <w:proofErr w:type="spellEnd"/>
      <w:r>
        <w:t xml:space="preserve"> exports.  Approximately 1m head were exported as live sheep to Middle Eastern countries.</w:t>
      </w:r>
    </w:p>
    <w:p w14:paraId="33E60E76" w14:textId="77777777" w:rsidR="00243DA5" w:rsidRDefault="00243DA5" w:rsidP="00243DA5"/>
    <w:p w14:paraId="1BC5A00F" w14:textId="77777777" w:rsidR="00243DA5" w:rsidRDefault="00243DA5" w:rsidP="00243DA5">
      <w:r>
        <w:lastRenderedPageBreak/>
        <w:t xml:space="preserve">The peak industry body representing Australia’s livestock export sector is the </w:t>
      </w:r>
      <w:bookmarkStart w:id="43" w:name="_Hlk83134495"/>
      <w:r>
        <w:t>Australian Livestock Exporters’ Council (ALEC)</w:t>
      </w:r>
      <w:bookmarkEnd w:id="43"/>
      <w:r>
        <w:t xml:space="preserve">, which is responsible for determining industry policy, providing strategic </w:t>
      </w:r>
      <w:proofErr w:type="gramStart"/>
      <w:r>
        <w:t>direction</w:t>
      </w:r>
      <w:proofErr w:type="gramEnd"/>
      <w:r>
        <w:t xml:space="preserve"> and representing Australia's livestock export trade both nationally and across the world.</w:t>
      </w:r>
    </w:p>
    <w:p w14:paraId="079A151A" w14:textId="77777777" w:rsidR="00243DA5" w:rsidRDefault="00243DA5"/>
    <w:p w14:paraId="3D283C05" w14:textId="77777777" w:rsidR="00BE0734" w:rsidRDefault="00BE0734" w:rsidP="00577199">
      <w:pPr>
        <w:pStyle w:val="Heading2"/>
      </w:pPr>
      <w:bookmarkStart w:id="44" w:name="_Toc95983382"/>
      <w:r w:rsidRPr="00AD3A22">
        <w:t>Consumers</w:t>
      </w:r>
      <w:bookmarkEnd w:id="44"/>
    </w:p>
    <w:p w14:paraId="4B9360C9" w14:textId="77777777" w:rsidR="002A6B7B" w:rsidRPr="00AD3A22" w:rsidRDefault="002A6B7B">
      <w:pPr>
        <w:rPr>
          <w:b/>
          <w:bCs/>
        </w:rPr>
      </w:pPr>
    </w:p>
    <w:p w14:paraId="6FF4D81B" w14:textId="4D5A2A47" w:rsidR="00340AED" w:rsidRDefault="00471507" w:rsidP="00340AED">
      <w:r>
        <w:t xml:space="preserve">MLA’s State of the Industry Report (2020) noted that </w:t>
      </w:r>
      <w:r w:rsidR="00085926">
        <w:t xml:space="preserve">over </w:t>
      </w:r>
      <w:r w:rsidR="00F02451">
        <w:t xml:space="preserve">the </w:t>
      </w:r>
      <w:r w:rsidR="00085926">
        <w:t xml:space="preserve">most recent </w:t>
      </w:r>
      <w:r w:rsidR="00F02451">
        <w:t xml:space="preserve">year, 94% of Australian households had purchased fresh beef </w:t>
      </w:r>
      <w:r w:rsidR="007B73A1">
        <w:t xml:space="preserve">and 75% had purchased fresh lamb.  It also found that </w:t>
      </w:r>
      <w:r>
        <w:t>a range of factors influence purchasing decisions for red meat</w:t>
      </w:r>
      <w:r w:rsidR="00C65D43">
        <w:t xml:space="preserve">, with freshness, </w:t>
      </w:r>
      <w:proofErr w:type="gramStart"/>
      <w:r w:rsidR="00C65D43">
        <w:t>price</w:t>
      </w:r>
      <w:proofErr w:type="gramEnd"/>
      <w:r w:rsidR="00C65D43">
        <w:t xml:space="preserve"> and ease of preparation the </w:t>
      </w:r>
      <w:r w:rsidR="00B05638">
        <w:t>main</w:t>
      </w:r>
      <w:r w:rsidR="00C65D43">
        <w:t xml:space="preserve"> factors.</w:t>
      </w:r>
      <w:r w:rsidR="00340AED">
        <w:t xml:space="preserve">   </w:t>
      </w:r>
    </w:p>
    <w:p w14:paraId="1F1382E4" w14:textId="77777777" w:rsidR="006F3A20" w:rsidRDefault="006F3A20" w:rsidP="002D4CE2"/>
    <w:p w14:paraId="4A911AB4" w14:textId="589290A5" w:rsidR="00DD52CC" w:rsidRDefault="00D1587F" w:rsidP="00DD52CC">
      <w:r>
        <w:t xml:space="preserve">According to a </w:t>
      </w:r>
      <w:r w:rsidR="009F1A68" w:rsidRPr="004C7BF0">
        <w:t>survey</w:t>
      </w:r>
      <w:r>
        <w:t xml:space="preserve"> conducted by MLA in 2020, two in three </w:t>
      </w:r>
      <w:r w:rsidRPr="00BE0734">
        <w:t>Australians feel good about the beef and lamb industry</w:t>
      </w:r>
      <w:r w:rsidR="004F358B">
        <w:t xml:space="preserve">, becoming </w:t>
      </w:r>
      <w:r w:rsidRPr="00BE0734">
        <w:t>more positive about its impact on society and the environment</w:t>
      </w:r>
      <w:r w:rsidR="009F1A68">
        <w:rPr>
          <w:rStyle w:val="FootnoteReference"/>
        </w:rPr>
        <w:footnoteReference w:id="26"/>
      </w:r>
      <w:r w:rsidRPr="00BE0734">
        <w:t xml:space="preserve">. More than </w:t>
      </w:r>
      <w:r w:rsidR="004F358B">
        <w:t>half</w:t>
      </w:r>
      <w:r w:rsidRPr="00BE0734">
        <w:t xml:space="preserve"> Australians agree that producers are ethical and trustworthy, that farming is humane, and that the industry is sustainable and doing all it can do reduce its environmental impact.</w:t>
      </w:r>
      <w:r w:rsidR="004F358B">
        <w:t xml:space="preserve"> </w:t>
      </w:r>
      <w:r w:rsidR="006264CB">
        <w:t>However, d</w:t>
      </w:r>
      <w:r w:rsidR="00AB4584">
        <w:t>espite becoming increasingly important to Australian consumers</w:t>
      </w:r>
      <w:r w:rsidR="006264CB">
        <w:t xml:space="preserve">, </w:t>
      </w:r>
      <w:r w:rsidR="00AB4584">
        <w:t>s</w:t>
      </w:r>
      <w:r w:rsidR="00DD52CC">
        <w:t>ustainability and animal welfare considerations are typically not paramount in the purchasing decision.</w:t>
      </w:r>
    </w:p>
    <w:p w14:paraId="3BBA35DF" w14:textId="77777777" w:rsidR="00D1587F" w:rsidRDefault="00D1587F" w:rsidP="00340AED"/>
    <w:p w14:paraId="71B1749D" w14:textId="4F3A9CC4" w:rsidR="00C02E45" w:rsidRDefault="00E76416" w:rsidP="00340AED">
      <w:r>
        <w:t xml:space="preserve">The increasing importance </w:t>
      </w:r>
      <w:r w:rsidR="00C02E45">
        <w:t xml:space="preserve">to consumers </w:t>
      </w:r>
      <w:r>
        <w:t xml:space="preserve">of sustainability and welfare are </w:t>
      </w:r>
      <w:r w:rsidR="00C02E45">
        <w:t xml:space="preserve">also </w:t>
      </w:r>
      <w:r>
        <w:t xml:space="preserve">reflected </w:t>
      </w:r>
      <w:r w:rsidR="00C02E45">
        <w:t>in Australia’s export markets</w:t>
      </w:r>
      <w:r w:rsidR="00271351">
        <w:t xml:space="preserve"> for both </w:t>
      </w:r>
      <w:r w:rsidR="009F1A68" w:rsidRPr="00D30408">
        <w:t>beef</w:t>
      </w:r>
      <w:r w:rsidR="009F1A68">
        <w:rPr>
          <w:rStyle w:val="FootnoteReference"/>
        </w:rPr>
        <w:footnoteReference w:id="27"/>
      </w:r>
      <w:r w:rsidR="00271351">
        <w:t xml:space="preserve"> and </w:t>
      </w:r>
      <w:r w:rsidR="009F1A68" w:rsidRPr="00D30408">
        <w:t>sheep meat</w:t>
      </w:r>
      <w:r w:rsidR="009F1A68">
        <w:rPr>
          <w:rStyle w:val="FootnoteReference"/>
        </w:rPr>
        <w:footnoteReference w:id="28"/>
      </w:r>
      <w:r w:rsidR="002D0578">
        <w:t xml:space="preserve">, where there is growing consumer interest </w:t>
      </w:r>
      <w:r w:rsidR="00BF26A0" w:rsidRPr="00BF26A0">
        <w:t>and awareness of provenance, sustainability, animal welfare, food safety and traceability</w:t>
      </w:r>
      <w:r w:rsidR="00BF26A0">
        <w:t>.</w:t>
      </w:r>
      <w:r w:rsidR="00A83539">
        <w:t xml:space="preserve">  MLA has identified the key factors influencing consumer choice for beef and sheep</w:t>
      </w:r>
      <w:r w:rsidR="005348E3">
        <w:t xml:space="preserve"> </w:t>
      </w:r>
      <w:r w:rsidR="00A83539">
        <w:t xml:space="preserve">meat in some of Australia’s </w:t>
      </w:r>
      <w:r w:rsidR="008D0362">
        <w:t>main export markets (box).</w:t>
      </w:r>
    </w:p>
    <w:p w14:paraId="3FD3AB9D" w14:textId="77777777" w:rsidR="00BD62DD" w:rsidRDefault="00BD62DD" w:rsidP="001663D3"/>
    <w:tbl>
      <w:tblPr>
        <w:tblStyle w:val="TableGrid"/>
        <w:tblW w:w="0" w:type="auto"/>
        <w:tblLook w:val="04A0" w:firstRow="1" w:lastRow="0" w:firstColumn="1" w:lastColumn="0" w:noHBand="0" w:noVBand="1"/>
      </w:tblPr>
      <w:tblGrid>
        <w:gridCol w:w="4571"/>
        <w:gridCol w:w="4341"/>
      </w:tblGrid>
      <w:tr w:rsidR="000313E0" w14:paraId="454CDB58" w14:textId="77777777" w:rsidTr="00CE5465">
        <w:tc>
          <w:tcPr>
            <w:tcW w:w="4326" w:type="dxa"/>
          </w:tcPr>
          <w:p w14:paraId="53551A39" w14:textId="733E55A9" w:rsidR="00CD5C6D" w:rsidRDefault="000313E0" w:rsidP="00650F52">
            <w:pPr>
              <w:spacing w:before="120"/>
            </w:pPr>
            <w:r w:rsidRPr="007F3183">
              <w:rPr>
                <w:noProof/>
                <w:lang w:eastAsia="en-AU"/>
              </w:rPr>
              <w:drawing>
                <wp:inline distT="0" distB="0" distL="0" distR="0" wp14:anchorId="0D78CD01" wp14:editId="6E5D69FD">
                  <wp:extent cx="2765633" cy="149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0485" cy="1503456"/>
                          </a:xfrm>
                          <a:prstGeom prst="rect">
                            <a:avLst/>
                          </a:prstGeom>
                        </pic:spPr>
                      </pic:pic>
                    </a:graphicData>
                  </a:graphic>
                </wp:inline>
              </w:drawing>
            </w:r>
          </w:p>
        </w:tc>
        <w:tc>
          <w:tcPr>
            <w:tcW w:w="4326" w:type="dxa"/>
          </w:tcPr>
          <w:p w14:paraId="02DBCCCF" w14:textId="77777777" w:rsidR="000313E0" w:rsidRPr="007F3183" w:rsidRDefault="000313E0" w:rsidP="00E26B17">
            <w:pPr>
              <w:spacing w:before="120"/>
              <w:rPr>
                <w:noProof/>
              </w:rPr>
            </w:pPr>
            <w:r>
              <w:rPr>
                <w:noProof/>
                <w:lang w:eastAsia="en-AU"/>
              </w:rPr>
              <w:drawing>
                <wp:inline distT="0" distB="0" distL="0" distR="0" wp14:anchorId="10B80BD2" wp14:editId="7FAA22F8">
                  <wp:extent cx="2619375" cy="143838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6531" cy="1447807"/>
                          </a:xfrm>
                          <a:prstGeom prst="rect">
                            <a:avLst/>
                          </a:prstGeom>
                        </pic:spPr>
                      </pic:pic>
                    </a:graphicData>
                  </a:graphic>
                </wp:inline>
              </w:drawing>
            </w:r>
          </w:p>
        </w:tc>
      </w:tr>
      <w:tr w:rsidR="00E26B17" w14:paraId="103CD6DC" w14:textId="77777777" w:rsidTr="00CE5465">
        <w:tc>
          <w:tcPr>
            <w:tcW w:w="4326" w:type="dxa"/>
          </w:tcPr>
          <w:p w14:paraId="3109E667" w14:textId="0D0B1F9F" w:rsidR="00E26B17" w:rsidRPr="007F3183" w:rsidRDefault="00E26B17" w:rsidP="00E26B17">
            <w:pPr>
              <w:rPr>
                <w:noProof/>
                <w:lang w:eastAsia="en-AU"/>
              </w:rPr>
            </w:pPr>
            <w:r w:rsidRPr="00E26B17">
              <w:rPr>
                <w:noProof/>
                <w:sz w:val="16"/>
                <w:szCs w:val="16"/>
                <w:lang w:eastAsia="en-AU"/>
              </w:rPr>
              <w:t>https://www.mla.com.au/globalassets/mla-corporate/prices--markets/documents/os-markets/red-meat-market-snapshots/2021/global-beef-industry-and-trade-report.pdf</w:t>
            </w:r>
          </w:p>
        </w:tc>
        <w:tc>
          <w:tcPr>
            <w:tcW w:w="4326" w:type="dxa"/>
          </w:tcPr>
          <w:p w14:paraId="63D8D3A9" w14:textId="4D240C51" w:rsidR="00E26B17" w:rsidRDefault="009A5F60" w:rsidP="00650F52">
            <w:pPr>
              <w:rPr>
                <w:noProof/>
                <w:lang w:eastAsia="en-AU"/>
              </w:rPr>
            </w:pPr>
            <w:hyperlink r:id="rId22" w:history="1">
              <w:r w:rsidR="00D501F8" w:rsidRPr="00707AC0">
                <w:rPr>
                  <w:rStyle w:val="Hyperlink"/>
                  <w:noProof/>
                  <w:sz w:val="16"/>
                  <w:szCs w:val="16"/>
                  <w:lang w:eastAsia="en-AU"/>
                </w:rPr>
                <w:t>https://www.mla.com.au/globalassets/mla-corporate/prices--markets/documents/os-markets/red-meat-market-snapshots/2021/global-sheep-industry-and-trade-report.pdf</w:t>
              </w:r>
            </w:hyperlink>
          </w:p>
        </w:tc>
      </w:tr>
    </w:tbl>
    <w:p w14:paraId="30879703" w14:textId="2637D38D" w:rsidR="0054023A" w:rsidRDefault="0054023A" w:rsidP="00BD62DD"/>
    <w:p w14:paraId="2C3708C8" w14:textId="77777777" w:rsidR="00D0395B" w:rsidRDefault="00D0395B" w:rsidP="003C10FE"/>
    <w:p w14:paraId="1E4BF5CF" w14:textId="77777777" w:rsidR="00AC6B62" w:rsidRDefault="00AC6B62">
      <w:pPr>
        <w:rPr>
          <w:rFonts w:asciiTheme="majorHAnsi" w:eastAsiaTheme="majorEastAsia" w:hAnsiTheme="majorHAnsi" w:cstheme="majorBidi"/>
          <w:color w:val="1F3B15" w:themeColor="accent1" w:themeShade="BF"/>
          <w:sz w:val="32"/>
          <w:szCs w:val="32"/>
        </w:rPr>
      </w:pPr>
      <w:r>
        <w:br w:type="page"/>
      </w:r>
    </w:p>
    <w:p w14:paraId="6DF70723" w14:textId="1EB4CB36" w:rsidR="00BF58CD" w:rsidRDefault="00BF58CD" w:rsidP="00577199">
      <w:pPr>
        <w:pStyle w:val="Heading1"/>
      </w:pPr>
      <w:bookmarkStart w:id="45" w:name="_Ref92198412"/>
      <w:bookmarkStart w:id="46" w:name="_Ref92198414"/>
      <w:bookmarkStart w:id="47" w:name="_Toc95983383"/>
      <w:r w:rsidRPr="00BF58CD">
        <w:lastRenderedPageBreak/>
        <w:t>Traceability</w:t>
      </w:r>
      <w:bookmarkEnd w:id="45"/>
      <w:bookmarkEnd w:id="46"/>
      <w:r w:rsidR="003B5666">
        <w:t xml:space="preserve"> and associated applications</w:t>
      </w:r>
      <w:bookmarkEnd w:id="47"/>
    </w:p>
    <w:p w14:paraId="5F8D10CD" w14:textId="77777777" w:rsidR="00646B25" w:rsidRPr="00BF58CD" w:rsidRDefault="00646B25" w:rsidP="004B71D2">
      <w:pPr>
        <w:keepNext/>
        <w:keepLines/>
        <w:rPr>
          <w:b/>
          <w:bCs/>
        </w:rPr>
      </w:pPr>
    </w:p>
    <w:p w14:paraId="21FBB1FC" w14:textId="78EBEE76" w:rsidR="0021172A" w:rsidRDefault="0021172A" w:rsidP="0021172A">
      <w:pPr>
        <w:pStyle w:val="Heading2"/>
      </w:pPr>
      <w:bookmarkStart w:id="48" w:name="_Toc95983384"/>
      <w:r>
        <w:t>Traceability</w:t>
      </w:r>
      <w:bookmarkEnd w:id="48"/>
    </w:p>
    <w:p w14:paraId="0E282D2A" w14:textId="77777777" w:rsidR="0021172A" w:rsidRDefault="0021172A" w:rsidP="00646B25"/>
    <w:p w14:paraId="01FB528C" w14:textId="38D9B862" w:rsidR="004C6926" w:rsidRDefault="004C6926" w:rsidP="00191A82">
      <w:r w:rsidRPr="00945097">
        <w:t xml:space="preserve">Food </w:t>
      </w:r>
      <w:r w:rsidR="00DF0335">
        <w:t xml:space="preserve">Standards Australia has provided a comprehensive definition of </w:t>
      </w:r>
      <w:r w:rsidR="00EE1B5C">
        <w:t xml:space="preserve">food </w:t>
      </w:r>
      <w:r w:rsidR="00DF0335">
        <w:t>traceabil</w:t>
      </w:r>
      <w:r w:rsidR="00EE1B5C">
        <w:t>i</w:t>
      </w:r>
      <w:r w:rsidR="00DF0335">
        <w:t>ty</w:t>
      </w:r>
      <w:r w:rsidR="00EE1B5C">
        <w:t xml:space="preserve"> and its essential features (box):</w:t>
      </w:r>
      <w:r w:rsidR="00DF0335">
        <w:t xml:space="preserve"> </w:t>
      </w:r>
    </w:p>
    <w:p w14:paraId="219A738B" w14:textId="01ADBA8A" w:rsidR="004C6926" w:rsidRDefault="004C6926" w:rsidP="00191A82"/>
    <w:tbl>
      <w:tblPr>
        <w:tblStyle w:val="TableGrid"/>
        <w:tblW w:w="0" w:type="auto"/>
        <w:tblLook w:val="04A0" w:firstRow="1" w:lastRow="0" w:firstColumn="1" w:lastColumn="0" w:noHBand="0" w:noVBand="1"/>
      </w:tblPr>
      <w:tblGrid>
        <w:gridCol w:w="9016"/>
      </w:tblGrid>
      <w:tr w:rsidR="00165176" w:rsidRPr="00165176" w14:paraId="69FDACCA" w14:textId="77777777" w:rsidTr="00096403">
        <w:trPr>
          <w:trHeight w:val="7347"/>
        </w:trPr>
        <w:tc>
          <w:tcPr>
            <w:tcW w:w="9016" w:type="dxa"/>
            <w:shd w:val="clear" w:color="auto" w:fill="D6E1DB" w:themeFill="text2" w:themeFillTint="33"/>
          </w:tcPr>
          <w:p w14:paraId="56C418FC" w14:textId="77777777" w:rsidR="00165176" w:rsidRPr="00165176" w:rsidRDefault="00165176" w:rsidP="00533798">
            <w:pPr>
              <w:pStyle w:val="Title"/>
              <w:ind w:left="0"/>
              <w:rPr>
                <w:sz w:val="16"/>
              </w:rPr>
            </w:pPr>
            <w:bookmarkStart w:id="49" w:name="_Hlk84079718"/>
            <w:r w:rsidRPr="00165176">
              <w:rPr>
                <w:color w:val="778133"/>
                <w:sz w:val="16"/>
              </w:rPr>
              <w:t>Food</w:t>
            </w:r>
            <w:r w:rsidRPr="00165176">
              <w:rPr>
                <w:color w:val="778133"/>
                <w:spacing w:val="8"/>
                <w:sz w:val="16"/>
              </w:rPr>
              <w:t xml:space="preserve"> </w:t>
            </w:r>
            <w:r w:rsidRPr="00165176">
              <w:rPr>
                <w:color w:val="778133"/>
                <w:sz w:val="16"/>
              </w:rPr>
              <w:t>traceability</w:t>
            </w:r>
          </w:p>
          <w:p w14:paraId="3BFF5217" w14:textId="77777777" w:rsidR="00165176" w:rsidRPr="00165176" w:rsidRDefault="00165176" w:rsidP="00533798">
            <w:pPr>
              <w:pStyle w:val="BodyText"/>
              <w:spacing w:before="137"/>
              <w:rPr>
                <w:sz w:val="16"/>
              </w:rPr>
            </w:pPr>
            <w:r w:rsidRPr="00165176">
              <w:rPr>
                <w:color w:val="1B1B1B"/>
                <w:w w:val="105"/>
                <w:sz w:val="16"/>
              </w:rPr>
              <w:t>(January</w:t>
            </w:r>
            <w:r w:rsidRPr="00165176">
              <w:rPr>
                <w:color w:val="1B1B1B"/>
                <w:spacing w:val="-9"/>
                <w:w w:val="105"/>
                <w:sz w:val="16"/>
              </w:rPr>
              <w:t xml:space="preserve"> </w:t>
            </w:r>
            <w:r w:rsidRPr="00165176">
              <w:rPr>
                <w:color w:val="1B1B1B"/>
                <w:w w:val="105"/>
                <w:sz w:val="16"/>
              </w:rPr>
              <w:t>2017)</w:t>
            </w:r>
          </w:p>
          <w:p w14:paraId="4CFD0E54" w14:textId="1FCD508D" w:rsidR="00165176" w:rsidRPr="00165176" w:rsidRDefault="00165176" w:rsidP="00533798">
            <w:pPr>
              <w:pStyle w:val="BodyText"/>
              <w:spacing w:before="128"/>
              <w:jc w:val="both"/>
              <w:rPr>
                <w:sz w:val="16"/>
              </w:rPr>
            </w:pPr>
            <w:r w:rsidRPr="00165176">
              <w:rPr>
                <w:color w:val="1B1B1B"/>
                <w:w w:val="105"/>
                <w:sz w:val="16"/>
              </w:rPr>
              <w:t>Traceability</w:t>
            </w:r>
            <w:r w:rsidRPr="00165176">
              <w:rPr>
                <w:color w:val="1B1B1B"/>
                <w:spacing w:val="-8"/>
                <w:w w:val="105"/>
                <w:sz w:val="16"/>
              </w:rPr>
              <w:t xml:space="preserve"> </w:t>
            </w:r>
            <w:r w:rsidRPr="00165176">
              <w:rPr>
                <w:color w:val="1B1B1B"/>
                <w:w w:val="105"/>
                <w:sz w:val="16"/>
              </w:rPr>
              <w:t>is</w:t>
            </w:r>
            <w:r w:rsidRPr="00165176">
              <w:rPr>
                <w:color w:val="1B1B1B"/>
                <w:spacing w:val="-8"/>
                <w:w w:val="105"/>
                <w:sz w:val="16"/>
              </w:rPr>
              <w:t xml:space="preserve"> </w:t>
            </w:r>
            <w:r w:rsidRPr="00165176">
              <w:rPr>
                <w:color w:val="1B1B1B"/>
                <w:w w:val="105"/>
                <w:sz w:val="16"/>
              </w:rPr>
              <w:t>the</w:t>
            </w:r>
            <w:r w:rsidRPr="00165176">
              <w:rPr>
                <w:color w:val="1B1B1B"/>
                <w:spacing w:val="-8"/>
                <w:w w:val="105"/>
                <w:sz w:val="16"/>
              </w:rPr>
              <w:t xml:space="preserve"> </w:t>
            </w:r>
            <w:r w:rsidRPr="00165176">
              <w:rPr>
                <w:color w:val="1B1B1B"/>
                <w:w w:val="105"/>
                <w:sz w:val="16"/>
              </w:rPr>
              <w:t>ability</w:t>
            </w:r>
            <w:r w:rsidRPr="00165176">
              <w:rPr>
                <w:color w:val="1B1B1B"/>
                <w:spacing w:val="-7"/>
                <w:w w:val="105"/>
                <w:sz w:val="16"/>
              </w:rPr>
              <w:t xml:space="preserve"> </w:t>
            </w:r>
            <w:r w:rsidRPr="00165176">
              <w:rPr>
                <w:color w:val="1B1B1B"/>
                <w:w w:val="105"/>
                <w:sz w:val="16"/>
              </w:rPr>
              <w:t>to</w:t>
            </w:r>
            <w:r w:rsidRPr="00165176">
              <w:rPr>
                <w:color w:val="1B1B1B"/>
                <w:spacing w:val="-8"/>
                <w:w w:val="105"/>
                <w:sz w:val="16"/>
              </w:rPr>
              <w:t xml:space="preserve"> </w:t>
            </w:r>
            <w:r w:rsidRPr="00165176">
              <w:rPr>
                <w:color w:val="1B1B1B"/>
                <w:w w:val="105"/>
                <w:sz w:val="16"/>
              </w:rPr>
              <w:t>track</w:t>
            </w:r>
            <w:r w:rsidRPr="00165176">
              <w:rPr>
                <w:color w:val="1B1B1B"/>
                <w:spacing w:val="-8"/>
                <w:w w:val="105"/>
                <w:sz w:val="16"/>
              </w:rPr>
              <w:t xml:space="preserve"> </w:t>
            </w:r>
            <w:r w:rsidRPr="00165176">
              <w:rPr>
                <w:color w:val="1B1B1B"/>
                <w:w w:val="105"/>
                <w:sz w:val="16"/>
              </w:rPr>
              <w:t>any</w:t>
            </w:r>
            <w:r w:rsidRPr="00165176">
              <w:rPr>
                <w:color w:val="1B1B1B"/>
                <w:spacing w:val="-8"/>
                <w:w w:val="105"/>
                <w:sz w:val="16"/>
              </w:rPr>
              <w:t xml:space="preserve"> </w:t>
            </w:r>
            <w:r w:rsidRPr="00165176">
              <w:rPr>
                <w:color w:val="1B1B1B"/>
                <w:w w:val="105"/>
                <w:sz w:val="16"/>
              </w:rPr>
              <w:t>food</w:t>
            </w:r>
            <w:r w:rsidRPr="00165176">
              <w:rPr>
                <w:color w:val="1B1B1B"/>
                <w:spacing w:val="-7"/>
                <w:w w:val="105"/>
                <w:sz w:val="16"/>
              </w:rPr>
              <w:t xml:space="preserve"> </w:t>
            </w:r>
            <w:r w:rsidRPr="00165176">
              <w:rPr>
                <w:color w:val="1B1B1B"/>
                <w:w w:val="105"/>
                <w:sz w:val="16"/>
              </w:rPr>
              <w:t>through</w:t>
            </w:r>
            <w:r w:rsidRPr="00165176">
              <w:rPr>
                <w:color w:val="1B1B1B"/>
                <w:spacing w:val="-8"/>
                <w:w w:val="105"/>
                <w:sz w:val="16"/>
              </w:rPr>
              <w:t xml:space="preserve"> </w:t>
            </w:r>
            <w:r w:rsidRPr="00165176">
              <w:rPr>
                <w:color w:val="1B1B1B"/>
                <w:w w:val="105"/>
                <w:sz w:val="16"/>
              </w:rPr>
              <w:t>all</w:t>
            </w:r>
            <w:r w:rsidRPr="00165176">
              <w:rPr>
                <w:color w:val="1B1B1B"/>
                <w:spacing w:val="-8"/>
                <w:w w:val="105"/>
                <w:sz w:val="16"/>
              </w:rPr>
              <w:t xml:space="preserve"> </w:t>
            </w:r>
            <w:r w:rsidRPr="00165176">
              <w:rPr>
                <w:color w:val="1B1B1B"/>
                <w:w w:val="105"/>
                <w:sz w:val="16"/>
              </w:rPr>
              <w:t>stages</w:t>
            </w:r>
            <w:r w:rsidRPr="00165176">
              <w:rPr>
                <w:color w:val="1B1B1B"/>
                <w:spacing w:val="-7"/>
                <w:w w:val="105"/>
                <w:sz w:val="16"/>
              </w:rPr>
              <w:t xml:space="preserve"> </w:t>
            </w:r>
            <w:r w:rsidRPr="00165176">
              <w:rPr>
                <w:color w:val="1B1B1B"/>
                <w:w w:val="105"/>
                <w:sz w:val="16"/>
              </w:rPr>
              <w:t>of</w:t>
            </w:r>
            <w:r w:rsidRPr="00165176">
              <w:rPr>
                <w:color w:val="1B1B1B"/>
                <w:spacing w:val="-8"/>
                <w:w w:val="105"/>
                <w:sz w:val="16"/>
              </w:rPr>
              <w:t xml:space="preserve"> </w:t>
            </w:r>
            <w:r w:rsidRPr="00165176">
              <w:rPr>
                <w:color w:val="1B1B1B"/>
                <w:w w:val="105"/>
                <w:sz w:val="16"/>
              </w:rPr>
              <w:t>production,</w:t>
            </w:r>
            <w:r w:rsidRPr="00165176">
              <w:rPr>
                <w:color w:val="1B1B1B"/>
                <w:spacing w:val="-8"/>
                <w:w w:val="105"/>
                <w:sz w:val="16"/>
              </w:rPr>
              <w:t xml:space="preserve"> </w:t>
            </w:r>
            <w:proofErr w:type="gramStart"/>
            <w:r w:rsidRPr="00165176">
              <w:rPr>
                <w:color w:val="1B1B1B"/>
                <w:w w:val="105"/>
                <w:sz w:val="16"/>
              </w:rPr>
              <w:t>processing</w:t>
            </w:r>
            <w:proofErr w:type="gramEnd"/>
            <w:r w:rsidRPr="00165176">
              <w:rPr>
                <w:color w:val="1B1B1B"/>
                <w:spacing w:val="-8"/>
                <w:w w:val="105"/>
                <w:sz w:val="16"/>
              </w:rPr>
              <w:t xml:space="preserve"> </w:t>
            </w:r>
            <w:r w:rsidRPr="00165176">
              <w:rPr>
                <w:color w:val="1B1B1B"/>
                <w:w w:val="105"/>
                <w:sz w:val="16"/>
              </w:rPr>
              <w:t>and</w:t>
            </w:r>
            <w:r w:rsidRPr="00165176">
              <w:rPr>
                <w:color w:val="1B1B1B"/>
                <w:spacing w:val="-7"/>
                <w:w w:val="105"/>
                <w:sz w:val="16"/>
              </w:rPr>
              <w:t xml:space="preserve"> </w:t>
            </w:r>
            <w:r w:rsidRPr="00165176">
              <w:rPr>
                <w:color w:val="1B1B1B"/>
                <w:w w:val="105"/>
                <w:sz w:val="16"/>
              </w:rPr>
              <w:t>distribution</w:t>
            </w:r>
            <w:r w:rsidRPr="00165176">
              <w:rPr>
                <w:color w:val="1B1B1B"/>
                <w:spacing w:val="-8"/>
                <w:w w:val="105"/>
                <w:sz w:val="16"/>
              </w:rPr>
              <w:t xml:space="preserve"> </w:t>
            </w:r>
            <w:r w:rsidRPr="00165176">
              <w:rPr>
                <w:color w:val="1B1B1B"/>
                <w:w w:val="105"/>
                <w:sz w:val="16"/>
              </w:rPr>
              <w:t>(including</w:t>
            </w:r>
            <w:r w:rsidRPr="00165176">
              <w:rPr>
                <w:color w:val="1B1B1B"/>
                <w:spacing w:val="-8"/>
                <w:w w:val="105"/>
                <w:sz w:val="16"/>
              </w:rPr>
              <w:t xml:space="preserve"> </w:t>
            </w:r>
            <w:r w:rsidRPr="00165176">
              <w:rPr>
                <w:color w:val="1B1B1B"/>
                <w:w w:val="105"/>
                <w:sz w:val="16"/>
              </w:rPr>
              <w:t>importation</w:t>
            </w:r>
            <w:r w:rsidRPr="00165176">
              <w:rPr>
                <w:color w:val="1B1B1B"/>
                <w:spacing w:val="-8"/>
                <w:w w:val="105"/>
                <w:sz w:val="16"/>
              </w:rPr>
              <w:t xml:space="preserve"> </w:t>
            </w:r>
            <w:r w:rsidRPr="00165176">
              <w:rPr>
                <w:color w:val="1B1B1B"/>
                <w:w w:val="105"/>
                <w:sz w:val="16"/>
              </w:rPr>
              <w:t>and</w:t>
            </w:r>
            <w:r w:rsidRPr="00165176">
              <w:rPr>
                <w:color w:val="1B1B1B"/>
                <w:spacing w:val="-7"/>
                <w:w w:val="105"/>
                <w:sz w:val="16"/>
              </w:rPr>
              <w:t xml:space="preserve"> </w:t>
            </w:r>
            <w:r w:rsidRPr="00165176">
              <w:rPr>
                <w:color w:val="1B1B1B"/>
                <w:w w:val="105"/>
                <w:sz w:val="16"/>
              </w:rPr>
              <w:t>at</w:t>
            </w:r>
            <w:r w:rsidRPr="00165176">
              <w:rPr>
                <w:color w:val="1B1B1B"/>
                <w:spacing w:val="1"/>
                <w:w w:val="105"/>
                <w:sz w:val="16"/>
              </w:rPr>
              <w:t xml:space="preserve"> </w:t>
            </w:r>
            <w:r w:rsidRPr="00165176">
              <w:rPr>
                <w:color w:val="1B1B1B"/>
                <w:w w:val="105"/>
                <w:sz w:val="16"/>
              </w:rPr>
              <w:t>retail).</w:t>
            </w:r>
            <w:r w:rsidRPr="00165176">
              <w:rPr>
                <w:color w:val="1B1B1B"/>
                <w:spacing w:val="-8"/>
                <w:w w:val="105"/>
                <w:sz w:val="16"/>
              </w:rPr>
              <w:t xml:space="preserve"> </w:t>
            </w:r>
            <w:r w:rsidRPr="00165176">
              <w:rPr>
                <w:color w:val="1B1B1B"/>
                <w:w w:val="105"/>
                <w:sz w:val="16"/>
              </w:rPr>
              <w:t>Traceability</w:t>
            </w:r>
            <w:r w:rsidRPr="00165176">
              <w:rPr>
                <w:color w:val="1B1B1B"/>
                <w:spacing w:val="-8"/>
                <w:w w:val="105"/>
                <w:sz w:val="16"/>
              </w:rPr>
              <w:t xml:space="preserve"> </w:t>
            </w:r>
            <w:r w:rsidRPr="00165176">
              <w:rPr>
                <w:color w:val="1B1B1B"/>
                <w:w w:val="105"/>
                <w:sz w:val="16"/>
              </w:rPr>
              <w:t>should</w:t>
            </w:r>
            <w:r w:rsidRPr="00165176">
              <w:rPr>
                <w:color w:val="1B1B1B"/>
                <w:spacing w:val="-8"/>
                <w:w w:val="105"/>
                <w:sz w:val="16"/>
              </w:rPr>
              <w:t xml:space="preserve"> </w:t>
            </w:r>
            <w:r w:rsidRPr="00165176">
              <w:rPr>
                <w:color w:val="1B1B1B"/>
                <w:w w:val="105"/>
                <w:sz w:val="16"/>
              </w:rPr>
              <w:t>mean</w:t>
            </w:r>
            <w:r w:rsidRPr="00165176">
              <w:rPr>
                <w:color w:val="1B1B1B"/>
                <w:spacing w:val="-8"/>
                <w:w w:val="105"/>
                <w:sz w:val="16"/>
              </w:rPr>
              <w:t xml:space="preserve"> </w:t>
            </w:r>
            <w:r w:rsidRPr="00165176">
              <w:rPr>
                <w:color w:val="1B1B1B"/>
                <w:w w:val="105"/>
                <w:sz w:val="16"/>
              </w:rPr>
              <w:t>that</w:t>
            </w:r>
            <w:r w:rsidRPr="00165176">
              <w:rPr>
                <w:color w:val="1B1B1B"/>
                <w:spacing w:val="-8"/>
                <w:w w:val="105"/>
                <w:sz w:val="16"/>
              </w:rPr>
              <w:t xml:space="preserve"> </w:t>
            </w:r>
            <w:r w:rsidRPr="00165176">
              <w:rPr>
                <w:color w:val="1B1B1B"/>
                <w:w w:val="105"/>
                <w:sz w:val="16"/>
              </w:rPr>
              <w:t>movements</w:t>
            </w:r>
            <w:r w:rsidRPr="00165176">
              <w:rPr>
                <w:color w:val="1B1B1B"/>
                <w:spacing w:val="-7"/>
                <w:w w:val="105"/>
                <w:sz w:val="16"/>
              </w:rPr>
              <w:t xml:space="preserve"> </w:t>
            </w:r>
            <w:r w:rsidRPr="00165176">
              <w:rPr>
                <w:color w:val="1B1B1B"/>
                <w:w w:val="105"/>
                <w:sz w:val="16"/>
              </w:rPr>
              <w:t>can</w:t>
            </w:r>
            <w:r w:rsidRPr="00165176">
              <w:rPr>
                <w:color w:val="1B1B1B"/>
                <w:spacing w:val="-8"/>
                <w:w w:val="105"/>
                <w:sz w:val="16"/>
              </w:rPr>
              <w:t xml:space="preserve"> </w:t>
            </w:r>
            <w:r w:rsidRPr="00165176">
              <w:rPr>
                <w:color w:val="1B1B1B"/>
                <w:w w:val="105"/>
                <w:sz w:val="16"/>
              </w:rPr>
              <w:t>be</w:t>
            </w:r>
            <w:r w:rsidRPr="00165176">
              <w:rPr>
                <w:color w:val="1B1B1B"/>
                <w:spacing w:val="-8"/>
                <w:w w:val="105"/>
                <w:sz w:val="16"/>
              </w:rPr>
              <w:t xml:space="preserve"> </w:t>
            </w:r>
            <w:r w:rsidRPr="00165176">
              <w:rPr>
                <w:color w:val="1B1B1B"/>
                <w:w w:val="105"/>
                <w:sz w:val="16"/>
              </w:rPr>
              <w:t>traced</w:t>
            </w:r>
            <w:r w:rsidRPr="00165176">
              <w:rPr>
                <w:color w:val="1B1B1B"/>
                <w:spacing w:val="-8"/>
                <w:w w:val="105"/>
                <w:sz w:val="16"/>
              </w:rPr>
              <w:t xml:space="preserve"> </w:t>
            </w:r>
            <w:r w:rsidRPr="00165176">
              <w:rPr>
                <w:color w:val="1B1B1B"/>
                <w:w w:val="105"/>
                <w:sz w:val="16"/>
              </w:rPr>
              <w:t>one</w:t>
            </w:r>
            <w:r w:rsidRPr="00165176">
              <w:rPr>
                <w:color w:val="1B1B1B"/>
                <w:spacing w:val="-8"/>
                <w:w w:val="105"/>
                <w:sz w:val="16"/>
              </w:rPr>
              <w:t xml:space="preserve"> </w:t>
            </w:r>
            <w:r w:rsidRPr="00165176">
              <w:rPr>
                <w:color w:val="1B1B1B"/>
                <w:w w:val="105"/>
                <w:sz w:val="16"/>
              </w:rPr>
              <w:t>step</w:t>
            </w:r>
            <w:r w:rsidRPr="00165176">
              <w:rPr>
                <w:color w:val="1B1B1B"/>
                <w:spacing w:val="-7"/>
                <w:w w:val="105"/>
                <w:sz w:val="16"/>
              </w:rPr>
              <w:t xml:space="preserve"> </w:t>
            </w:r>
            <w:r w:rsidRPr="00165176">
              <w:rPr>
                <w:color w:val="1B1B1B"/>
                <w:w w:val="105"/>
                <w:sz w:val="16"/>
              </w:rPr>
              <w:t>backwards</w:t>
            </w:r>
            <w:r w:rsidRPr="00165176">
              <w:rPr>
                <w:color w:val="1B1B1B"/>
                <w:spacing w:val="-8"/>
                <w:w w:val="105"/>
                <w:sz w:val="16"/>
              </w:rPr>
              <w:t xml:space="preserve"> </w:t>
            </w:r>
            <w:r w:rsidRPr="00165176">
              <w:rPr>
                <w:color w:val="1B1B1B"/>
                <w:w w:val="105"/>
                <w:sz w:val="16"/>
              </w:rPr>
              <w:t>and</w:t>
            </w:r>
            <w:r w:rsidRPr="00165176">
              <w:rPr>
                <w:color w:val="1B1B1B"/>
                <w:spacing w:val="-8"/>
                <w:w w:val="105"/>
                <w:sz w:val="16"/>
              </w:rPr>
              <w:t xml:space="preserve"> </w:t>
            </w:r>
            <w:r w:rsidRPr="00165176">
              <w:rPr>
                <w:color w:val="1B1B1B"/>
                <w:w w:val="105"/>
                <w:sz w:val="16"/>
              </w:rPr>
              <w:t>one</w:t>
            </w:r>
            <w:r w:rsidRPr="00165176">
              <w:rPr>
                <w:color w:val="1B1B1B"/>
                <w:spacing w:val="-8"/>
                <w:w w:val="105"/>
                <w:sz w:val="16"/>
              </w:rPr>
              <w:t xml:space="preserve"> </w:t>
            </w:r>
            <w:r w:rsidRPr="00165176">
              <w:rPr>
                <w:color w:val="1B1B1B"/>
                <w:w w:val="105"/>
                <w:sz w:val="16"/>
              </w:rPr>
              <w:t>step</w:t>
            </w:r>
            <w:r w:rsidRPr="00165176">
              <w:rPr>
                <w:color w:val="1B1B1B"/>
                <w:spacing w:val="-8"/>
                <w:w w:val="105"/>
                <w:sz w:val="16"/>
              </w:rPr>
              <w:t xml:space="preserve"> </w:t>
            </w:r>
            <w:r w:rsidRPr="00165176">
              <w:rPr>
                <w:color w:val="1B1B1B"/>
                <w:w w:val="105"/>
                <w:sz w:val="16"/>
              </w:rPr>
              <w:t>forward</w:t>
            </w:r>
            <w:r w:rsidRPr="00165176">
              <w:rPr>
                <w:color w:val="1B1B1B"/>
                <w:spacing w:val="-8"/>
                <w:w w:val="105"/>
                <w:sz w:val="16"/>
              </w:rPr>
              <w:t xml:space="preserve"> </w:t>
            </w:r>
            <w:r w:rsidRPr="00165176">
              <w:rPr>
                <w:color w:val="1B1B1B"/>
                <w:w w:val="105"/>
                <w:sz w:val="16"/>
              </w:rPr>
              <w:t>at</w:t>
            </w:r>
            <w:r w:rsidRPr="00165176">
              <w:rPr>
                <w:color w:val="1B1B1B"/>
                <w:spacing w:val="-7"/>
                <w:w w:val="105"/>
                <w:sz w:val="16"/>
              </w:rPr>
              <w:t xml:space="preserve"> </w:t>
            </w:r>
            <w:r w:rsidRPr="00165176">
              <w:rPr>
                <w:color w:val="1B1B1B"/>
                <w:w w:val="105"/>
                <w:sz w:val="16"/>
              </w:rPr>
              <w:t>any</w:t>
            </w:r>
            <w:r w:rsidRPr="00165176">
              <w:rPr>
                <w:color w:val="1B1B1B"/>
                <w:spacing w:val="-8"/>
                <w:w w:val="105"/>
                <w:sz w:val="16"/>
              </w:rPr>
              <w:t xml:space="preserve"> </w:t>
            </w:r>
            <w:r w:rsidRPr="00165176">
              <w:rPr>
                <w:color w:val="1B1B1B"/>
                <w:w w:val="105"/>
                <w:sz w:val="16"/>
              </w:rPr>
              <w:t>point</w:t>
            </w:r>
            <w:r w:rsidRPr="00165176">
              <w:rPr>
                <w:color w:val="1B1B1B"/>
                <w:spacing w:val="-8"/>
                <w:w w:val="105"/>
                <w:sz w:val="16"/>
              </w:rPr>
              <w:t xml:space="preserve"> </w:t>
            </w:r>
            <w:r w:rsidRPr="00165176">
              <w:rPr>
                <w:color w:val="1B1B1B"/>
                <w:w w:val="105"/>
                <w:sz w:val="16"/>
              </w:rPr>
              <w:t>in</w:t>
            </w:r>
            <w:r w:rsidRPr="00165176">
              <w:rPr>
                <w:color w:val="1B1B1B"/>
                <w:spacing w:val="-8"/>
                <w:w w:val="105"/>
                <w:sz w:val="16"/>
              </w:rPr>
              <w:t xml:space="preserve"> </w:t>
            </w:r>
            <w:r w:rsidRPr="00165176">
              <w:rPr>
                <w:color w:val="1B1B1B"/>
                <w:w w:val="105"/>
                <w:sz w:val="16"/>
              </w:rPr>
              <w:t>the</w:t>
            </w:r>
            <w:r w:rsidRPr="00165176">
              <w:rPr>
                <w:color w:val="1B1B1B"/>
                <w:spacing w:val="-8"/>
                <w:w w:val="105"/>
                <w:sz w:val="16"/>
              </w:rPr>
              <w:t xml:space="preserve"> </w:t>
            </w:r>
            <w:proofErr w:type="gramStart"/>
            <w:r w:rsidRPr="00165176">
              <w:rPr>
                <w:color w:val="1B1B1B"/>
                <w:w w:val="105"/>
                <w:sz w:val="16"/>
              </w:rPr>
              <w:t>supply</w:t>
            </w:r>
            <w:r w:rsidR="00BE394B">
              <w:rPr>
                <w:color w:val="1B1B1B"/>
                <w:w w:val="105"/>
                <w:sz w:val="16"/>
              </w:rPr>
              <w:t xml:space="preserve"> </w:t>
            </w:r>
            <w:r w:rsidRPr="00165176">
              <w:rPr>
                <w:color w:val="1B1B1B"/>
                <w:spacing w:val="-38"/>
                <w:w w:val="105"/>
                <w:sz w:val="16"/>
              </w:rPr>
              <w:t xml:space="preserve"> </w:t>
            </w:r>
            <w:r w:rsidRPr="00165176">
              <w:rPr>
                <w:color w:val="1B1B1B"/>
                <w:w w:val="105"/>
                <w:sz w:val="16"/>
              </w:rPr>
              <w:t>chain</w:t>
            </w:r>
            <w:proofErr w:type="gramEnd"/>
            <w:r w:rsidRPr="00165176">
              <w:rPr>
                <w:color w:val="1B1B1B"/>
                <w:w w:val="105"/>
                <w:sz w:val="16"/>
              </w:rPr>
              <w:t>.</w:t>
            </w:r>
          </w:p>
          <w:p w14:paraId="231B7B6B" w14:textId="77777777" w:rsidR="00165176" w:rsidRPr="00165176" w:rsidRDefault="00165176" w:rsidP="00533798">
            <w:pPr>
              <w:pStyle w:val="BodyText"/>
              <w:spacing w:before="114"/>
              <w:rPr>
                <w:sz w:val="16"/>
              </w:rPr>
            </w:pPr>
            <w:r w:rsidRPr="00165176">
              <w:rPr>
                <w:color w:val="1B1B1B"/>
                <w:w w:val="105"/>
                <w:sz w:val="16"/>
              </w:rPr>
              <w:t>For</w:t>
            </w:r>
            <w:r w:rsidRPr="00165176">
              <w:rPr>
                <w:color w:val="1B1B1B"/>
                <w:spacing w:val="-7"/>
                <w:w w:val="105"/>
                <w:sz w:val="16"/>
              </w:rPr>
              <w:t xml:space="preserve"> </w:t>
            </w:r>
            <w:r w:rsidRPr="00165176">
              <w:rPr>
                <w:color w:val="1B1B1B"/>
                <w:w w:val="105"/>
                <w:sz w:val="16"/>
              </w:rPr>
              <w:t>food</w:t>
            </w:r>
            <w:r w:rsidRPr="00165176">
              <w:rPr>
                <w:color w:val="1B1B1B"/>
                <w:spacing w:val="-7"/>
                <w:w w:val="105"/>
                <w:sz w:val="16"/>
              </w:rPr>
              <w:t xml:space="preserve"> </w:t>
            </w:r>
            <w:r w:rsidRPr="00165176">
              <w:rPr>
                <w:color w:val="1B1B1B"/>
                <w:w w:val="105"/>
                <w:sz w:val="16"/>
              </w:rPr>
              <w:t>processing</w:t>
            </w:r>
            <w:r w:rsidRPr="00165176">
              <w:rPr>
                <w:color w:val="1B1B1B"/>
                <w:spacing w:val="-7"/>
                <w:w w:val="105"/>
                <w:sz w:val="16"/>
              </w:rPr>
              <w:t xml:space="preserve"> </w:t>
            </w:r>
            <w:r w:rsidRPr="00165176">
              <w:rPr>
                <w:color w:val="1B1B1B"/>
                <w:w w:val="105"/>
                <w:sz w:val="16"/>
              </w:rPr>
              <w:t>businesses,</w:t>
            </w:r>
            <w:r w:rsidRPr="00165176">
              <w:rPr>
                <w:color w:val="1B1B1B"/>
                <w:spacing w:val="-7"/>
                <w:w w:val="105"/>
                <w:sz w:val="16"/>
              </w:rPr>
              <w:t xml:space="preserve"> </w:t>
            </w:r>
            <w:r w:rsidRPr="00165176">
              <w:rPr>
                <w:color w:val="1B1B1B"/>
                <w:w w:val="105"/>
                <w:sz w:val="16"/>
              </w:rPr>
              <w:t>traceability</w:t>
            </w:r>
            <w:r w:rsidRPr="00165176">
              <w:rPr>
                <w:color w:val="1B1B1B"/>
                <w:spacing w:val="-7"/>
                <w:w w:val="105"/>
                <w:sz w:val="16"/>
              </w:rPr>
              <w:t xml:space="preserve"> </w:t>
            </w:r>
            <w:r w:rsidRPr="00165176">
              <w:rPr>
                <w:color w:val="1B1B1B"/>
                <w:w w:val="105"/>
                <w:sz w:val="16"/>
              </w:rPr>
              <w:t>should</w:t>
            </w:r>
            <w:r w:rsidRPr="00165176">
              <w:rPr>
                <w:color w:val="1B1B1B"/>
                <w:spacing w:val="-7"/>
                <w:w w:val="105"/>
                <w:sz w:val="16"/>
              </w:rPr>
              <w:t xml:space="preserve"> </w:t>
            </w:r>
            <w:r w:rsidRPr="00165176">
              <w:rPr>
                <w:color w:val="1B1B1B"/>
                <w:w w:val="105"/>
                <w:sz w:val="16"/>
              </w:rPr>
              <w:t>extend</w:t>
            </w:r>
            <w:r w:rsidRPr="00165176">
              <w:rPr>
                <w:color w:val="1B1B1B"/>
                <w:spacing w:val="-6"/>
                <w:w w:val="105"/>
                <w:sz w:val="16"/>
              </w:rPr>
              <w:t xml:space="preserve"> </w:t>
            </w:r>
            <w:r w:rsidRPr="00165176">
              <w:rPr>
                <w:color w:val="1B1B1B"/>
                <w:w w:val="105"/>
                <w:sz w:val="16"/>
              </w:rPr>
              <w:t>to</w:t>
            </w:r>
            <w:r w:rsidRPr="00165176">
              <w:rPr>
                <w:color w:val="1B1B1B"/>
                <w:spacing w:val="-7"/>
                <w:w w:val="105"/>
                <w:sz w:val="16"/>
              </w:rPr>
              <w:t xml:space="preserve"> </w:t>
            </w:r>
            <w:r w:rsidRPr="00165176">
              <w:rPr>
                <w:color w:val="1B1B1B"/>
                <w:w w:val="105"/>
                <w:sz w:val="16"/>
              </w:rPr>
              <w:t>being</w:t>
            </w:r>
            <w:r w:rsidRPr="00165176">
              <w:rPr>
                <w:color w:val="1B1B1B"/>
                <w:spacing w:val="-7"/>
                <w:w w:val="105"/>
                <w:sz w:val="16"/>
              </w:rPr>
              <w:t xml:space="preserve"> </w:t>
            </w:r>
            <w:r w:rsidRPr="00165176">
              <w:rPr>
                <w:color w:val="1B1B1B"/>
                <w:w w:val="105"/>
                <w:sz w:val="16"/>
              </w:rPr>
              <w:t>able</w:t>
            </w:r>
            <w:r w:rsidRPr="00165176">
              <w:rPr>
                <w:color w:val="1B1B1B"/>
                <w:spacing w:val="-7"/>
                <w:w w:val="105"/>
                <w:sz w:val="16"/>
              </w:rPr>
              <w:t xml:space="preserve"> </w:t>
            </w:r>
            <w:r w:rsidRPr="00165176">
              <w:rPr>
                <w:color w:val="1B1B1B"/>
                <w:w w:val="105"/>
                <w:sz w:val="16"/>
              </w:rPr>
              <w:t>to</w:t>
            </w:r>
            <w:r w:rsidRPr="00165176">
              <w:rPr>
                <w:color w:val="1B1B1B"/>
                <w:spacing w:val="-7"/>
                <w:w w:val="105"/>
                <w:sz w:val="16"/>
              </w:rPr>
              <w:t xml:space="preserve"> </w:t>
            </w:r>
            <w:r w:rsidRPr="00165176">
              <w:rPr>
                <w:color w:val="1B1B1B"/>
                <w:w w:val="105"/>
                <w:sz w:val="16"/>
              </w:rPr>
              <w:t>identify</w:t>
            </w:r>
            <w:r w:rsidRPr="00165176">
              <w:rPr>
                <w:color w:val="1B1B1B"/>
                <w:spacing w:val="-7"/>
                <w:w w:val="105"/>
                <w:sz w:val="16"/>
              </w:rPr>
              <w:t xml:space="preserve"> </w:t>
            </w:r>
            <w:r w:rsidRPr="00165176">
              <w:rPr>
                <w:color w:val="1B1B1B"/>
                <w:w w:val="105"/>
                <w:sz w:val="16"/>
              </w:rPr>
              <w:t>the</w:t>
            </w:r>
            <w:r w:rsidRPr="00165176">
              <w:rPr>
                <w:color w:val="1B1B1B"/>
                <w:spacing w:val="-7"/>
                <w:w w:val="105"/>
                <w:sz w:val="16"/>
              </w:rPr>
              <w:t xml:space="preserve"> </w:t>
            </w:r>
            <w:r w:rsidRPr="00165176">
              <w:rPr>
                <w:color w:val="1B1B1B"/>
                <w:w w:val="105"/>
                <w:sz w:val="16"/>
              </w:rPr>
              <w:t>source</w:t>
            </w:r>
            <w:r w:rsidRPr="00165176">
              <w:rPr>
                <w:color w:val="1B1B1B"/>
                <w:spacing w:val="-6"/>
                <w:w w:val="105"/>
                <w:sz w:val="16"/>
              </w:rPr>
              <w:t xml:space="preserve"> </w:t>
            </w:r>
            <w:r w:rsidRPr="00165176">
              <w:rPr>
                <w:color w:val="1B1B1B"/>
                <w:w w:val="105"/>
                <w:sz w:val="16"/>
              </w:rPr>
              <w:t>of</w:t>
            </w:r>
            <w:r w:rsidRPr="00165176">
              <w:rPr>
                <w:color w:val="1B1B1B"/>
                <w:spacing w:val="-7"/>
                <w:w w:val="105"/>
                <w:sz w:val="16"/>
              </w:rPr>
              <w:t xml:space="preserve"> </w:t>
            </w:r>
            <w:r w:rsidRPr="00165176">
              <w:rPr>
                <w:color w:val="1B1B1B"/>
                <w:w w:val="105"/>
                <w:sz w:val="16"/>
              </w:rPr>
              <w:t>all</w:t>
            </w:r>
            <w:r w:rsidRPr="00165176">
              <w:rPr>
                <w:color w:val="1B1B1B"/>
                <w:spacing w:val="-7"/>
                <w:w w:val="105"/>
                <w:sz w:val="16"/>
              </w:rPr>
              <w:t xml:space="preserve"> </w:t>
            </w:r>
            <w:r w:rsidRPr="00165176">
              <w:rPr>
                <w:color w:val="1B1B1B"/>
                <w:w w:val="105"/>
                <w:sz w:val="16"/>
              </w:rPr>
              <w:t>food</w:t>
            </w:r>
            <w:r w:rsidRPr="00165176">
              <w:rPr>
                <w:color w:val="1B1B1B"/>
                <w:spacing w:val="-7"/>
                <w:w w:val="105"/>
                <w:sz w:val="16"/>
              </w:rPr>
              <w:t xml:space="preserve"> </w:t>
            </w:r>
            <w:r w:rsidRPr="00165176">
              <w:rPr>
                <w:color w:val="1B1B1B"/>
                <w:w w:val="105"/>
                <w:sz w:val="16"/>
              </w:rPr>
              <w:t>inputs</w:t>
            </w:r>
            <w:r w:rsidRPr="00165176">
              <w:rPr>
                <w:color w:val="1B1B1B"/>
                <w:spacing w:val="-7"/>
                <w:w w:val="105"/>
                <w:sz w:val="16"/>
              </w:rPr>
              <w:t xml:space="preserve"> </w:t>
            </w:r>
            <w:r w:rsidRPr="00165176">
              <w:rPr>
                <w:color w:val="1B1B1B"/>
                <w:w w:val="105"/>
                <w:sz w:val="16"/>
              </w:rPr>
              <w:t>such</w:t>
            </w:r>
            <w:r w:rsidRPr="00165176">
              <w:rPr>
                <w:color w:val="1B1B1B"/>
                <w:spacing w:val="-7"/>
                <w:w w:val="105"/>
                <w:sz w:val="16"/>
              </w:rPr>
              <w:t xml:space="preserve"> </w:t>
            </w:r>
            <w:r w:rsidRPr="00165176">
              <w:rPr>
                <w:color w:val="1B1B1B"/>
                <w:w w:val="105"/>
                <w:sz w:val="16"/>
              </w:rPr>
              <w:t>as:</w:t>
            </w:r>
          </w:p>
          <w:p w14:paraId="705A759C" w14:textId="77777777" w:rsidR="00165176" w:rsidRPr="00165176" w:rsidRDefault="00165176" w:rsidP="00533798">
            <w:pPr>
              <w:pStyle w:val="BodyText"/>
              <w:tabs>
                <w:tab w:val="left" w:pos="1100"/>
              </w:tabs>
              <w:rPr>
                <w:sz w:val="16"/>
              </w:rPr>
            </w:pPr>
            <w:r w:rsidRPr="00165176">
              <w:rPr>
                <w:sz w:val="16"/>
              </w:rPr>
              <w:tab/>
            </w:r>
          </w:p>
          <w:p w14:paraId="595ED549" w14:textId="77777777" w:rsidR="00165176" w:rsidRPr="00165176" w:rsidRDefault="00165176" w:rsidP="00374617">
            <w:pPr>
              <w:pStyle w:val="BodyText"/>
              <w:numPr>
                <w:ilvl w:val="0"/>
                <w:numId w:val="6"/>
              </w:numPr>
              <w:ind w:left="357"/>
              <w:rPr>
                <w:sz w:val="16"/>
              </w:rPr>
            </w:pPr>
            <w:r w:rsidRPr="00165176">
              <w:rPr>
                <w:color w:val="1B1B1B"/>
                <w:spacing w:val="-2"/>
                <w:w w:val="105"/>
                <w:sz w:val="16"/>
              </w:rPr>
              <w:t>raw materials</w:t>
            </w:r>
          </w:p>
          <w:p w14:paraId="262935DA" w14:textId="77777777" w:rsidR="00165176" w:rsidRPr="00165176" w:rsidRDefault="00165176" w:rsidP="00374617">
            <w:pPr>
              <w:pStyle w:val="BodyText"/>
              <w:numPr>
                <w:ilvl w:val="0"/>
                <w:numId w:val="6"/>
              </w:numPr>
              <w:ind w:left="357"/>
              <w:rPr>
                <w:sz w:val="16"/>
              </w:rPr>
            </w:pPr>
            <w:r w:rsidRPr="00165176">
              <w:rPr>
                <w:color w:val="1B1B1B"/>
                <w:w w:val="105"/>
                <w:sz w:val="16"/>
              </w:rPr>
              <w:t>additives</w:t>
            </w:r>
          </w:p>
          <w:p w14:paraId="1603A7FE" w14:textId="77777777" w:rsidR="00165176" w:rsidRPr="00165176" w:rsidRDefault="00165176" w:rsidP="00374617">
            <w:pPr>
              <w:pStyle w:val="BodyText"/>
              <w:numPr>
                <w:ilvl w:val="0"/>
                <w:numId w:val="6"/>
              </w:numPr>
              <w:ind w:left="357" w:hanging="357"/>
              <w:rPr>
                <w:sz w:val="16"/>
              </w:rPr>
            </w:pPr>
            <w:r w:rsidRPr="00165176">
              <w:rPr>
                <w:color w:val="1B1B1B"/>
                <w:spacing w:val="-2"/>
                <w:w w:val="105"/>
                <w:sz w:val="16"/>
              </w:rPr>
              <w:t>other ingredients</w:t>
            </w:r>
          </w:p>
          <w:p w14:paraId="25506CCE" w14:textId="2F1D1F7E" w:rsidR="00165176" w:rsidRPr="001B608A" w:rsidRDefault="00165176" w:rsidP="00374617">
            <w:pPr>
              <w:pStyle w:val="BodyText"/>
              <w:numPr>
                <w:ilvl w:val="0"/>
                <w:numId w:val="6"/>
              </w:numPr>
              <w:ind w:left="357"/>
              <w:rPr>
                <w:sz w:val="16"/>
              </w:rPr>
            </w:pPr>
            <w:r w:rsidRPr="00165176">
              <w:rPr>
                <w:color w:val="1B1B1B"/>
                <w:w w:val="105"/>
                <w:sz w:val="16"/>
              </w:rPr>
              <w:t>packaging.</w:t>
            </w:r>
          </w:p>
          <w:p w14:paraId="0B4DFB2B" w14:textId="77777777" w:rsidR="00D23CFA" w:rsidRPr="00165176" w:rsidRDefault="00D23CFA" w:rsidP="00374617">
            <w:pPr>
              <w:pStyle w:val="BodyText"/>
              <w:numPr>
                <w:ilvl w:val="0"/>
                <w:numId w:val="6"/>
              </w:numPr>
              <w:ind w:left="357"/>
              <w:rPr>
                <w:sz w:val="16"/>
              </w:rPr>
            </w:pPr>
          </w:p>
          <w:p w14:paraId="196AD0C9" w14:textId="77777777" w:rsidR="00165176" w:rsidRPr="00577199" w:rsidRDefault="00165176" w:rsidP="001B608A">
            <w:pPr>
              <w:rPr>
                <w:sz w:val="20"/>
                <w:szCs w:val="20"/>
              </w:rPr>
            </w:pPr>
            <w:r w:rsidRPr="00577199">
              <w:rPr>
                <w:sz w:val="20"/>
                <w:szCs w:val="20"/>
              </w:rPr>
              <w:t>Why</w:t>
            </w:r>
            <w:r w:rsidRPr="00577199">
              <w:rPr>
                <w:spacing w:val="-5"/>
                <w:sz w:val="20"/>
                <w:szCs w:val="20"/>
              </w:rPr>
              <w:t xml:space="preserve"> </w:t>
            </w:r>
            <w:r w:rsidRPr="00577199">
              <w:rPr>
                <w:sz w:val="20"/>
                <w:szCs w:val="20"/>
              </w:rPr>
              <w:t>is</w:t>
            </w:r>
            <w:r w:rsidRPr="00577199">
              <w:rPr>
                <w:spacing w:val="-4"/>
                <w:sz w:val="20"/>
                <w:szCs w:val="20"/>
              </w:rPr>
              <w:t xml:space="preserve"> </w:t>
            </w:r>
            <w:r w:rsidRPr="00577199">
              <w:rPr>
                <w:sz w:val="20"/>
                <w:szCs w:val="20"/>
              </w:rPr>
              <w:t>traceability</w:t>
            </w:r>
            <w:r w:rsidRPr="00577199">
              <w:rPr>
                <w:spacing w:val="-4"/>
                <w:sz w:val="20"/>
                <w:szCs w:val="20"/>
              </w:rPr>
              <w:t xml:space="preserve"> </w:t>
            </w:r>
            <w:r w:rsidRPr="00577199">
              <w:rPr>
                <w:sz w:val="20"/>
                <w:szCs w:val="20"/>
              </w:rPr>
              <w:t>important?</w:t>
            </w:r>
          </w:p>
          <w:p w14:paraId="31D88078" w14:textId="7AF94F99" w:rsidR="00165176" w:rsidRPr="00165176" w:rsidRDefault="00165176" w:rsidP="00533798">
            <w:pPr>
              <w:pStyle w:val="BodyText"/>
              <w:spacing w:before="90"/>
              <w:rPr>
                <w:sz w:val="16"/>
              </w:rPr>
            </w:pPr>
            <w:r w:rsidRPr="00165176">
              <w:rPr>
                <w:color w:val="1B1B1B"/>
                <w:w w:val="105"/>
                <w:sz w:val="16"/>
              </w:rPr>
              <w:t>Traceability</w:t>
            </w:r>
            <w:r w:rsidRPr="00165176">
              <w:rPr>
                <w:color w:val="1B1B1B"/>
                <w:spacing w:val="-10"/>
                <w:w w:val="105"/>
                <w:sz w:val="16"/>
              </w:rPr>
              <w:t xml:space="preserve"> </w:t>
            </w:r>
            <w:r w:rsidRPr="00165176">
              <w:rPr>
                <w:color w:val="1B1B1B"/>
                <w:w w:val="105"/>
                <w:sz w:val="16"/>
              </w:rPr>
              <w:t>enables</w:t>
            </w:r>
            <w:r w:rsidRPr="00165176">
              <w:rPr>
                <w:color w:val="1B1B1B"/>
                <w:spacing w:val="-10"/>
                <w:w w:val="105"/>
                <w:sz w:val="16"/>
              </w:rPr>
              <w:t xml:space="preserve"> </w:t>
            </w:r>
            <w:r w:rsidRPr="00165176">
              <w:rPr>
                <w:color w:val="1B1B1B"/>
                <w:w w:val="105"/>
                <w:sz w:val="16"/>
              </w:rPr>
              <w:t>corrective</w:t>
            </w:r>
            <w:r w:rsidRPr="00165176">
              <w:rPr>
                <w:color w:val="1B1B1B"/>
                <w:spacing w:val="-9"/>
                <w:w w:val="105"/>
                <w:sz w:val="16"/>
              </w:rPr>
              <w:t xml:space="preserve"> </w:t>
            </w:r>
            <w:r w:rsidRPr="00165176">
              <w:rPr>
                <w:color w:val="1B1B1B"/>
                <w:w w:val="105"/>
                <w:sz w:val="16"/>
              </w:rPr>
              <w:t>actions</w:t>
            </w:r>
            <w:r w:rsidRPr="00165176">
              <w:rPr>
                <w:color w:val="1B1B1B"/>
                <w:spacing w:val="-10"/>
                <w:w w:val="105"/>
                <w:sz w:val="16"/>
              </w:rPr>
              <w:t xml:space="preserve"> </w:t>
            </w:r>
            <w:r w:rsidRPr="00165176">
              <w:rPr>
                <w:color w:val="1B1B1B"/>
                <w:w w:val="105"/>
                <w:sz w:val="16"/>
              </w:rPr>
              <w:t>(such</w:t>
            </w:r>
            <w:r w:rsidRPr="00165176">
              <w:rPr>
                <w:color w:val="1B1B1B"/>
                <w:spacing w:val="-10"/>
                <w:w w:val="105"/>
                <w:sz w:val="16"/>
              </w:rPr>
              <w:t xml:space="preserve"> </w:t>
            </w:r>
            <w:r w:rsidRPr="00165176">
              <w:rPr>
                <w:color w:val="1B1B1B"/>
                <w:w w:val="105"/>
                <w:sz w:val="16"/>
              </w:rPr>
              <w:t>as</w:t>
            </w:r>
            <w:r w:rsidRPr="00165176">
              <w:rPr>
                <w:color w:val="1B1B1B"/>
                <w:spacing w:val="-9"/>
                <w:w w:val="105"/>
                <w:sz w:val="16"/>
              </w:rPr>
              <w:t xml:space="preserve"> </w:t>
            </w:r>
            <w:r w:rsidRPr="00165176">
              <w:rPr>
                <w:color w:val="1B1B1B"/>
                <w:w w:val="105"/>
                <w:sz w:val="16"/>
              </w:rPr>
              <w:t>a</w:t>
            </w:r>
            <w:r w:rsidRPr="00165176">
              <w:rPr>
                <w:color w:val="1B1B1B"/>
                <w:spacing w:val="-10"/>
                <w:w w:val="105"/>
                <w:sz w:val="16"/>
              </w:rPr>
              <w:t xml:space="preserve"> </w:t>
            </w:r>
            <w:r w:rsidRPr="00165176">
              <w:rPr>
                <w:color w:val="1B1B1B"/>
                <w:w w:val="105"/>
                <w:sz w:val="16"/>
              </w:rPr>
              <w:t>product</w:t>
            </w:r>
            <w:r w:rsidRPr="00165176">
              <w:rPr>
                <w:color w:val="1B1B1B"/>
                <w:spacing w:val="-9"/>
                <w:w w:val="105"/>
                <w:sz w:val="16"/>
              </w:rPr>
              <w:t xml:space="preserve"> </w:t>
            </w:r>
            <w:hyperlink r:id="rId23">
              <w:r w:rsidRPr="00165176">
                <w:rPr>
                  <w:color w:val="007091"/>
                  <w:w w:val="105"/>
                  <w:sz w:val="16"/>
                </w:rPr>
                <w:t>recall</w:t>
              </w:r>
            </w:hyperlink>
            <w:r w:rsidRPr="00165176">
              <w:rPr>
                <w:color w:val="1B1B1B"/>
                <w:w w:val="105"/>
                <w:sz w:val="16"/>
              </w:rPr>
              <w:t>)</w:t>
            </w:r>
            <w:r w:rsidRPr="00165176">
              <w:rPr>
                <w:color w:val="1B1B1B"/>
                <w:spacing w:val="-10"/>
                <w:w w:val="105"/>
                <w:sz w:val="16"/>
              </w:rPr>
              <w:t xml:space="preserve"> </w:t>
            </w:r>
            <w:r w:rsidRPr="00165176">
              <w:rPr>
                <w:color w:val="1B1B1B"/>
                <w:w w:val="105"/>
                <w:sz w:val="16"/>
              </w:rPr>
              <w:t>to</w:t>
            </w:r>
            <w:r w:rsidRPr="00165176">
              <w:rPr>
                <w:color w:val="1B1B1B"/>
                <w:spacing w:val="-10"/>
                <w:w w:val="105"/>
                <w:sz w:val="16"/>
              </w:rPr>
              <w:t xml:space="preserve"> </w:t>
            </w:r>
            <w:r w:rsidRPr="00165176">
              <w:rPr>
                <w:color w:val="1B1B1B"/>
                <w:w w:val="105"/>
                <w:sz w:val="16"/>
              </w:rPr>
              <w:t>be</w:t>
            </w:r>
            <w:r w:rsidRPr="00165176">
              <w:rPr>
                <w:color w:val="1B1B1B"/>
                <w:spacing w:val="-9"/>
                <w:w w:val="105"/>
                <w:sz w:val="16"/>
              </w:rPr>
              <w:t xml:space="preserve"> </w:t>
            </w:r>
            <w:r w:rsidRPr="00165176">
              <w:rPr>
                <w:color w:val="1B1B1B"/>
                <w:w w:val="105"/>
                <w:sz w:val="16"/>
              </w:rPr>
              <w:t>implemented</w:t>
            </w:r>
            <w:r w:rsidRPr="00165176">
              <w:rPr>
                <w:color w:val="1B1B1B"/>
                <w:spacing w:val="-10"/>
                <w:w w:val="105"/>
                <w:sz w:val="16"/>
              </w:rPr>
              <w:t xml:space="preserve"> </w:t>
            </w:r>
            <w:r w:rsidRPr="00165176">
              <w:rPr>
                <w:color w:val="1B1B1B"/>
                <w:w w:val="105"/>
                <w:sz w:val="16"/>
              </w:rPr>
              <w:t>quickly</w:t>
            </w:r>
            <w:r w:rsidRPr="00165176">
              <w:rPr>
                <w:color w:val="1B1B1B"/>
                <w:spacing w:val="-9"/>
                <w:w w:val="105"/>
                <w:sz w:val="16"/>
              </w:rPr>
              <w:t xml:space="preserve"> </w:t>
            </w:r>
            <w:r w:rsidRPr="00165176">
              <w:rPr>
                <w:color w:val="1B1B1B"/>
                <w:w w:val="105"/>
                <w:sz w:val="16"/>
              </w:rPr>
              <w:t>and</w:t>
            </w:r>
            <w:r w:rsidRPr="00165176">
              <w:rPr>
                <w:color w:val="1B1B1B"/>
                <w:spacing w:val="-10"/>
                <w:w w:val="105"/>
                <w:sz w:val="16"/>
              </w:rPr>
              <w:t xml:space="preserve"> </w:t>
            </w:r>
            <w:r w:rsidRPr="00165176">
              <w:rPr>
                <w:color w:val="1B1B1B"/>
                <w:w w:val="105"/>
                <w:sz w:val="16"/>
              </w:rPr>
              <w:t>effectively</w:t>
            </w:r>
            <w:r w:rsidRPr="00165176">
              <w:rPr>
                <w:color w:val="1B1B1B"/>
                <w:spacing w:val="-10"/>
                <w:w w:val="105"/>
                <w:sz w:val="16"/>
              </w:rPr>
              <w:t xml:space="preserve"> </w:t>
            </w:r>
            <w:r w:rsidRPr="00165176">
              <w:rPr>
                <w:color w:val="1B1B1B"/>
                <w:w w:val="105"/>
                <w:sz w:val="16"/>
              </w:rPr>
              <w:t>when</w:t>
            </w:r>
            <w:r w:rsidRPr="00165176">
              <w:rPr>
                <w:color w:val="1B1B1B"/>
                <w:spacing w:val="-9"/>
                <w:w w:val="105"/>
                <w:sz w:val="16"/>
              </w:rPr>
              <w:t xml:space="preserve"> </w:t>
            </w:r>
            <w:r w:rsidRPr="00165176">
              <w:rPr>
                <w:color w:val="1B1B1B"/>
                <w:w w:val="105"/>
                <w:sz w:val="16"/>
              </w:rPr>
              <w:t>something</w:t>
            </w:r>
            <w:r w:rsidRPr="00165176">
              <w:rPr>
                <w:color w:val="1B1B1B"/>
                <w:spacing w:val="-10"/>
                <w:w w:val="105"/>
                <w:sz w:val="16"/>
              </w:rPr>
              <w:t xml:space="preserve"> </w:t>
            </w:r>
            <w:r w:rsidRPr="00165176">
              <w:rPr>
                <w:color w:val="1B1B1B"/>
                <w:w w:val="105"/>
                <w:sz w:val="16"/>
              </w:rPr>
              <w:t>goes</w:t>
            </w:r>
            <w:r w:rsidRPr="00165176">
              <w:rPr>
                <w:color w:val="1B1B1B"/>
                <w:spacing w:val="-38"/>
                <w:w w:val="105"/>
                <w:sz w:val="16"/>
              </w:rPr>
              <w:t xml:space="preserve"> </w:t>
            </w:r>
            <w:r w:rsidRPr="00165176">
              <w:rPr>
                <w:color w:val="1B1B1B"/>
                <w:w w:val="105"/>
                <w:sz w:val="16"/>
              </w:rPr>
              <w:t>wrong. When a potential food safety problem is identified, whether by a food business or a government agency, an effective</w:t>
            </w:r>
            <w:r w:rsidRPr="00165176">
              <w:rPr>
                <w:color w:val="1B1B1B"/>
                <w:spacing w:val="1"/>
                <w:w w:val="105"/>
                <w:sz w:val="16"/>
              </w:rPr>
              <w:t xml:space="preserve"> </w:t>
            </w:r>
            <w:r w:rsidRPr="00165176">
              <w:rPr>
                <w:color w:val="1B1B1B"/>
                <w:w w:val="105"/>
                <w:sz w:val="16"/>
              </w:rPr>
              <w:t>traceability</w:t>
            </w:r>
            <w:r w:rsidRPr="00165176">
              <w:rPr>
                <w:color w:val="1B1B1B"/>
                <w:spacing w:val="-3"/>
                <w:w w:val="105"/>
                <w:sz w:val="16"/>
              </w:rPr>
              <w:t xml:space="preserve"> </w:t>
            </w:r>
            <w:r w:rsidRPr="00165176">
              <w:rPr>
                <w:color w:val="1B1B1B"/>
                <w:w w:val="105"/>
                <w:sz w:val="16"/>
              </w:rPr>
              <w:t>system</w:t>
            </w:r>
            <w:r w:rsidRPr="00165176">
              <w:rPr>
                <w:color w:val="1B1B1B"/>
                <w:spacing w:val="-3"/>
                <w:w w:val="105"/>
                <w:sz w:val="16"/>
              </w:rPr>
              <w:t xml:space="preserve"> </w:t>
            </w:r>
            <w:r w:rsidRPr="00165176">
              <w:rPr>
                <w:color w:val="1B1B1B"/>
                <w:w w:val="105"/>
                <w:sz w:val="16"/>
              </w:rPr>
              <w:t>can</w:t>
            </w:r>
            <w:r w:rsidRPr="00165176">
              <w:rPr>
                <w:color w:val="1B1B1B"/>
                <w:spacing w:val="-2"/>
                <w:w w:val="105"/>
                <w:sz w:val="16"/>
              </w:rPr>
              <w:t xml:space="preserve"> </w:t>
            </w:r>
            <w:r w:rsidRPr="00165176">
              <w:rPr>
                <w:color w:val="1B1B1B"/>
                <w:w w:val="105"/>
                <w:sz w:val="16"/>
              </w:rPr>
              <w:t>help</w:t>
            </w:r>
            <w:r w:rsidRPr="00165176">
              <w:rPr>
                <w:color w:val="1B1B1B"/>
                <w:spacing w:val="-3"/>
                <w:w w:val="105"/>
                <w:sz w:val="16"/>
              </w:rPr>
              <w:t xml:space="preserve"> </w:t>
            </w:r>
            <w:r w:rsidRPr="00165176">
              <w:rPr>
                <w:color w:val="1B1B1B"/>
                <w:w w:val="105"/>
                <w:sz w:val="16"/>
              </w:rPr>
              <w:t>isolate</w:t>
            </w:r>
            <w:r w:rsidRPr="00165176">
              <w:rPr>
                <w:color w:val="1B1B1B"/>
                <w:spacing w:val="-2"/>
                <w:w w:val="105"/>
                <w:sz w:val="16"/>
              </w:rPr>
              <w:t xml:space="preserve"> </w:t>
            </w:r>
            <w:r w:rsidRPr="00165176">
              <w:rPr>
                <w:color w:val="1B1B1B"/>
                <w:w w:val="105"/>
                <w:sz w:val="16"/>
              </w:rPr>
              <w:t>and</w:t>
            </w:r>
            <w:r w:rsidRPr="00165176">
              <w:rPr>
                <w:color w:val="1B1B1B"/>
                <w:spacing w:val="-3"/>
                <w:w w:val="105"/>
                <w:sz w:val="16"/>
              </w:rPr>
              <w:t xml:space="preserve"> </w:t>
            </w:r>
            <w:r w:rsidRPr="00165176">
              <w:rPr>
                <w:color w:val="1B1B1B"/>
                <w:w w:val="105"/>
                <w:sz w:val="16"/>
              </w:rPr>
              <w:t>prevent</w:t>
            </w:r>
            <w:r w:rsidRPr="00165176">
              <w:rPr>
                <w:color w:val="1B1B1B"/>
                <w:spacing w:val="-3"/>
                <w:w w:val="105"/>
                <w:sz w:val="16"/>
              </w:rPr>
              <w:t xml:space="preserve"> </w:t>
            </w:r>
            <w:r w:rsidRPr="00165176">
              <w:rPr>
                <w:color w:val="1B1B1B"/>
                <w:w w:val="105"/>
                <w:sz w:val="16"/>
              </w:rPr>
              <w:t>contaminated</w:t>
            </w:r>
            <w:r w:rsidRPr="00165176">
              <w:rPr>
                <w:color w:val="1B1B1B"/>
                <w:spacing w:val="-2"/>
                <w:w w:val="105"/>
                <w:sz w:val="16"/>
              </w:rPr>
              <w:t xml:space="preserve"> </w:t>
            </w:r>
            <w:r w:rsidRPr="00165176">
              <w:rPr>
                <w:color w:val="1B1B1B"/>
                <w:w w:val="105"/>
                <w:sz w:val="16"/>
              </w:rPr>
              <w:t>products</w:t>
            </w:r>
            <w:r w:rsidRPr="00165176">
              <w:rPr>
                <w:color w:val="1B1B1B"/>
                <w:spacing w:val="-3"/>
                <w:w w:val="105"/>
                <w:sz w:val="16"/>
              </w:rPr>
              <w:t xml:space="preserve"> </w:t>
            </w:r>
            <w:r w:rsidRPr="00165176">
              <w:rPr>
                <w:color w:val="1B1B1B"/>
                <w:w w:val="105"/>
                <w:sz w:val="16"/>
              </w:rPr>
              <w:t>from</w:t>
            </w:r>
            <w:r w:rsidRPr="00165176">
              <w:rPr>
                <w:color w:val="1B1B1B"/>
                <w:spacing w:val="-2"/>
                <w:w w:val="105"/>
                <w:sz w:val="16"/>
              </w:rPr>
              <w:t xml:space="preserve"> </w:t>
            </w:r>
            <w:r w:rsidRPr="00165176">
              <w:rPr>
                <w:color w:val="1B1B1B"/>
                <w:w w:val="105"/>
                <w:sz w:val="16"/>
              </w:rPr>
              <w:t>reaching</w:t>
            </w:r>
            <w:r w:rsidRPr="00165176">
              <w:rPr>
                <w:color w:val="1B1B1B"/>
                <w:spacing w:val="-3"/>
                <w:w w:val="105"/>
                <w:sz w:val="16"/>
              </w:rPr>
              <w:t xml:space="preserve"> </w:t>
            </w:r>
            <w:r w:rsidRPr="00165176">
              <w:rPr>
                <w:color w:val="1B1B1B"/>
                <w:w w:val="105"/>
                <w:sz w:val="16"/>
              </w:rPr>
              <w:t>consumers.</w:t>
            </w:r>
          </w:p>
          <w:p w14:paraId="59C54014" w14:textId="77777777" w:rsidR="00165176" w:rsidRPr="00165176" w:rsidRDefault="00165176" w:rsidP="00533798">
            <w:pPr>
              <w:pStyle w:val="BodyText"/>
              <w:spacing w:before="114"/>
              <w:rPr>
                <w:sz w:val="16"/>
              </w:rPr>
            </w:pPr>
            <w:r w:rsidRPr="00165176">
              <w:rPr>
                <w:color w:val="1B1B1B"/>
                <w:w w:val="105"/>
                <w:sz w:val="16"/>
              </w:rPr>
              <w:t>Traceability</w:t>
            </w:r>
            <w:r w:rsidRPr="00165176">
              <w:rPr>
                <w:color w:val="1B1B1B"/>
                <w:spacing w:val="-10"/>
                <w:w w:val="105"/>
                <w:sz w:val="16"/>
              </w:rPr>
              <w:t xml:space="preserve"> </w:t>
            </w:r>
            <w:r w:rsidRPr="00165176">
              <w:rPr>
                <w:color w:val="1B1B1B"/>
                <w:w w:val="105"/>
                <w:sz w:val="16"/>
              </w:rPr>
              <w:t>allows</w:t>
            </w:r>
            <w:r w:rsidRPr="00165176">
              <w:rPr>
                <w:color w:val="1B1B1B"/>
                <w:spacing w:val="-9"/>
                <w:w w:val="105"/>
                <w:sz w:val="16"/>
              </w:rPr>
              <w:t xml:space="preserve"> </w:t>
            </w:r>
            <w:r w:rsidRPr="00165176">
              <w:rPr>
                <w:color w:val="1B1B1B"/>
                <w:w w:val="105"/>
                <w:sz w:val="16"/>
              </w:rPr>
              <w:t>food</w:t>
            </w:r>
            <w:r w:rsidRPr="00165176">
              <w:rPr>
                <w:color w:val="1B1B1B"/>
                <w:spacing w:val="-9"/>
                <w:w w:val="105"/>
                <w:sz w:val="16"/>
              </w:rPr>
              <w:t xml:space="preserve"> </w:t>
            </w:r>
            <w:r w:rsidRPr="00165176">
              <w:rPr>
                <w:color w:val="1B1B1B"/>
                <w:w w:val="105"/>
                <w:sz w:val="16"/>
              </w:rPr>
              <w:t>businesses</w:t>
            </w:r>
            <w:r w:rsidRPr="00165176">
              <w:rPr>
                <w:color w:val="1B1B1B"/>
                <w:spacing w:val="-9"/>
                <w:w w:val="105"/>
                <w:sz w:val="16"/>
              </w:rPr>
              <w:t xml:space="preserve"> </w:t>
            </w:r>
            <w:r w:rsidRPr="00165176">
              <w:rPr>
                <w:color w:val="1B1B1B"/>
                <w:w w:val="105"/>
                <w:sz w:val="16"/>
              </w:rPr>
              <w:t>to</w:t>
            </w:r>
            <w:r w:rsidRPr="00165176">
              <w:rPr>
                <w:color w:val="1B1B1B"/>
                <w:spacing w:val="-9"/>
                <w:w w:val="105"/>
                <w:sz w:val="16"/>
              </w:rPr>
              <w:t xml:space="preserve"> </w:t>
            </w:r>
            <w:r w:rsidRPr="00165176">
              <w:rPr>
                <w:color w:val="1B1B1B"/>
                <w:w w:val="105"/>
                <w:sz w:val="16"/>
              </w:rPr>
              <w:t>target</w:t>
            </w:r>
            <w:r w:rsidRPr="00165176">
              <w:rPr>
                <w:color w:val="1B1B1B"/>
                <w:spacing w:val="-9"/>
                <w:w w:val="105"/>
                <w:sz w:val="16"/>
              </w:rPr>
              <w:t xml:space="preserve"> </w:t>
            </w:r>
            <w:r w:rsidRPr="00165176">
              <w:rPr>
                <w:color w:val="1B1B1B"/>
                <w:w w:val="105"/>
                <w:sz w:val="16"/>
              </w:rPr>
              <w:t>the</w:t>
            </w:r>
            <w:r w:rsidRPr="00165176">
              <w:rPr>
                <w:color w:val="1B1B1B"/>
                <w:spacing w:val="-9"/>
                <w:w w:val="105"/>
                <w:sz w:val="16"/>
              </w:rPr>
              <w:t xml:space="preserve"> </w:t>
            </w:r>
            <w:r w:rsidRPr="00165176">
              <w:rPr>
                <w:color w:val="1B1B1B"/>
                <w:w w:val="105"/>
                <w:sz w:val="16"/>
              </w:rPr>
              <w:t>product(s)</w:t>
            </w:r>
            <w:r w:rsidRPr="00165176">
              <w:rPr>
                <w:color w:val="1B1B1B"/>
                <w:spacing w:val="-9"/>
                <w:w w:val="105"/>
                <w:sz w:val="16"/>
              </w:rPr>
              <w:t xml:space="preserve"> </w:t>
            </w:r>
            <w:r w:rsidRPr="00165176">
              <w:rPr>
                <w:color w:val="1B1B1B"/>
                <w:w w:val="105"/>
                <w:sz w:val="16"/>
              </w:rPr>
              <w:t>affected</w:t>
            </w:r>
            <w:r w:rsidRPr="00165176">
              <w:rPr>
                <w:color w:val="1B1B1B"/>
                <w:spacing w:val="-9"/>
                <w:w w:val="105"/>
                <w:sz w:val="16"/>
              </w:rPr>
              <w:t xml:space="preserve"> </w:t>
            </w:r>
            <w:r w:rsidRPr="00165176">
              <w:rPr>
                <w:color w:val="1B1B1B"/>
                <w:w w:val="105"/>
                <w:sz w:val="16"/>
              </w:rPr>
              <w:t>by</w:t>
            </w:r>
            <w:r w:rsidRPr="00165176">
              <w:rPr>
                <w:color w:val="1B1B1B"/>
                <w:spacing w:val="-9"/>
                <w:w w:val="105"/>
                <w:sz w:val="16"/>
              </w:rPr>
              <w:t xml:space="preserve"> </w:t>
            </w:r>
            <w:r w:rsidRPr="00165176">
              <w:rPr>
                <w:color w:val="1B1B1B"/>
                <w:w w:val="105"/>
                <w:sz w:val="16"/>
              </w:rPr>
              <w:t>a</w:t>
            </w:r>
            <w:r w:rsidRPr="00165176">
              <w:rPr>
                <w:color w:val="1B1B1B"/>
                <w:spacing w:val="-9"/>
                <w:w w:val="105"/>
                <w:sz w:val="16"/>
              </w:rPr>
              <w:t xml:space="preserve"> </w:t>
            </w:r>
            <w:r w:rsidRPr="00165176">
              <w:rPr>
                <w:color w:val="1B1B1B"/>
                <w:w w:val="105"/>
                <w:sz w:val="16"/>
              </w:rPr>
              <w:t>food</w:t>
            </w:r>
            <w:r w:rsidRPr="00165176">
              <w:rPr>
                <w:color w:val="1B1B1B"/>
                <w:spacing w:val="-9"/>
                <w:w w:val="105"/>
                <w:sz w:val="16"/>
              </w:rPr>
              <w:t xml:space="preserve"> </w:t>
            </w:r>
            <w:r w:rsidRPr="00165176">
              <w:rPr>
                <w:color w:val="1B1B1B"/>
                <w:w w:val="105"/>
                <w:sz w:val="16"/>
              </w:rPr>
              <w:t>safety</w:t>
            </w:r>
            <w:r w:rsidRPr="00165176">
              <w:rPr>
                <w:color w:val="1B1B1B"/>
                <w:spacing w:val="-9"/>
                <w:w w:val="105"/>
                <w:sz w:val="16"/>
              </w:rPr>
              <w:t xml:space="preserve"> </w:t>
            </w:r>
            <w:r w:rsidRPr="00165176">
              <w:rPr>
                <w:color w:val="1B1B1B"/>
                <w:w w:val="105"/>
                <w:sz w:val="16"/>
              </w:rPr>
              <w:t>problem,</w:t>
            </w:r>
            <w:r w:rsidRPr="00165176">
              <w:rPr>
                <w:color w:val="1B1B1B"/>
                <w:spacing w:val="-9"/>
                <w:w w:val="105"/>
                <w:sz w:val="16"/>
              </w:rPr>
              <w:t xml:space="preserve"> </w:t>
            </w:r>
            <w:r w:rsidRPr="00165176">
              <w:rPr>
                <w:color w:val="1B1B1B"/>
                <w:w w:val="105"/>
                <w:sz w:val="16"/>
              </w:rPr>
              <w:t>minimising</w:t>
            </w:r>
            <w:r w:rsidRPr="00165176">
              <w:rPr>
                <w:color w:val="1B1B1B"/>
                <w:spacing w:val="-9"/>
                <w:w w:val="105"/>
                <w:sz w:val="16"/>
              </w:rPr>
              <w:t xml:space="preserve"> </w:t>
            </w:r>
            <w:r w:rsidRPr="00165176">
              <w:rPr>
                <w:color w:val="1B1B1B"/>
                <w:w w:val="105"/>
                <w:sz w:val="16"/>
              </w:rPr>
              <w:t>disruption</w:t>
            </w:r>
            <w:r w:rsidRPr="00165176">
              <w:rPr>
                <w:color w:val="1B1B1B"/>
                <w:spacing w:val="-9"/>
                <w:w w:val="105"/>
                <w:sz w:val="16"/>
              </w:rPr>
              <w:t xml:space="preserve"> </w:t>
            </w:r>
            <w:r w:rsidRPr="00165176">
              <w:rPr>
                <w:color w:val="1B1B1B"/>
                <w:w w:val="105"/>
                <w:sz w:val="16"/>
              </w:rPr>
              <w:t>to</w:t>
            </w:r>
            <w:r w:rsidRPr="00165176">
              <w:rPr>
                <w:color w:val="1B1B1B"/>
                <w:spacing w:val="-9"/>
                <w:w w:val="105"/>
                <w:sz w:val="16"/>
              </w:rPr>
              <w:t xml:space="preserve"> </w:t>
            </w:r>
            <w:r w:rsidRPr="00165176">
              <w:rPr>
                <w:color w:val="1B1B1B"/>
                <w:w w:val="105"/>
                <w:sz w:val="16"/>
              </w:rPr>
              <w:t>trade</w:t>
            </w:r>
            <w:r w:rsidRPr="00165176">
              <w:rPr>
                <w:color w:val="1B1B1B"/>
                <w:spacing w:val="-9"/>
                <w:w w:val="105"/>
                <w:sz w:val="16"/>
              </w:rPr>
              <w:t xml:space="preserve"> </w:t>
            </w:r>
            <w:r w:rsidRPr="00165176">
              <w:rPr>
                <w:color w:val="1B1B1B"/>
                <w:w w:val="105"/>
                <w:sz w:val="16"/>
              </w:rPr>
              <w:t>and</w:t>
            </w:r>
            <w:r w:rsidRPr="00165176">
              <w:rPr>
                <w:color w:val="1B1B1B"/>
                <w:spacing w:val="-38"/>
                <w:w w:val="105"/>
                <w:sz w:val="16"/>
              </w:rPr>
              <w:t xml:space="preserve"> </w:t>
            </w:r>
            <w:r w:rsidRPr="00165176">
              <w:rPr>
                <w:color w:val="1B1B1B"/>
                <w:w w:val="105"/>
                <w:sz w:val="16"/>
              </w:rPr>
              <w:t>any potential public health risks. It is important for all food businesses (including retailers and importers) to be able to trace</w:t>
            </w:r>
            <w:r w:rsidRPr="00165176">
              <w:rPr>
                <w:color w:val="1B1B1B"/>
                <w:spacing w:val="1"/>
                <w:w w:val="105"/>
                <w:sz w:val="16"/>
              </w:rPr>
              <w:t xml:space="preserve"> </w:t>
            </w:r>
            <w:r w:rsidRPr="00165176">
              <w:rPr>
                <w:color w:val="1B1B1B"/>
                <w:w w:val="105"/>
                <w:sz w:val="16"/>
              </w:rPr>
              <w:t>products.</w:t>
            </w:r>
          </w:p>
          <w:p w14:paraId="626D0FE5" w14:textId="77777777" w:rsidR="00D23CFA" w:rsidRDefault="00D23CFA" w:rsidP="00D23CFA">
            <w:pPr>
              <w:rPr>
                <w:sz w:val="20"/>
                <w:szCs w:val="20"/>
              </w:rPr>
            </w:pPr>
          </w:p>
          <w:p w14:paraId="7F3819DA" w14:textId="16F8D0C0" w:rsidR="00165176" w:rsidRPr="00165176" w:rsidRDefault="00165176" w:rsidP="00577199">
            <w:r w:rsidRPr="00577199">
              <w:rPr>
                <w:sz w:val="20"/>
                <w:szCs w:val="20"/>
              </w:rPr>
              <w:t>What</w:t>
            </w:r>
            <w:r w:rsidRPr="00577199">
              <w:rPr>
                <w:spacing w:val="-4"/>
                <w:sz w:val="20"/>
                <w:szCs w:val="20"/>
              </w:rPr>
              <w:t xml:space="preserve"> </w:t>
            </w:r>
            <w:r w:rsidRPr="00577199">
              <w:rPr>
                <w:sz w:val="20"/>
                <w:szCs w:val="20"/>
              </w:rPr>
              <w:t>are</w:t>
            </w:r>
            <w:r w:rsidRPr="00577199">
              <w:rPr>
                <w:spacing w:val="-4"/>
                <w:sz w:val="20"/>
                <w:szCs w:val="20"/>
              </w:rPr>
              <w:t xml:space="preserve"> </w:t>
            </w:r>
            <w:r w:rsidRPr="00577199">
              <w:rPr>
                <w:sz w:val="20"/>
                <w:szCs w:val="20"/>
              </w:rPr>
              <w:t>the</w:t>
            </w:r>
            <w:r w:rsidRPr="00577199">
              <w:rPr>
                <w:spacing w:val="-4"/>
                <w:sz w:val="20"/>
                <w:szCs w:val="20"/>
              </w:rPr>
              <w:t xml:space="preserve"> </w:t>
            </w:r>
            <w:r w:rsidRPr="00577199">
              <w:rPr>
                <w:sz w:val="20"/>
                <w:szCs w:val="20"/>
              </w:rPr>
              <w:t>characteristics</w:t>
            </w:r>
            <w:r w:rsidRPr="00577199">
              <w:rPr>
                <w:spacing w:val="-4"/>
                <w:sz w:val="20"/>
                <w:szCs w:val="20"/>
              </w:rPr>
              <w:t xml:space="preserve"> </w:t>
            </w:r>
            <w:r w:rsidRPr="00577199">
              <w:rPr>
                <w:sz w:val="20"/>
                <w:szCs w:val="20"/>
              </w:rPr>
              <w:t>of</w:t>
            </w:r>
            <w:r w:rsidRPr="00577199">
              <w:rPr>
                <w:spacing w:val="-4"/>
                <w:sz w:val="20"/>
                <w:szCs w:val="20"/>
              </w:rPr>
              <w:t xml:space="preserve"> </w:t>
            </w:r>
            <w:r w:rsidRPr="00577199">
              <w:rPr>
                <w:sz w:val="20"/>
                <w:szCs w:val="20"/>
              </w:rPr>
              <w:t>a</w:t>
            </w:r>
            <w:r w:rsidRPr="00577199">
              <w:rPr>
                <w:spacing w:val="-4"/>
                <w:sz w:val="20"/>
                <w:szCs w:val="20"/>
              </w:rPr>
              <w:t xml:space="preserve"> </w:t>
            </w:r>
            <w:r w:rsidRPr="00577199">
              <w:rPr>
                <w:sz w:val="20"/>
                <w:szCs w:val="20"/>
              </w:rPr>
              <w:t>traceability</w:t>
            </w:r>
            <w:r w:rsidRPr="00577199">
              <w:rPr>
                <w:spacing w:val="-4"/>
                <w:sz w:val="20"/>
                <w:szCs w:val="20"/>
              </w:rPr>
              <w:t xml:space="preserve"> </w:t>
            </w:r>
            <w:r w:rsidRPr="00577199">
              <w:rPr>
                <w:sz w:val="20"/>
                <w:szCs w:val="20"/>
              </w:rPr>
              <w:t>system?</w:t>
            </w:r>
          </w:p>
          <w:p w14:paraId="2644B130" w14:textId="77777777" w:rsidR="00165176" w:rsidRPr="00165176" w:rsidRDefault="00165176" w:rsidP="00533798">
            <w:pPr>
              <w:pStyle w:val="BodyText"/>
              <w:spacing w:before="90"/>
              <w:rPr>
                <w:sz w:val="16"/>
              </w:rPr>
            </w:pPr>
            <w:r w:rsidRPr="00165176">
              <w:rPr>
                <w:color w:val="1B1B1B"/>
                <w:w w:val="105"/>
                <w:sz w:val="16"/>
              </w:rPr>
              <w:t>An</w:t>
            </w:r>
            <w:r w:rsidRPr="00165176">
              <w:rPr>
                <w:color w:val="1B1B1B"/>
                <w:spacing w:val="-7"/>
                <w:w w:val="105"/>
                <w:sz w:val="16"/>
              </w:rPr>
              <w:t xml:space="preserve"> </w:t>
            </w:r>
            <w:r w:rsidRPr="00165176">
              <w:rPr>
                <w:color w:val="1B1B1B"/>
                <w:w w:val="105"/>
                <w:sz w:val="16"/>
              </w:rPr>
              <w:t>effective</w:t>
            </w:r>
            <w:r w:rsidRPr="00165176">
              <w:rPr>
                <w:color w:val="1B1B1B"/>
                <w:spacing w:val="-7"/>
                <w:w w:val="105"/>
                <w:sz w:val="16"/>
              </w:rPr>
              <w:t xml:space="preserve"> </w:t>
            </w:r>
            <w:r w:rsidRPr="00165176">
              <w:rPr>
                <w:color w:val="1B1B1B"/>
                <w:w w:val="105"/>
                <w:sz w:val="16"/>
              </w:rPr>
              <w:t>traceability</w:t>
            </w:r>
            <w:r w:rsidRPr="00165176">
              <w:rPr>
                <w:color w:val="1B1B1B"/>
                <w:spacing w:val="-7"/>
                <w:w w:val="105"/>
                <w:sz w:val="16"/>
              </w:rPr>
              <w:t xml:space="preserve"> </w:t>
            </w:r>
            <w:r w:rsidRPr="00165176">
              <w:rPr>
                <w:color w:val="1B1B1B"/>
                <w:w w:val="105"/>
                <w:sz w:val="16"/>
              </w:rPr>
              <w:t>system</w:t>
            </w:r>
            <w:r w:rsidRPr="00165176">
              <w:rPr>
                <w:color w:val="1B1B1B"/>
                <w:spacing w:val="-7"/>
                <w:w w:val="105"/>
                <w:sz w:val="16"/>
              </w:rPr>
              <w:t xml:space="preserve"> </w:t>
            </w:r>
            <w:r w:rsidRPr="00165176">
              <w:rPr>
                <w:color w:val="1B1B1B"/>
                <w:w w:val="105"/>
                <w:sz w:val="16"/>
              </w:rPr>
              <w:t>relies</w:t>
            </w:r>
            <w:r w:rsidRPr="00165176">
              <w:rPr>
                <w:color w:val="1B1B1B"/>
                <w:spacing w:val="-7"/>
                <w:w w:val="105"/>
                <w:sz w:val="16"/>
              </w:rPr>
              <w:t xml:space="preserve"> </w:t>
            </w:r>
            <w:r w:rsidRPr="00165176">
              <w:rPr>
                <w:color w:val="1B1B1B"/>
                <w:w w:val="105"/>
                <w:sz w:val="16"/>
              </w:rPr>
              <w:t>on</w:t>
            </w:r>
            <w:r w:rsidRPr="00165176">
              <w:rPr>
                <w:color w:val="1B1B1B"/>
                <w:spacing w:val="-7"/>
                <w:w w:val="105"/>
                <w:sz w:val="16"/>
              </w:rPr>
              <w:t xml:space="preserve"> </w:t>
            </w:r>
            <w:r w:rsidRPr="00165176">
              <w:rPr>
                <w:color w:val="1B1B1B"/>
                <w:w w:val="105"/>
                <w:sz w:val="16"/>
              </w:rPr>
              <w:t>being</w:t>
            </w:r>
            <w:r w:rsidRPr="00165176">
              <w:rPr>
                <w:color w:val="1B1B1B"/>
                <w:spacing w:val="-7"/>
                <w:w w:val="105"/>
                <w:sz w:val="16"/>
              </w:rPr>
              <w:t xml:space="preserve"> </w:t>
            </w:r>
            <w:r w:rsidRPr="00165176">
              <w:rPr>
                <w:color w:val="1B1B1B"/>
                <w:w w:val="105"/>
                <w:sz w:val="16"/>
              </w:rPr>
              <w:t>able</w:t>
            </w:r>
            <w:r w:rsidRPr="00165176">
              <w:rPr>
                <w:color w:val="1B1B1B"/>
                <w:spacing w:val="-7"/>
                <w:w w:val="105"/>
                <w:sz w:val="16"/>
              </w:rPr>
              <w:t xml:space="preserve"> </w:t>
            </w:r>
            <w:r w:rsidRPr="00165176">
              <w:rPr>
                <w:color w:val="1B1B1B"/>
                <w:w w:val="105"/>
                <w:sz w:val="16"/>
              </w:rPr>
              <w:t>to</w:t>
            </w:r>
            <w:r w:rsidRPr="00165176">
              <w:rPr>
                <w:color w:val="1B1B1B"/>
                <w:spacing w:val="-7"/>
                <w:w w:val="105"/>
                <w:sz w:val="16"/>
              </w:rPr>
              <w:t xml:space="preserve"> </w:t>
            </w:r>
            <w:r w:rsidRPr="00165176">
              <w:rPr>
                <w:color w:val="1B1B1B"/>
                <w:w w:val="105"/>
                <w:sz w:val="16"/>
              </w:rPr>
              <w:t>track</w:t>
            </w:r>
            <w:r w:rsidRPr="00165176">
              <w:rPr>
                <w:color w:val="1B1B1B"/>
                <w:spacing w:val="-7"/>
                <w:w w:val="105"/>
                <w:sz w:val="16"/>
              </w:rPr>
              <w:t xml:space="preserve"> </w:t>
            </w:r>
            <w:r w:rsidRPr="00165176">
              <w:rPr>
                <w:color w:val="1B1B1B"/>
                <w:w w:val="105"/>
                <w:sz w:val="16"/>
              </w:rPr>
              <w:t>product</w:t>
            </w:r>
            <w:r w:rsidRPr="00165176">
              <w:rPr>
                <w:color w:val="1B1B1B"/>
                <w:spacing w:val="-7"/>
                <w:w w:val="105"/>
                <w:sz w:val="16"/>
              </w:rPr>
              <w:t xml:space="preserve"> </w:t>
            </w:r>
            <w:r w:rsidRPr="00165176">
              <w:rPr>
                <w:color w:val="1B1B1B"/>
                <w:w w:val="105"/>
                <w:sz w:val="16"/>
              </w:rPr>
              <w:t>one</w:t>
            </w:r>
            <w:r w:rsidRPr="00165176">
              <w:rPr>
                <w:color w:val="1B1B1B"/>
                <w:spacing w:val="-7"/>
                <w:w w:val="105"/>
                <w:sz w:val="16"/>
              </w:rPr>
              <w:t xml:space="preserve"> </w:t>
            </w:r>
            <w:r w:rsidRPr="00165176">
              <w:rPr>
                <w:color w:val="1B1B1B"/>
                <w:w w:val="105"/>
                <w:sz w:val="16"/>
              </w:rPr>
              <w:t>step</w:t>
            </w:r>
            <w:r w:rsidRPr="00165176">
              <w:rPr>
                <w:color w:val="1B1B1B"/>
                <w:spacing w:val="-7"/>
                <w:w w:val="105"/>
                <w:sz w:val="16"/>
              </w:rPr>
              <w:t xml:space="preserve"> </w:t>
            </w:r>
            <w:r w:rsidRPr="00165176">
              <w:rPr>
                <w:color w:val="1B1B1B"/>
                <w:w w:val="105"/>
                <w:sz w:val="16"/>
              </w:rPr>
              <w:t>forward</w:t>
            </w:r>
            <w:r w:rsidRPr="00165176">
              <w:rPr>
                <w:color w:val="1B1B1B"/>
                <w:spacing w:val="-7"/>
                <w:w w:val="105"/>
                <w:sz w:val="16"/>
              </w:rPr>
              <w:t xml:space="preserve"> </w:t>
            </w:r>
            <w:r w:rsidRPr="00165176">
              <w:rPr>
                <w:color w:val="1B1B1B"/>
                <w:w w:val="105"/>
                <w:sz w:val="16"/>
              </w:rPr>
              <w:t>and</w:t>
            </w:r>
            <w:r w:rsidRPr="00165176">
              <w:rPr>
                <w:color w:val="1B1B1B"/>
                <w:spacing w:val="-7"/>
                <w:w w:val="105"/>
                <w:sz w:val="16"/>
              </w:rPr>
              <w:t xml:space="preserve"> </w:t>
            </w:r>
            <w:r w:rsidRPr="00165176">
              <w:rPr>
                <w:color w:val="1B1B1B"/>
                <w:w w:val="105"/>
                <w:sz w:val="16"/>
              </w:rPr>
              <w:t>one</w:t>
            </w:r>
            <w:r w:rsidRPr="00165176">
              <w:rPr>
                <w:color w:val="1B1B1B"/>
                <w:spacing w:val="-7"/>
                <w:w w:val="105"/>
                <w:sz w:val="16"/>
              </w:rPr>
              <w:t xml:space="preserve"> </w:t>
            </w:r>
            <w:r w:rsidRPr="00165176">
              <w:rPr>
                <w:color w:val="1B1B1B"/>
                <w:w w:val="105"/>
                <w:sz w:val="16"/>
              </w:rPr>
              <w:t>step</w:t>
            </w:r>
            <w:r w:rsidRPr="00165176">
              <w:rPr>
                <w:color w:val="1B1B1B"/>
                <w:spacing w:val="-7"/>
                <w:w w:val="105"/>
                <w:sz w:val="16"/>
              </w:rPr>
              <w:t xml:space="preserve"> </w:t>
            </w:r>
            <w:r w:rsidRPr="00165176">
              <w:rPr>
                <w:color w:val="1B1B1B"/>
                <w:w w:val="105"/>
                <w:sz w:val="16"/>
              </w:rPr>
              <w:t>back</w:t>
            </w:r>
            <w:r w:rsidRPr="00165176">
              <w:rPr>
                <w:color w:val="1B1B1B"/>
                <w:spacing w:val="-7"/>
                <w:w w:val="105"/>
                <w:sz w:val="16"/>
              </w:rPr>
              <w:t xml:space="preserve"> </w:t>
            </w:r>
            <w:r w:rsidRPr="00165176">
              <w:rPr>
                <w:color w:val="1B1B1B"/>
                <w:w w:val="105"/>
                <w:sz w:val="16"/>
              </w:rPr>
              <w:t>at</w:t>
            </w:r>
            <w:r w:rsidRPr="00165176">
              <w:rPr>
                <w:color w:val="1B1B1B"/>
                <w:spacing w:val="-7"/>
                <w:w w:val="105"/>
                <w:sz w:val="16"/>
              </w:rPr>
              <w:t xml:space="preserve"> </w:t>
            </w:r>
            <w:r w:rsidRPr="00165176">
              <w:rPr>
                <w:color w:val="1B1B1B"/>
                <w:w w:val="105"/>
                <w:sz w:val="16"/>
              </w:rPr>
              <w:t>any</w:t>
            </w:r>
            <w:r w:rsidRPr="00165176">
              <w:rPr>
                <w:color w:val="1B1B1B"/>
                <w:spacing w:val="-7"/>
                <w:w w:val="105"/>
                <w:sz w:val="16"/>
              </w:rPr>
              <w:t xml:space="preserve"> </w:t>
            </w:r>
            <w:r w:rsidRPr="00165176">
              <w:rPr>
                <w:color w:val="1B1B1B"/>
                <w:w w:val="105"/>
                <w:sz w:val="16"/>
              </w:rPr>
              <w:t>point</w:t>
            </w:r>
            <w:r w:rsidRPr="00165176">
              <w:rPr>
                <w:color w:val="1B1B1B"/>
                <w:spacing w:val="-7"/>
                <w:w w:val="105"/>
                <w:sz w:val="16"/>
              </w:rPr>
              <w:t xml:space="preserve"> </w:t>
            </w:r>
            <w:r w:rsidRPr="00165176">
              <w:rPr>
                <w:color w:val="1B1B1B"/>
                <w:w w:val="105"/>
                <w:sz w:val="16"/>
              </w:rPr>
              <w:t>in</w:t>
            </w:r>
            <w:r w:rsidRPr="00165176">
              <w:rPr>
                <w:color w:val="1B1B1B"/>
                <w:spacing w:val="-7"/>
                <w:w w:val="105"/>
                <w:sz w:val="16"/>
              </w:rPr>
              <w:t xml:space="preserve"> </w:t>
            </w:r>
            <w:r w:rsidRPr="00165176">
              <w:rPr>
                <w:color w:val="1B1B1B"/>
                <w:w w:val="105"/>
                <w:sz w:val="16"/>
              </w:rPr>
              <w:t>the</w:t>
            </w:r>
            <w:r w:rsidRPr="00165176">
              <w:rPr>
                <w:color w:val="1B1B1B"/>
                <w:spacing w:val="-7"/>
                <w:w w:val="105"/>
                <w:sz w:val="16"/>
              </w:rPr>
              <w:t xml:space="preserve"> </w:t>
            </w:r>
            <w:r w:rsidRPr="00165176">
              <w:rPr>
                <w:color w:val="1B1B1B"/>
                <w:w w:val="105"/>
                <w:sz w:val="16"/>
              </w:rPr>
              <w:t>supply</w:t>
            </w:r>
            <w:r w:rsidRPr="00165176">
              <w:rPr>
                <w:color w:val="1B1B1B"/>
                <w:spacing w:val="-38"/>
                <w:w w:val="105"/>
                <w:sz w:val="16"/>
              </w:rPr>
              <w:t xml:space="preserve"> </w:t>
            </w:r>
            <w:r w:rsidRPr="00165176">
              <w:rPr>
                <w:color w:val="1B1B1B"/>
                <w:w w:val="105"/>
                <w:sz w:val="16"/>
              </w:rPr>
              <w:t>chain. The system a food business has in place includes any procedures for identifying producers, suppliers, customers and</w:t>
            </w:r>
            <w:r w:rsidRPr="00165176">
              <w:rPr>
                <w:color w:val="1B1B1B"/>
                <w:spacing w:val="1"/>
                <w:w w:val="105"/>
                <w:sz w:val="16"/>
              </w:rPr>
              <w:t xml:space="preserve"> </w:t>
            </w:r>
            <w:r w:rsidRPr="00165176">
              <w:rPr>
                <w:color w:val="1B1B1B"/>
                <w:w w:val="105"/>
                <w:sz w:val="16"/>
              </w:rPr>
              <w:t>products</w:t>
            </w:r>
            <w:r w:rsidRPr="00165176">
              <w:rPr>
                <w:color w:val="1B1B1B"/>
                <w:spacing w:val="-2"/>
                <w:w w:val="105"/>
                <w:sz w:val="16"/>
              </w:rPr>
              <w:t xml:space="preserve"> </w:t>
            </w:r>
            <w:r w:rsidRPr="00165176">
              <w:rPr>
                <w:color w:val="1B1B1B"/>
                <w:w w:val="105"/>
                <w:sz w:val="16"/>
              </w:rPr>
              <w:t>and</w:t>
            </w:r>
            <w:r w:rsidRPr="00165176">
              <w:rPr>
                <w:color w:val="1B1B1B"/>
                <w:spacing w:val="-1"/>
                <w:w w:val="105"/>
                <w:sz w:val="16"/>
              </w:rPr>
              <w:t xml:space="preserve"> </w:t>
            </w:r>
            <w:r w:rsidRPr="00165176">
              <w:rPr>
                <w:color w:val="1B1B1B"/>
                <w:w w:val="105"/>
                <w:sz w:val="16"/>
              </w:rPr>
              <w:t>the</w:t>
            </w:r>
            <w:r w:rsidRPr="00165176">
              <w:rPr>
                <w:color w:val="1B1B1B"/>
                <w:spacing w:val="-1"/>
                <w:w w:val="105"/>
                <w:sz w:val="16"/>
              </w:rPr>
              <w:t xml:space="preserve"> </w:t>
            </w:r>
            <w:r w:rsidRPr="00165176">
              <w:rPr>
                <w:color w:val="1B1B1B"/>
                <w:w w:val="105"/>
                <w:sz w:val="16"/>
              </w:rPr>
              <w:t>records</w:t>
            </w:r>
            <w:r w:rsidRPr="00165176">
              <w:rPr>
                <w:color w:val="1B1B1B"/>
                <w:spacing w:val="-1"/>
                <w:w w:val="105"/>
                <w:sz w:val="16"/>
              </w:rPr>
              <w:t xml:space="preserve"> </w:t>
            </w:r>
            <w:r w:rsidRPr="00165176">
              <w:rPr>
                <w:color w:val="1B1B1B"/>
                <w:w w:val="105"/>
                <w:sz w:val="16"/>
              </w:rPr>
              <w:t>kept</w:t>
            </w:r>
            <w:r w:rsidRPr="00165176">
              <w:rPr>
                <w:color w:val="1B1B1B"/>
                <w:spacing w:val="-2"/>
                <w:w w:val="105"/>
                <w:sz w:val="16"/>
              </w:rPr>
              <w:t xml:space="preserve"> </w:t>
            </w:r>
            <w:r w:rsidRPr="00165176">
              <w:rPr>
                <w:color w:val="1B1B1B"/>
                <w:w w:val="105"/>
                <w:sz w:val="16"/>
              </w:rPr>
              <w:t>including:</w:t>
            </w:r>
          </w:p>
          <w:p w14:paraId="344E54FB" w14:textId="77777777" w:rsidR="00165176" w:rsidRPr="00165176" w:rsidRDefault="00165176" w:rsidP="00374617">
            <w:pPr>
              <w:pStyle w:val="BodyText"/>
              <w:numPr>
                <w:ilvl w:val="0"/>
                <w:numId w:val="7"/>
              </w:numPr>
              <w:ind w:left="357" w:hanging="357"/>
              <w:rPr>
                <w:color w:val="1B1B1B"/>
                <w:spacing w:val="-2"/>
                <w:w w:val="105"/>
                <w:sz w:val="16"/>
              </w:rPr>
            </w:pPr>
            <w:r w:rsidRPr="00165176">
              <w:rPr>
                <w:color w:val="1B1B1B"/>
                <w:spacing w:val="-2"/>
                <w:w w:val="105"/>
                <w:sz w:val="16"/>
              </w:rPr>
              <w:t>name and address (and other contact details) of suppliers and a description of products or inputs supplied</w:t>
            </w:r>
          </w:p>
          <w:p w14:paraId="3C1EF328" w14:textId="77777777" w:rsidR="00165176" w:rsidRPr="00165176" w:rsidRDefault="00165176" w:rsidP="00374617">
            <w:pPr>
              <w:pStyle w:val="BodyText"/>
              <w:numPr>
                <w:ilvl w:val="0"/>
                <w:numId w:val="7"/>
              </w:numPr>
              <w:ind w:left="357" w:hanging="357"/>
              <w:rPr>
                <w:color w:val="1B1B1B"/>
                <w:spacing w:val="-2"/>
                <w:w w:val="105"/>
                <w:sz w:val="16"/>
              </w:rPr>
            </w:pPr>
            <w:r w:rsidRPr="00165176">
              <w:rPr>
                <w:color w:val="1B1B1B"/>
                <w:spacing w:val="-2"/>
                <w:w w:val="105"/>
                <w:sz w:val="16"/>
              </w:rPr>
              <w:t xml:space="preserve">name and addresses (and other contact details) of customers and a description of the product supplied to them </w:t>
            </w:r>
          </w:p>
          <w:p w14:paraId="0A63146F" w14:textId="77777777" w:rsidR="00165176" w:rsidRPr="00165176" w:rsidRDefault="00165176" w:rsidP="00374617">
            <w:pPr>
              <w:pStyle w:val="BodyText"/>
              <w:numPr>
                <w:ilvl w:val="0"/>
                <w:numId w:val="7"/>
              </w:numPr>
              <w:ind w:left="357" w:hanging="357"/>
              <w:rPr>
                <w:color w:val="1B1B1B"/>
                <w:spacing w:val="-2"/>
                <w:w w:val="105"/>
                <w:sz w:val="16"/>
              </w:rPr>
            </w:pPr>
            <w:r w:rsidRPr="00165176">
              <w:rPr>
                <w:color w:val="1B1B1B"/>
                <w:spacing w:val="-2"/>
                <w:w w:val="105"/>
                <w:sz w:val="16"/>
              </w:rPr>
              <w:t>date of transaction or delivery</w:t>
            </w:r>
          </w:p>
          <w:p w14:paraId="1613A411" w14:textId="77777777" w:rsidR="00165176" w:rsidRPr="00165176" w:rsidRDefault="00165176" w:rsidP="00374617">
            <w:pPr>
              <w:pStyle w:val="BodyText"/>
              <w:numPr>
                <w:ilvl w:val="0"/>
                <w:numId w:val="7"/>
              </w:numPr>
              <w:ind w:left="357" w:hanging="357"/>
              <w:rPr>
                <w:color w:val="1B1B1B"/>
                <w:spacing w:val="-2"/>
                <w:w w:val="105"/>
                <w:sz w:val="16"/>
              </w:rPr>
            </w:pPr>
            <w:r w:rsidRPr="00165176">
              <w:rPr>
                <w:color w:val="1B1B1B"/>
                <w:spacing w:val="-2"/>
                <w:w w:val="105"/>
                <w:sz w:val="16"/>
              </w:rPr>
              <w:t xml:space="preserve">batch or lot identification (or other markings) </w:t>
            </w:r>
          </w:p>
          <w:p w14:paraId="0A89ED6E" w14:textId="77777777" w:rsidR="00165176" w:rsidRPr="00165176" w:rsidRDefault="00165176" w:rsidP="00374617">
            <w:pPr>
              <w:pStyle w:val="BodyText"/>
              <w:numPr>
                <w:ilvl w:val="0"/>
                <w:numId w:val="7"/>
              </w:numPr>
              <w:ind w:left="357" w:hanging="357"/>
              <w:rPr>
                <w:color w:val="1B1B1B"/>
                <w:spacing w:val="-2"/>
                <w:w w:val="105"/>
                <w:sz w:val="16"/>
              </w:rPr>
            </w:pPr>
            <w:r w:rsidRPr="00165176">
              <w:rPr>
                <w:color w:val="1B1B1B"/>
                <w:spacing w:val="-2"/>
                <w:w w:val="105"/>
                <w:sz w:val="16"/>
              </w:rPr>
              <w:t xml:space="preserve">volume or quantity of product supplied or received </w:t>
            </w:r>
          </w:p>
          <w:p w14:paraId="541D0A16" w14:textId="77777777" w:rsidR="00165176" w:rsidRPr="00996640" w:rsidRDefault="00165176" w:rsidP="00374617">
            <w:pPr>
              <w:pStyle w:val="BodyText"/>
              <w:numPr>
                <w:ilvl w:val="0"/>
                <w:numId w:val="7"/>
              </w:numPr>
              <w:ind w:left="357" w:hanging="357"/>
              <w:rPr>
                <w:sz w:val="16"/>
              </w:rPr>
            </w:pPr>
            <w:r w:rsidRPr="00165176">
              <w:rPr>
                <w:color w:val="1B1B1B"/>
                <w:spacing w:val="-2"/>
                <w:w w:val="105"/>
                <w:sz w:val="16"/>
              </w:rPr>
              <w:t>any other relevant production records</w:t>
            </w:r>
          </w:p>
          <w:p w14:paraId="06288369" w14:textId="77777777" w:rsidR="00996640" w:rsidRDefault="00996640" w:rsidP="00996640">
            <w:pPr>
              <w:pStyle w:val="BodyText"/>
              <w:rPr>
                <w:sz w:val="16"/>
              </w:rPr>
            </w:pPr>
          </w:p>
          <w:p w14:paraId="716FD2FA" w14:textId="56C37B71" w:rsidR="00996640" w:rsidRPr="00165176" w:rsidRDefault="009A5F60" w:rsidP="00996640">
            <w:pPr>
              <w:pStyle w:val="BodyText"/>
              <w:rPr>
                <w:sz w:val="16"/>
              </w:rPr>
            </w:pPr>
            <w:hyperlink r:id="rId24" w:history="1">
              <w:r w:rsidR="00996640" w:rsidRPr="00996640">
                <w:rPr>
                  <w:rStyle w:val="Hyperlink"/>
                  <w:sz w:val="20"/>
                  <w:szCs w:val="20"/>
                </w:rPr>
                <w:t>Source</w:t>
              </w:r>
            </w:hyperlink>
            <w:r w:rsidR="00996640" w:rsidRPr="00996640">
              <w:rPr>
                <w:sz w:val="20"/>
                <w:szCs w:val="20"/>
              </w:rPr>
              <w:t xml:space="preserve">: </w:t>
            </w:r>
            <w:hyperlink r:id="rId25" w:history="1">
              <w:r w:rsidR="00DE5E25" w:rsidRPr="00DE5E25">
                <w:rPr>
                  <w:rStyle w:val="Hyperlink"/>
                  <w:i/>
                  <w:iCs/>
                  <w:sz w:val="18"/>
                  <w:szCs w:val="18"/>
                </w:rPr>
                <w:t>https://www.foodstandards.gov.au/industry/safetystandards/traceability/Pages/default.aspx</w:t>
              </w:r>
            </w:hyperlink>
          </w:p>
        </w:tc>
      </w:tr>
      <w:bookmarkEnd w:id="49"/>
    </w:tbl>
    <w:p w14:paraId="00D9EAFF" w14:textId="2D9183EE" w:rsidR="00661C3C" w:rsidRDefault="00661C3C" w:rsidP="00996640"/>
    <w:p w14:paraId="3E698A8E" w14:textId="3B378CD2" w:rsidR="004C6926" w:rsidRDefault="009C16B7" w:rsidP="00191A82">
      <w:proofErr w:type="gramStart"/>
      <w:r>
        <w:t>F</w:t>
      </w:r>
      <w:r w:rsidRPr="009C16B7">
        <w:t>or the purpose of</w:t>
      </w:r>
      <w:proofErr w:type="gramEnd"/>
      <w:r w:rsidRPr="009C16B7">
        <w:t xml:space="preserve"> this report, we will adopt the definition used by Dwyer &amp; Clarke (20</w:t>
      </w:r>
      <w:r w:rsidR="00E316A6">
        <w:t>1</w:t>
      </w:r>
      <w:r w:rsidRPr="009C16B7">
        <w:t xml:space="preserve">5), which is </w:t>
      </w:r>
      <w:r w:rsidRPr="00F07A69">
        <w:rPr>
          <w:b/>
          <w:bCs/>
          <w:i/>
          <w:iCs/>
        </w:rPr>
        <w:t>‘the proportion of animals that can be successfully traced between defined points in the supply chain or over time’.</w:t>
      </w:r>
    </w:p>
    <w:p w14:paraId="6A273DE8" w14:textId="77777777" w:rsidR="009C16B7" w:rsidRDefault="009C16B7" w:rsidP="00191A82">
      <w:pPr>
        <w:rPr>
          <w:b/>
          <w:bCs/>
          <w:highlight w:val="green"/>
        </w:rPr>
      </w:pPr>
    </w:p>
    <w:p w14:paraId="12362E6D" w14:textId="59006878" w:rsidR="00191A82" w:rsidRDefault="00D81981" w:rsidP="002F5F61">
      <w:r>
        <w:t>MLA has overseen the development of a comprehensive system for traceability in the Australian red mea</w:t>
      </w:r>
      <w:r w:rsidR="002F5F61">
        <w:t>t industry</w:t>
      </w:r>
      <w:r w:rsidR="004C615C">
        <w:t xml:space="preserve"> </w:t>
      </w:r>
      <w:r>
        <w:t xml:space="preserve">to help protect </w:t>
      </w:r>
      <w:r w:rsidR="00191A82">
        <w:t>Australia</w:t>
      </w:r>
      <w:r>
        <w:t xml:space="preserve">’s </w:t>
      </w:r>
      <w:r w:rsidR="00191A82">
        <w:t xml:space="preserve">reputation as a supplier of clean, </w:t>
      </w:r>
      <w:proofErr w:type="gramStart"/>
      <w:r w:rsidR="00191A82">
        <w:t>safe</w:t>
      </w:r>
      <w:proofErr w:type="gramEnd"/>
      <w:r w:rsidR="00191A82">
        <w:t xml:space="preserve"> and natural food products, including red meat.  </w:t>
      </w:r>
      <w:r w:rsidR="00C32105">
        <w:t xml:space="preserve">MLA established </w:t>
      </w:r>
      <w:bookmarkStart w:id="50" w:name="_Hlk83134530"/>
      <w:r w:rsidR="00C32105">
        <w:t xml:space="preserve">the </w:t>
      </w:r>
      <w:r w:rsidR="00C32105" w:rsidRPr="0024010D">
        <w:t xml:space="preserve">Integrity Systems Company </w:t>
      </w:r>
      <w:bookmarkEnd w:id="50"/>
      <w:r w:rsidR="00C32105" w:rsidRPr="0024010D">
        <w:t xml:space="preserve">(ISC) </w:t>
      </w:r>
      <w:r w:rsidR="00C32105">
        <w:t>in 2017 as a wholly owned subsidiary t</w:t>
      </w:r>
      <w:r w:rsidR="00191A82">
        <w:t xml:space="preserve">o </w:t>
      </w:r>
      <w:r w:rsidR="00F06C65">
        <w:t xml:space="preserve">initiate, </w:t>
      </w:r>
      <w:r w:rsidR="0086269A">
        <w:t xml:space="preserve">oversee and coordinate </w:t>
      </w:r>
      <w:r w:rsidR="00A77658">
        <w:t xml:space="preserve">related </w:t>
      </w:r>
      <w:r w:rsidR="00720827">
        <w:t>activities</w:t>
      </w:r>
      <w:r w:rsidR="00191A82">
        <w:t xml:space="preserve">. </w:t>
      </w:r>
      <w:r w:rsidR="00654D5B">
        <w:t xml:space="preserve"> </w:t>
      </w:r>
      <w:r w:rsidR="00191A82">
        <w:t xml:space="preserve">Its stated purpose is to provide food safety measures, product assurance and traceability along the entire red meat supply chain </w:t>
      </w:r>
      <w:proofErr w:type="gramStart"/>
      <w:r w:rsidR="00191A82">
        <w:t>in order to</w:t>
      </w:r>
      <w:proofErr w:type="gramEnd"/>
      <w:r w:rsidR="00191A82">
        <w:t xml:space="preserve"> protect and promote Australia’s reputation as a supplier of</w:t>
      </w:r>
      <w:r w:rsidR="00191A82" w:rsidRPr="00B723CD">
        <w:t xml:space="preserve"> </w:t>
      </w:r>
      <w:r w:rsidR="00191A82">
        <w:t xml:space="preserve">safe food products, produced ethically and responsibly.  </w:t>
      </w:r>
      <w:r w:rsidR="00F06C65">
        <w:t>I</w:t>
      </w:r>
      <w:r w:rsidR="00191A82">
        <w:t>t has oversight of three elements</w:t>
      </w:r>
      <w:r w:rsidR="004604C2">
        <w:t xml:space="preserve"> of</w:t>
      </w:r>
      <w:r w:rsidR="00191A82">
        <w:t xml:space="preserve"> t</w:t>
      </w:r>
      <w:r w:rsidR="00BD1868">
        <w:t xml:space="preserve">he industry’s strategy </w:t>
      </w:r>
      <w:r w:rsidR="00191A82">
        <w:t xml:space="preserve">to ensure on-farm assurance and traceability from farmer to processor:  the </w:t>
      </w:r>
      <w:bookmarkStart w:id="51" w:name="_Hlk83134548"/>
      <w:r w:rsidR="00191A82">
        <w:t xml:space="preserve">Livestock Production Assurance </w:t>
      </w:r>
      <w:bookmarkEnd w:id="51"/>
      <w:r w:rsidR="00191A82">
        <w:t xml:space="preserve">(LPA) program, the National Vendor Declaration (NVD) and the National Livestock Identification System (NLIS). </w:t>
      </w:r>
    </w:p>
    <w:p w14:paraId="439FD28E" w14:textId="77777777" w:rsidR="00191A82" w:rsidRDefault="00191A82" w:rsidP="00191A82"/>
    <w:p w14:paraId="655D6BF3" w14:textId="77777777" w:rsidR="00191A82" w:rsidRDefault="00191A82" w:rsidP="00191A82">
      <w:r>
        <w:lastRenderedPageBreak/>
        <w:t xml:space="preserve">This system provides traceability from paddock to plate with an essential role in collecting and collating data from all participants in LPA. In addition, </w:t>
      </w:r>
      <w:bookmarkStart w:id="52" w:name="_Hlk83134560"/>
      <w:r>
        <w:t xml:space="preserve">Livestock Data Link </w:t>
      </w:r>
      <w:bookmarkEnd w:id="52"/>
      <w:r>
        <w:t>(LDL) provides an important facility for producers and other industry stakeholders to gain valuable data insights into animal health and carcase performance. These are summarised by MLA:</w:t>
      </w:r>
    </w:p>
    <w:p w14:paraId="4C03255D" w14:textId="77777777" w:rsidR="00191A82" w:rsidRDefault="00191A82" w:rsidP="00191A82"/>
    <w:tbl>
      <w:tblPr>
        <w:tblStyle w:val="TableGrid"/>
        <w:tblW w:w="0" w:type="auto"/>
        <w:tblInd w:w="562" w:type="dxa"/>
        <w:tblLook w:val="04A0" w:firstRow="1" w:lastRow="0" w:firstColumn="1" w:lastColumn="0" w:noHBand="0" w:noVBand="1"/>
      </w:tblPr>
      <w:tblGrid>
        <w:gridCol w:w="7797"/>
      </w:tblGrid>
      <w:tr w:rsidR="00191A82" w14:paraId="200AB469" w14:textId="77777777" w:rsidTr="00096403">
        <w:tc>
          <w:tcPr>
            <w:tcW w:w="7797" w:type="dxa"/>
            <w:shd w:val="clear" w:color="auto" w:fill="D6E1DB" w:themeFill="text2" w:themeFillTint="33"/>
          </w:tcPr>
          <w:p w14:paraId="2FBD43B1" w14:textId="77777777" w:rsidR="00191A82" w:rsidRPr="00CB4132" w:rsidRDefault="00191A82" w:rsidP="00577199">
            <w:pPr>
              <w:keepNext/>
            </w:pPr>
            <w:r w:rsidRPr="003713A0">
              <w:rPr>
                <w:b/>
                <w:bCs/>
              </w:rPr>
              <w:t>Livestock Production Assurance (LPA)</w:t>
            </w:r>
            <w:r>
              <w:t xml:space="preserve"> program - </w:t>
            </w:r>
            <w:r w:rsidRPr="00CB4132">
              <w:t>The LPA program is the Australian industry’s on-farm assurance program. It provides evidence of livestock history and on-farm practices when transferring livestock through the value chain. The LPA National Vendor Declaration (LPA NVD) is the declaration communicating the food safety status of every animal as it moves through the supply chain.</w:t>
            </w:r>
          </w:p>
          <w:p w14:paraId="0ADAAE27" w14:textId="77777777" w:rsidR="00191A82" w:rsidRDefault="00191A82" w:rsidP="00577199">
            <w:pPr>
              <w:keepNext/>
              <w:rPr>
                <w:b/>
                <w:bCs/>
              </w:rPr>
            </w:pPr>
          </w:p>
          <w:p w14:paraId="0257C146" w14:textId="77777777" w:rsidR="00191A82" w:rsidRDefault="00191A82" w:rsidP="00577199">
            <w:pPr>
              <w:keepNext/>
            </w:pPr>
            <w:bookmarkStart w:id="53" w:name="_Hlk83134580"/>
            <w:r w:rsidRPr="003713A0">
              <w:rPr>
                <w:b/>
                <w:bCs/>
              </w:rPr>
              <w:t xml:space="preserve">National Vendor Declarations </w:t>
            </w:r>
            <w:bookmarkEnd w:id="53"/>
            <w:r w:rsidRPr="003713A0">
              <w:rPr>
                <w:b/>
                <w:bCs/>
              </w:rPr>
              <w:t>(NVD)</w:t>
            </w:r>
            <w:r>
              <w:t xml:space="preserve"> - </w:t>
            </w:r>
            <w:r w:rsidRPr="003713A0">
              <w:t xml:space="preserve">The NVD communicates the food safety status of every animal every time it moves along the value chain – between properties, to saleyards, or to processors. Producers can use paper NVDs or the new mobile-friendly </w:t>
            </w:r>
            <w:proofErr w:type="spellStart"/>
            <w:r w:rsidRPr="003713A0">
              <w:t>eNVD</w:t>
            </w:r>
            <w:proofErr w:type="spellEnd"/>
            <w:r w:rsidRPr="003713A0">
              <w:t xml:space="preserve"> system.</w:t>
            </w:r>
          </w:p>
          <w:p w14:paraId="7B9E4942" w14:textId="77777777" w:rsidR="00191A82" w:rsidRDefault="00191A82" w:rsidP="00577199">
            <w:pPr>
              <w:keepNext/>
              <w:rPr>
                <w:b/>
                <w:bCs/>
              </w:rPr>
            </w:pPr>
          </w:p>
          <w:p w14:paraId="026D56FA" w14:textId="77777777" w:rsidR="00191A82" w:rsidRDefault="00191A82" w:rsidP="00577199">
            <w:pPr>
              <w:keepNext/>
            </w:pPr>
            <w:bookmarkStart w:id="54" w:name="_Hlk83134597"/>
            <w:r w:rsidRPr="003713A0">
              <w:rPr>
                <w:b/>
                <w:bCs/>
              </w:rPr>
              <w:t xml:space="preserve">National Livestock Identification System </w:t>
            </w:r>
            <w:bookmarkEnd w:id="54"/>
            <w:r w:rsidRPr="003713A0">
              <w:rPr>
                <w:b/>
                <w:bCs/>
              </w:rPr>
              <w:t>(NLIS)</w:t>
            </w:r>
            <w:r w:rsidRPr="00430BDD">
              <w:t xml:space="preserve"> - </w:t>
            </w:r>
            <w:r>
              <w:t xml:space="preserve">NLIS is Australia’s system for the identification and traceability of cattle, </w:t>
            </w:r>
            <w:proofErr w:type="gramStart"/>
            <w:r>
              <w:t>sheep</w:t>
            </w:r>
            <w:proofErr w:type="gramEnd"/>
            <w:r>
              <w:t xml:space="preserve"> and goats. The NLIS combines three elements to enable the lifetime traceability of animals:</w:t>
            </w:r>
          </w:p>
          <w:p w14:paraId="37AE71E3" w14:textId="77777777" w:rsidR="00191A82" w:rsidRDefault="00191A82" w:rsidP="00577199">
            <w:pPr>
              <w:pStyle w:val="ListParagraph"/>
              <w:keepNext/>
              <w:numPr>
                <w:ilvl w:val="0"/>
                <w:numId w:val="1"/>
              </w:numPr>
            </w:pPr>
            <w:r>
              <w:t>a visual or electronic ear tag</w:t>
            </w:r>
          </w:p>
          <w:p w14:paraId="3A53ECBB" w14:textId="77777777" w:rsidR="00191A82" w:rsidRDefault="00191A82" w:rsidP="00577199">
            <w:pPr>
              <w:pStyle w:val="ListParagraph"/>
              <w:keepNext/>
              <w:numPr>
                <w:ilvl w:val="0"/>
                <w:numId w:val="1"/>
              </w:numPr>
            </w:pPr>
            <w:r>
              <w:t xml:space="preserve">a </w:t>
            </w:r>
            <w:bookmarkStart w:id="55" w:name="_Hlk83134619"/>
            <w:r>
              <w:t xml:space="preserve">Property Identification Code </w:t>
            </w:r>
            <w:bookmarkEnd w:id="55"/>
            <w:r>
              <w:t>(PIC)</w:t>
            </w:r>
          </w:p>
          <w:p w14:paraId="40AD958E" w14:textId="77777777" w:rsidR="00191A82" w:rsidRPr="00501F54" w:rsidRDefault="00191A82" w:rsidP="00577199">
            <w:pPr>
              <w:pStyle w:val="ListParagraph"/>
              <w:keepNext/>
              <w:numPr>
                <w:ilvl w:val="0"/>
                <w:numId w:val="1"/>
              </w:numPr>
              <w:rPr>
                <w:b/>
                <w:bCs/>
              </w:rPr>
            </w:pPr>
            <w:r>
              <w:t>an online database to store and correlate the data.</w:t>
            </w:r>
          </w:p>
          <w:p w14:paraId="5E4F3756" w14:textId="24638FA5" w:rsidR="00191A82" w:rsidRDefault="00191A82" w:rsidP="00577199">
            <w:pPr>
              <w:keepNext/>
              <w:spacing w:before="240"/>
              <w:ind w:left="357"/>
              <w:jc w:val="right"/>
            </w:pPr>
            <w:r w:rsidRPr="000C10D1">
              <w:rPr>
                <w:i/>
                <w:iCs/>
                <w:sz w:val="18"/>
                <w:szCs w:val="18"/>
              </w:rPr>
              <w:t>Source:</w:t>
            </w:r>
            <w:r w:rsidRPr="000C10D1">
              <w:rPr>
                <w:sz w:val="18"/>
                <w:szCs w:val="18"/>
              </w:rPr>
              <w:t xml:space="preserve"> </w:t>
            </w:r>
            <w:hyperlink r:id="rId26" w:history="1">
              <w:r w:rsidRPr="00C52B5E">
                <w:rPr>
                  <w:rStyle w:val="Hyperlink"/>
                  <w:i/>
                  <w:iCs/>
                  <w:sz w:val="18"/>
                  <w:szCs w:val="18"/>
                </w:rPr>
                <w:t>https://www.mla.com.au/meat-safety-and-traceability/red-meat-integrity-system/</w:t>
              </w:r>
            </w:hyperlink>
          </w:p>
        </w:tc>
      </w:tr>
    </w:tbl>
    <w:p w14:paraId="55B7F5A3" w14:textId="77777777" w:rsidR="00191A82" w:rsidRDefault="00191A82" w:rsidP="00191A82"/>
    <w:p w14:paraId="0D5751B9" w14:textId="079F6DC9" w:rsidR="00191A82" w:rsidRDefault="00191A82" w:rsidP="00191A82">
      <w:r>
        <w:t xml:space="preserve">ISC has also overseen the development of a software system known as </w:t>
      </w:r>
      <w:r w:rsidRPr="00EC0C82">
        <w:rPr>
          <w:b/>
          <w:bCs/>
        </w:rPr>
        <w:t>Livestock Data Link (LDL)</w:t>
      </w:r>
      <w:r>
        <w:t xml:space="preserve"> which is designed to enable producers and processors to share information about each consignment with respect to disease status, carcase defects and alignment with defined quality specifications.</w:t>
      </w:r>
    </w:p>
    <w:p w14:paraId="69E6E213" w14:textId="0BCC8DF5" w:rsidR="00191A82" w:rsidRDefault="00191A82" w:rsidP="00191A82"/>
    <w:p w14:paraId="4D17F0A1" w14:textId="0DA2E872" w:rsidR="00B9429A" w:rsidRDefault="00B9429A" w:rsidP="00B9429A">
      <w:r>
        <w:t xml:space="preserve">The flow of genes, animals and animal products between the various industry sectors </w:t>
      </w:r>
      <w:r w:rsidR="00E27BC6">
        <w:t xml:space="preserve">has been </w:t>
      </w:r>
      <w:r>
        <w:t>depicted in</w:t>
      </w:r>
      <w:r w:rsidR="00722213">
        <w:t xml:space="preserve"> </w:t>
      </w:r>
      <w:r w:rsidR="00722213">
        <w:fldChar w:fldCharType="begin"/>
      </w:r>
      <w:r w:rsidR="00722213">
        <w:instrText xml:space="preserve"> REF _Ref87887296 \h </w:instrText>
      </w:r>
      <w:r w:rsidR="00722213">
        <w:fldChar w:fldCharType="separate"/>
      </w:r>
      <w:r w:rsidR="008D0D42">
        <w:t xml:space="preserve">Figure </w:t>
      </w:r>
      <w:r w:rsidR="008D0D42">
        <w:rPr>
          <w:noProof/>
        </w:rPr>
        <w:t>1</w:t>
      </w:r>
      <w:r w:rsidR="00722213">
        <w:fldChar w:fldCharType="end"/>
      </w:r>
      <w:r w:rsidR="00642DDF">
        <w:t>, with “paddock to plate” referring to the pathways between producers and consumers</w:t>
      </w:r>
      <w:r>
        <w:t xml:space="preserve">.  Traceability of animals to the processor stage is enabled by </w:t>
      </w:r>
      <w:r w:rsidR="00CF5AEB">
        <w:t xml:space="preserve">NVDs and </w:t>
      </w:r>
      <w:r>
        <w:t>NLIS tags</w:t>
      </w:r>
      <w:r w:rsidR="00484C30">
        <w:t xml:space="preserve">.  Thereafter, traceability relies on </w:t>
      </w:r>
      <w:r w:rsidR="00487F2B">
        <w:t xml:space="preserve">documentation through </w:t>
      </w:r>
      <w:r w:rsidR="00484C30">
        <w:t xml:space="preserve">the </w:t>
      </w:r>
      <w:r w:rsidR="000964FA">
        <w:t>AUS</w:t>
      </w:r>
      <w:r w:rsidR="00FD7C2C">
        <w:t>-</w:t>
      </w:r>
      <w:r w:rsidR="000964FA">
        <w:t xml:space="preserve">MEAT </w:t>
      </w:r>
      <w:r w:rsidR="00487F2B">
        <w:t>program.</w:t>
      </w:r>
    </w:p>
    <w:p w14:paraId="416EA760" w14:textId="77777777" w:rsidR="00B9429A" w:rsidRDefault="00B9429A" w:rsidP="00191A82"/>
    <w:p w14:paraId="597BD1C3" w14:textId="2A018973" w:rsidR="00191A82" w:rsidRDefault="00191A82" w:rsidP="00191A82">
      <w:r>
        <w:t xml:space="preserve">In 2015, MLA supported a benefit-cost </w:t>
      </w:r>
      <w:r w:rsidR="00491AC0" w:rsidRPr="004C7BF0">
        <w:t>assessment</w:t>
      </w:r>
      <w:r>
        <w:t xml:space="preserve"> of NLIS, LPA and associated food safety research</w:t>
      </w:r>
      <w:r w:rsidRPr="00FC1493">
        <w:t xml:space="preserve"> </w:t>
      </w:r>
      <w:r>
        <w:t>(Dwyer and Clarke 2015)</w:t>
      </w:r>
      <w:r w:rsidR="001E5990">
        <w:rPr>
          <w:rStyle w:val="FootnoteReference"/>
        </w:rPr>
        <w:footnoteReference w:id="29"/>
      </w:r>
      <w:r>
        <w:t>.  Th</w:t>
      </w:r>
      <w:r w:rsidR="003A7A89">
        <w:t>at</w:t>
      </w:r>
      <w:r>
        <w:t xml:space="preserve"> study estimated the benefit cost ratio for the combined programs to be between 7.4 and 8.9, equating to a projected net benefit over 30 years of $8.7b to $10.6b (in 2014 dollars). NLIS contributed </w:t>
      </w:r>
      <w:proofErr w:type="gramStart"/>
      <w:r>
        <w:t>the majority of</w:t>
      </w:r>
      <w:proofErr w:type="gramEnd"/>
      <w:r>
        <w:t xml:space="preserve"> the benefits, but all three components yielded positive returns. The figures for NLIS were deemed to be lower</w:t>
      </w:r>
      <w:r w:rsidR="0035094E">
        <w:t>-</w:t>
      </w:r>
      <w:r>
        <w:t xml:space="preserve">bound estimates, predominantly reflecting the benefits of reducing the impacts of foot and mouth disease but excluding the benefits of reducing the impact of a wide array of other potential exotic and endemic diseases. </w:t>
      </w:r>
      <w:r w:rsidR="000964FA">
        <w:t>Their analys</w:t>
      </w:r>
      <w:r w:rsidR="00037AC6">
        <w:t>e</w:t>
      </w:r>
      <w:r w:rsidR="000964FA">
        <w:t>s</w:t>
      </w:r>
      <w:r>
        <w:t xml:space="preserve"> assumed that NLIS increased the traceability in beef from 65% to 97% and in sheep from 65% to 90%. </w:t>
      </w:r>
    </w:p>
    <w:p w14:paraId="7E2AFE07" w14:textId="77777777" w:rsidR="00191A82" w:rsidRDefault="00191A82" w:rsidP="00191A82"/>
    <w:p w14:paraId="52604ABA" w14:textId="2B3AF076" w:rsidR="00191A82" w:rsidRDefault="00191A82" w:rsidP="00191A82">
      <w:r>
        <w:t xml:space="preserve">A subsequent </w:t>
      </w:r>
      <w:r w:rsidR="00491AC0" w:rsidRPr="004C7BF0">
        <w:t>study</w:t>
      </w:r>
      <w:r>
        <w:t xml:space="preserve"> (White </w:t>
      </w:r>
      <w:r w:rsidRPr="00D30408">
        <w:rPr>
          <w:i/>
          <w:iCs/>
        </w:rPr>
        <w:t>et al.</w:t>
      </w:r>
      <w:r>
        <w:t>, 2019)</w:t>
      </w:r>
      <w:r w:rsidR="00491AC0">
        <w:rPr>
          <w:rStyle w:val="FootnoteReference"/>
        </w:rPr>
        <w:footnoteReference w:id="30"/>
      </w:r>
      <w:r>
        <w:t xml:space="preserve"> using slightly modified assumptions, revised the net benefits upwards and made </w:t>
      </w:r>
      <w:proofErr w:type="gramStart"/>
      <w:r>
        <w:t>a number of</w:t>
      </w:r>
      <w:proofErr w:type="gramEnd"/>
      <w:r>
        <w:t xml:space="preserve"> recommendations, including work to increase the levels of traceability through ongoing system and technology enhancements, as well as to explore opportunities for deriving additional value from collected data, </w:t>
      </w:r>
      <w:r>
        <w:rPr>
          <w:i/>
        </w:rPr>
        <w:t xml:space="preserve">inter alia. </w:t>
      </w:r>
      <w:r>
        <w:t xml:space="preserve"> </w:t>
      </w:r>
    </w:p>
    <w:p w14:paraId="531FA8E5" w14:textId="77777777" w:rsidR="00191A82" w:rsidRDefault="00191A82" w:rsidP="00191A82"/>
    <w:p w14:paraId="009F458B" w14:textId="77777777" w:rsidR="00191A82" w:rsidRPr="00C3487A" w:rsidRDefault="00191A82" w:rsidP="00577199">
      <w:pPr>
        <w:pStyle w:val="Heading2"/>
      </w:pPr>
      <w:bookmarkStart w:id="56" w:name="_Toc95983385"/>
      <w:r w:rsidRPr="00C3487A">
        <w:t>Vulnerabilities</w:t>
      </w:r>
      <w:bookmarkEnd w:id="56"/>
    </w:p>
    <w:p w14:paraId="793B8BA2" w14:textId="77777777" w:rsidR="002C1801" w:rsidRDefault="002C1801" w:rsidP="002C1801"/>
    <w:p w14:paraId="7C68B126" w14:textId="7360E449" w:rsidR="002C1801" w:rsidRDefault="002C1801" w:rsidP="002C1801">
      <w:r>
        <w:t>There are two places along the red meat supply chain where identities</w:t>
      </w:r>
      <w:r w:rsidR="003A7A89">
        <w:t xml:space="preserve"> / </w:t>
      </w:r>
      <w:r w:rsidR="000964FA">
        <w:t>identification</w:t>
      </w:r>
      <w:r>
        <w:t xml:space="preserve"> (and therefore full traceability) can potentially be lost.  </w:t>
      </w:r>
    </w:p>
    <w:p w14:paraId="5760E861" w14:textId="77777777" w:rsidR="002C1801" w:rsidRDefault="002C1801" w:rsidP="002C1801"/>
    <w:p w14:paraId="3BBFA888" w14:textId="734E0795" w:rsidR="002C1801" w:rsidRPr="00E35F99" w:rsidRDefault="002C1801" w:rsidP="002C1801">
      <w:pPr>
        <w:rPr>
          <w:b/>
          <w:bCs/>
        </w:rPr>
      </w:pPr>
      <w:r>
        <w:t>The first stems from the fact that animals can (and sometimes do) lose their ear-tags. Often the animal has a second</w:t>
      </w:r>
      <w:r w:rsidR="000964FA">
        <w:t xml:space="preserve"> management</w:t>
      </w:r>
      <w:r>
        <w:t xml:space="preserve"> tag which can be used </w:t>
      </w:r>
      <w:r w:rsidR="00EA7A96">
        <w:t>to enable</w:t>
      </w:r>
      <w:r>
        <w:t xml:space="preserve"> its identity </w:t>
      </w:r>
      <w:r w:rsidR="00EA7A96">
        <w:t xml:space="preserve">to </w:t>
      </w:r>
      <w:r>
        <w:t xml:space="preserve">be tracked when the lost tag is replaced. However, this is not always the case. </w:t>
      </w:r>
      <w:r w:rsidR="009C3FCF">
        <w:t>There appear to be no official reports published on tag loss rates</w:t>
      </w:r>
      <w:r w:rsidR="008C4570">
        <w:t xml:space="preserve">, </w:t>
      </w:r>
      <w:r w:rsidR="00005446">
        <w:t>but anecdotal evidence</w:t>
      </w:r>
      <w:r w:rsidR="003924E2">
        <w:t xml:space="preserve"> </w:t>
      </w:r>
      <w:r w:rsidR="00CA696F">
        <w:t>(</w:t>
      </w:r>
      <w:r w:rsidR="003924E2">
        <w:t xml:space="preserve">from stakeholder </w:t>
      </w:r>
      <w:r w:rsidR="00CB4555">
        <w:t>consultations</w:t>
      </w:r>
      <w:r w:rsidR="00171C47">
        <w:t>, the rural press</w:t>
      </w:r>
      <w:r w:rsidR="00171C47">
        <w:rPr>
          <w:rStyle w:val="FootnoteReference"/>
        </w:rPr>
        <w:footnoteReference w:id="31"/>
      </w:r>
      <w:r w:rsidR="00171C47">
        <w:t xml:space="preserve"> </w:t>
      </w:r>
      <w:r w:rsidR="003924E2">
        <w:t xml:space="preserve">and the </w:t>
      </w:r>
      <w:r w:rsidR="007E5243">
        <w:t xml:space="preserve">survey </w:t>
      </w:r>
      <w:r w:rsidR="008C4570">
        <w:t xml:space="preserve">summarised later in </w:t>
      </w:r>
      <w:r w:rsidR="00DE0B73">
        <w:t>S</w:t>
      </w:r>
      <w:r w:rsidR="00336F57">
        <w:t xml:space="preserve">ection </w:t>
      </w:r>
      <w:r w:rsidR="00336F57">
        <w:fldChar w:fldCharType="begin"/>
      </w:r>
      <w:r w:rsidR="00336F57">
        <w:instrText xml:space="preserve"> REF _Ref95468248 \r \h </w:instrText>
      </w:r>
      <w:r w:rsidR="00336F57">
        <w:fldChar w:fldCharType="separate"/>
      </w:r>
      <w:r w:rsidR="008D0D42">
        <w:t>4</w:t>
      </w:r>
      <w:r w:rsidR="00336F57">
        <w:fldChar w:fldCharType="end"/>
      </w:r>
      <w:r w:rsidR="00CA696F">
        <w:t>)</w:t>
      </w:r>
      <w:r w:rsidR="00336F57">
        <w:t xml:space="preserve"> </w:t>
      </w:r>
      <w:r w:rsidR="007B68A1">
        <w:t>indicate</w:t>
      </w:r>
      <w:r w:rsidR="00CA696F">
        <w:t>s</w:t>
      </w:r>
      <w:r w:rsidR="007B68A1">
        <w:t xml:space="preserve"> </w:t>
      </w:r>
      <w:r w:rsidR="006A2A6A">
        <w:t>that</w:t>
      </w:r>
      <w:r>
        <w:t xml:space="preserve"> </w:t>
      </w:r>
      <w:r w:rsidR="00CB4555">
        <w:t xml:space="preserve">estimates of </w:t>
      </w:r>
      <w:r>
        <w:t xml:space="preserve">total identity </w:t>
      </w:r>
      <w:r w:rsidR="00CB4555">
        <w:t xml:space="preserve">loss </w:t>
      </w:r>
      <w:r>
        <w:t xml:space="preserve">due to lost ear tags </w:t>
      </w:r>
      <w:r w:rsidR="00CA696F">
        <w:t xml:space="preserve">typically </w:t>
      </w:r>
      <w:r>
        <w:t xml:space="preserve">range from </w:t>
      </w:r>
      <w:r w:rsidR="003A7A89">
        <w:t>3</w:t>
      </w:r>
      <w:r>
        <w:t xml:space="preserve">% to </w:t>
      </w:r>
      <w:r w:rsidR="003A7A89">
        <w:t>10</w:t>
      </w:r>
      <w:r>
        <w:t>%</w:t>
      </w:r>
      <w:r w:rsidR="006A2A6A">
        <w:t xml:space="preserve"> in cattle</w:t>
      </w:r>
      <w:r>
        <w:t xml:space="preserve">; and from </w:t>
      </w:r>
      <w:r w:rsidR="003A7A89">
        <w:t>3</w:t>
      </w:r>
      <w:r>
        <w:t xml:space="preserve">% to </w:t>
      </w:r>
      <w:r w:rsidR="003A7A89">
        <w:t>8</w:t>
      </w:r>
      <w:r w:rsidR="70E3E177">
        <w:t>%</w:t>
      </w:r>
      <w:r w:rsidR="006A2A6A">
        <w:t xml:space="preserve"> in sheep</w:t>
      </w:r>
      <w:r w:rsidR="70E3E177">
        <w:t>.</w:t>
      </w:r>
      <w:r>
        <w:t xml:space="preserve">  One Australian processor estimated that lost identity due to lost tags averages about 2% in cattle. </w:t>
      </w:r>
      <w:r w:rsidR="003A7A89">
        <w:t xml:space="preserve">The </w:t>
      </w:r>
      <w:r w:rsidR="00207990">
        <w:t>lost value associated with traceability loss (tag loss) vari</w:t>
      </w:r>
      <w:r w:rsidR="004966BB">
        <w:t>es</w:t>
      </w:r>
      <w:r w:rsidR="00207990">
        <w:t xml:space="preserve"> with the type of market, carcase weight and potential carcase quality. Quantifying the loss is a subject of this current </w:t>
      </w:r>
      <w:r w:rsidR="004B77C7">
        <w:t>study</w:t>
      </w:r>
      <w:r w:rsidR="004966BB">
        <w:t>;</w:t>
      </w:r>
      <w:r w:rsidR="00207990">
        <w:t xml:space="preserve"> however early discussions with processors </w:t>
      </w:r>
      <w:r w:rsidR="004A1D0A">
        <w:t xml:space="preserve">indicated </w:t>
      </w:r>
      <w:r w:rsidR="00207990">
        <w:t>that discounts were primarily associated with the transfer from one market to another</w:t>
      </w:r>
      <w:r w:rsidR="006F0795">
        <w:t xml:space="preserve">.  The resulting loss </w:t>
      </w:r>
      <w:r w:rsidR="004B77C7">
        <w:t>could be as much as 15% of the total value of a carcase</w:t>
      </w:r>
      <w:r w:rsidR="000964FA">
        <w:t>, which can be in the hundreds of dollars for high value markets (long-fed Wagyu).</w:t>
      </w:r>
    </w:p>
    <w:p w14:paraId="42B13456" w14:textId="77777777" w:rsidR="002C1801" w:rsidRDefault="002C1801" w:rsidP="002C1801"/>
    <w:p w14:paraId="2331934C" w14:textId="77777777" w:rsidR="002C1801" w:rsidRDefault="002C1801" w:rsidP="002C1801">
      <w:r>
        <w:t xml:space="preserve">The second potential loss of identity occurs at slaughter, after which time the product is tracked by physical or electronic records.  From this point, proving the veracity of identification becomes more difficult if there is a dispute or a need to determine the source of a contaminant or pathogen, particularly when meat cuts are combined or blended during the packing process or through mincing.  </w:t>
      </w:r>
    </w:p>
    <w:p w14:paraId="3FEC8C19" w14:textId="77777777" w:rsidR="00191A82" w:rsidRDefault="00191A82" w:rsidP="00191A82"/>
    <w:p w14:paraId="70C76B7A" w14:textId="5C397F7E" w:rsidR="00191A82" w:rsidRDefault="00191A82" w:rsidP="00191A82">
      <w:r>
        <w:t xml:space="preserve">A recent </w:t>
      </w:r>
      <w:r w:rsidR="002B058F" w:rsidRPr="004C7BF0">
        <w:t>report</w:t>
      </w:r>
      <w:r w:rsidR="008D1D70">
        <w:t xml:space="preserve"> for </w:t>
      </w:r>
      <w:r w:rsidR="008D1D70" w:rsidRPr="00896CA7">
        <w:t>MLA</w:t>
      </w:r>
      <w:r w:rsidR="008D1D70">
        <w:t xml:space="preserve"> by </w:t>
      </w:r>
      <w:r w:rsidR="004B77C7">
        <w:t>Asymmetric</w:t>
      </w:r>
      <w:r w:rsidR="008D1D70">
        <w:t xml:space="preserve"> Innovation Pty Ltd </w:t>
      </w:r>
      <w:r w:rsidR="00896CA7">
        <w:t xml:space="preserve">claimed </w:t>
      </w:r>
      <w:r>
        <w:t xml:space="preserve">a loss in traceability of beef cattle of around 4% in 2018-19 due to tag problems (losses, </w:t>
      </w:r>
      <w:proofErr w:type="gramStart"/>
      <w:r>
        <w:t>damage</w:t>
      </w:r>
      <w:proofErr w:type="gramEnd"/>
      <w:r>
        <w:t xml:space="preserve"> and non-reconciled breeder tags) as well as failure to scan between PICs</w:t>
      </w:r>
      <w:r w:rsidR="002B058F">
        <w:rPr>
          <w:rStyle w:val="FootnoteReference"/>
        </w:rPr>
        <w:footnoteReference w:id="32"/>
      </w:r>
      <w:r>
        <w:t>.</w:t>
      </w:r>
      <w:r w:rsidR="006D1AF6">
        <w:t xml:space="preserve">  </w:t>
      </w:r>
      <w:r>
        <w:t xml:space="preserve">The </w:t>
      </w:r>
      <w:r w:rsidR="006D1AF6">
        <w:t xml:space="preserve">project’s </w:t>
      </w:r>
      <w:r>
        <w:t xml:space="preserve">authors </w:t>
      </w:r>
      <w:r w:rsidR="000052E2">
        <w:t>recommended</w:t>
      </w:r>
      <w:r>
        <w:t xml:space="preserve"> that further work be done on implantable tags to overcome these losses, which were estimated to be worth $10m </w:t>
      </w:r>
      <w:r w:rsidR="00AE670F">
        <w:t>p.a.</w:t>
      </w:r>
      <w:r>
        <w:t xml:space="preserve"> in direct costs and over $2b </w:t>
      </w:r>
      <w:r w:rsidR="00F91FCD">
        <w:t>i</w:t>
      </w:r>
      <w:r>
        <w:t xml:space="preserve">n increased biosecurity risks.  </w:t>
      </w:r>
    </w:p>
    <w:p w14:paraId="2D7323B4" w14:textId="77777777" w:rsidR="00191A82" w:rsidRDefault="00191A82" w:rsidP="00191A82"/>
    <w:p w14:paraId="352D77F3" w14:textId="1C2C041B" w:rsidR="00967BB1" w:rsidRPr="00AA29E9" w:rsidRDefault="00967BB1" w:rsidP="00EB208B">
      <w:pPr>
        <w:pStyle w:val="Heading2"/>
      </w:pPr>
      <w:bookmarkStart w:id="57" w:name="_Toc95983386"/>
      <w:r w:rsidRPr="00AA29E9">
        <w:t xml:space="preserve">Systems </w:t>
      </w:r>
      <w:r w:rsidR="00F8264A">
        <w:t>allowing</w:t>
      </w:r>
      <w:r w:rsidRPr="00AA29E9">
        <w:t xml:space="preserve"> complete trace-back</w:t>
      </w:r>
      <w:bookmarkEnd w:id="57"/>
    </w:p>
    <w:p w14:paraId="2C5F6AAA" w14:textId="77777777" w:rsidR="00967BB1" w:rsidRDefault="00967BB1" w:rsidP="00967BB1"/>
    <w:p w14:paraId="638BB6E0" w14:textId="77777777" w:rsidR="00967BB1" w:rsidRDefault="00967BB1" w:rsidP="00967BB1">
      <w:r>
        <w:t xml:space="preserve">The two main methods currently in use rely on intrinsic properties of the animal tissue, namely chemical </w:t>
      </w:r>
      <w:proofErr w:type="gramStart"/>
      <w:r>
        <w:t>composition</w:t>
      </w:r>
      <w:proofErr w:type="gramEnd"/>
      <w:r>
        <w:t xml:space="preserve"> and genotype.  </w:t>
      </w:r>
    </w:p>
    <w:p w14:paraId="01F39548" w14:textId="77777777" w:rsidR="00967BB1" w:rsidRDefault="00967BB1" w:rsidP="00967BB1"/>
    <w:p w14:paraId="62756965" w14:textId="77777777" w:rsidR="00967BB1" w:rsidRPr="00BD3D15" w:rsidRDefault="00967BB1" w:rsidP="00EB208B">
      <w:pPr>
        <w:pStyle w:val="Heading3"/>
      </w:pPr>
      <w:bookmarkStart w:id="58" w:name="_Toc95983387"/>
      <w:r w:rsidRPr="00BD3D15">
        <w:t>Chemical composition</w:t>
      </w:r>
      <w:bookmarkEnd w:id="58"/>
    </w:p>
    <w:p w14:paraId="4D594040" w14:textId="2454EA98" w:rsidR="00967BB1" w:rsidRDefault="00967BB1" w:rsidP="00487F2B">
      <w:pPr>
        <w:keepNext/>
        <w:keepLines/>
      </w:pPr>
    </w:p>
    <w:p w14:paraId="68B88456" w14:textId="0A7B7097" w:rsidR="00970CBF" w:rsidRDefault="00970CBF" w:rsidP="00967BB1">
      <w:r>
        <w:t xml:space="preserve">A </w:t>
      </w:r>
      <w:r w:rsidR="007C2892">
        <w:t xml:space="preserve">useful </w:t>
      </w:r>
      <w:r>
        <w:t xml:space="preserve">review of </w:t>
      </w:r>
      <w:r w:rsidR="00B23E17">
        <w:t xml:space="preserve">chemical </w:t>
      </w:r>
      <w:proofErr w:type="spellStart"/>
      <w:r w:rsidR="00B23E17">
        <w:t>provenancing</w:t>
      </w:r>
      <w:proofErr w:type="spellEnd"/>
      <w:r w:rsidR="00B23E17">
        <w:t xml:space="preserve"> of foodstuffs and the methodology in use can be found in </w:t>
      </w:r>
      <w:r w:rsidR="00A658F1">
        <w:t xml:space="preserve">the PhD thesis of </w:t>
      </w:r>
      <w:proofErr w:type="spellStart"/>
      <w:r w:rsidR="002B058F" w:rsidRPr="00FF5AF2">
        <w:t>Kreitals</w:t>
      </w:r>
      <w:proofErr w:type="spellEnd"/>
      <w:r w:rsidR="002B058F" w:rsidRPr="00FF5AF2">
        <w:t xml:space="preserve"> (2013)</w:t>
      </w:r>
      <w:r w:rsidR="00DC6B33">
        <w:rPr>
          <w:rStyle w:val="FootnoteReference"/>
        </w:rPr>
        <w:footnoteReference w:id="33"/>
      </w:r>
      <w:r w:rsidR="00A658F1">
        <w:t xml:space="preserve">, which also provides estimates of the </w:t>
      </w:r>
      <w:r w:rsidR="00571EB2">
        <w:t xml:space="preserve">historical </w:t>
      </w:r>
      <w:r w:rsidR="00A658F1">
        <w:t xml:space="preserve">costs </w:t>
      </w:r>
      <w:r w:rsidR="00571EB2">
        <w:t>associated with food-borne pathogens</w:t>
      </w:r>
      <w:r w:rsidR="0075264C">
        <w:t xml:space="preserve">, </w:t>
      </w:r>
      <w:r w:rsidR="00571EB2">
        <w:t xml:space="preserve">fraudulent </w:t>
      </w:r>
      <w:proofErr w:type="gramStart"/>
      <w:r w:rsidR="00571EB2">
        <w:t>labelling</w:t>
      </w:r>
      <w:proofErr w:type="gramEnd"/>
      <w:r w:rsidR="0075264C">
        <w:t xml:space="preserve"> and product substitution</w:t>
      </w:r>
      <w:r w:rsidR="007C2892">
        <w:t xml:space="preserve">.  </w:t>
      </w:r>
      <w:r w:rsidR="00941236">
        <w:t xml:space="preserve">Chemical </w:t>
      </w:r>
      <w:proofErr w:type="spellStart"/>
      <w:r w:rsidR="00941236">
        <w:t>provenancing</w:t>
      </w:r>
      <w:proofErr w:type="spellEnd"/>
      <w:r w:rsidR="00941236">
        <w:t xml:space="preserve"> relies on the fact that </w:t>
      </w:r>
      <w:r w:rsidR="00AB5EF4">
        <w:t xml:space="preserve">the trace element concentrations in </w:t>
      </w:r>
      <w:r w:rsidR="00941236">
        <w:t>plant and animal</w:t>
      </w:r>
      <w:r w:rsidR="00AB5EF4">
        <w:t xml:space="preserve"> tissue </w:t>
      </w:r>
      <w:r w:rsidR="004B7DFB">
        <w:t xml:space="preserve">are affected by relatively small variations in the environment in which they are grown, giving them </w:t>
      </w:r>
      <w:r w:rsidR="00941236">
        <w:t xml:space="preserve">a unique </w:t>
      </w:r>
      <w:r w:rsidR="004B7DFB">
        <w:t>chemical “</w:t>
      </w:r>
      <w:r w:rsidR="00941236">
        <w:t>signature</w:t>
      </w:r>
      <w:r w:rsidR="004B7DFB">
        <w:t>”</w:t>
      </w:r>
      <w:r w:rsidR="008F2776">
        <w:t xml:space="preserve">. This </w:t>
      </w:r>
      <w:r w:rsidR="00ED7AF5">
        <w:t xml:space="preserve">signature </w:t>
      </w:r>
      <w:r w:rsidR="008F2776">
        <w:t>can be used to help trace products along the supply chain.</w:t>
      </w:r>
    </w:p>
    <w:p w14:paraId="359A0F7B" w14:textId="7250AFC2" w:rsidR="00970CBF" w:rsidRDefault="00970CBF" w:rsidP="00967BB1"/>
    <w:p w14:paraId="478A8C4D" w14:textId="04010B7D" w:rsidR="00A209EA" w:rsidRDefault="00876F5E" w:rsidP="00876F5E">
      <w:r>
        <w:t xml:space="preserve">The Australian pork industry has developed a traceability </w:t>
      </w:r>
      <w:r w:rsidR="006B3ADD">
        <w:t>process</w:t>
      </w:r>
      <w:r>
        <w:t xml:space="preserve"> called </w:t>
      </w:r>
      <w:proofErr w:type="spellStart"/>
      <w:r w:rsidR="0024400E" w:rsidRPr="004C7BF0">
        <w:t>Physi</w:t>
      </w:r>
      <w:proofErr w:type="spellEnd"/>
      <w:r w:rsidR="0024400E" w:rsidRPr="004C7BF0">
        <w:t>-trace</w:t>
      </w:r>
      <w:r>
        <w:t>™, to verify and defend provenance claims and</w:t>
      </w:r>
      <w:r w:rsidR="001959B9">
        <w:t xml:space="preserve"> </w:t>
      </w:r>
      <w:r>
        <w:t>to support the supply of consistently high eating quality Australian pork to its customers</w:t>
      </w:r>
      <w:r w:rsidR="001959B9">
        <w:t xml:space="preserve"> (</w:t>
      </w:r>
      <w:r w:rsidR="00127036">
        <w:t xml:space="preserve">described by </w:t>
      </w:r>
      <w:r w:rsidR="001959B9">
        <w:t xml:space="preserve">Channon </w:t>
      </w:r>
      <w:r w:rsidR="001959B9" w:rsidRPr="5E0E5D06">
        <w:rPr>
          <w:i/>
          <w:iCs/>
        </w:rPr>
        <w:t>et al</w:t>
      </w:r>
      <w:r w:rsidR="001959B9">
        <w:t>. 2018)</w:t>
      </w:r>
      <w:r w:rsidR="000C1A0B">
        <w:rPr>
          <w:rStyle w:val="FootnoteReference"/>
        </w:rPr>
        <w:footnoteReference w:id="34"/>
      </w:r>
      <w:r w:rsidR="00355F13">
        <w:t xml:space="preserve">.  </w:t>
      </w:r>
      <w:r w:rsidR="000F6AAD">
        <w:t xml:space="preserve">It is used in conjunction with a </w:t>
      </w:r>
      <w:r w:rsidR="00556311">
        <w:t>paper</w:t>
      </w:r>
      <w:r w:rsidR="007434B4">
        <w:t>-</w:t>
      </w:r>
      <w:r w:rsidR="00556311">
        <w:t>based</w:t>
      </w:r>
      <w:r w:rsidR="000F6AAD">
        <w:t xml:space="preserve"> </w:t>
      </w:r>
      <w:r w:rsidR="00556311">
        <w:t xml:space="preserve">livestock and identification </w:t>
      </w:r>
      <w:r w:rsidR="000F6AAD">
        <w:t xml:space="preserve">movement </w:t>
      </w:r>
      <w:r w:rsidR="00556311">
        <w:t xml:space="preserve">system </w:t>
      </w:r>
      <w:r w:rsidR="000F6AAD">
        <w:t xml:space="preserve">called a </w:t>
      </w:r>
      <w:proofErr w:type="spellStart"/>
      <w:r w:rsidR="000F6AAD">
        <w:t>PigPass</w:t>
      </w:r>
      <w:proofErr w:type="spellEnd"/>
      <w:r w:rsidR="000F6AAD">
        <w:t xml:space="preserve"> </w:t>
      </w:r>
      <w:r w:rsidR="001959B9">
        <w:t>National Vendor Declaration</w:t>
      </w:r>
      <w:r w:rsidR="00556311">
        <w:t xml:space="preserve"> (NVD)</w:t>
      </w:r>
      <w:r w:rsidR="001959B9">
        <w:t xml:space="preserve"> </w:t>
      </w:r>
      <w:r w:rsidR="00556311">
        <w:t xml:space="preserve">that is linked to the </w:t>
      </w:r>
      <w:proofErr w:type="spellStart"/>
      <w:r w:rsidR="00556311">
        <w:t>PigPass</w:t>
      </w:r>
      <w:proofErr w:type="spellEnd"/>
      <w:r w:rsidR="00556311">
        <w:t xml:space="preserve"> database</w:t>
      </w:r>
      <w:r w:rsidR="00556311">
        <w:rPr>
          <w:rStyle w:val="FootnoteReference"/>
        </w:rPr>
        <w:footnoteReference w:id="35"/>
      </w:r>
      <w:r w:rsidR="001959B9">
        <w:t>.</w:t>
      </w:r>
      <w:r>
        <w:t xml:space="preserve">  </w:t>
      </w:r>
      <w:proofErr w:type="spellStart"/>
      <w:r>
        <w:t>Physi</w:t>
      </w:r>
      <w:proofErr w:type="spellEnd"/>
      <w:r>
        <w:t xml:space="preserve">-trace™ </w:t>
      </w:r>
      <w:r w:rsidR="00355F13">
        <w:t xml:space="preserve">relies on </w:t>
      </w:r>
      <w:r w:rsidR="00C3593A">
        <w:t>systematic</w:t>
      </w:r>
      <w:r w:rsidR="00A209EA">
        <w:t xml:space="preserve"> </w:t>
      </w:r>
      <w:r w:rsidR="00355F13">
        <w:t xml:space="preserve">variations in the chemical composition of pork </w:t>
      </w:r>
      <w:r w:rsidR="00495517">
        <w:t>from different sources</w:t>
      </w:r>
      <w:r w:rsidR="00F42CDD">
        <w:t>.  T</w:t>
      </w:r>
      <w:r w:rsidR="00495517">
        <w:t xml:space="preserve">race elements </w:t>
      </w:r>
      <w:proofErr w:type="gramStart"/>
      <w:r w:rsidR="00495517">
        <w:t>in a given</w:t>
      </w:r>
      <w:proofErr w:type="gramEnd"/>
      <w:r w:rsidR="00495517">
        <w:t xml:space="preserve"> sample </w:t>
      </w:r>
      <w:r w:rsidR="00CE6BA0">
        <w:t xml:space="preserve">can be compared </w:t>
      </w:r>
      <w:r w:rsidR="00495517">
        <w:t xml:space="preserve">with known reference samples to validate country, state and farm of origin.  </w:t>
      </w:r>
      <w:proofErr w:type="spellStart"/>
      <w:r w:rsidR="00F42CDD">
        <w:t>Phy</w:t>
      </w:r>
      <w:r w:rsidR="00391CA2">
        <w:t>s</w:t>
      </w:r>
      <w:r w:rsidR="00F42CDD">
        <w:t>i</w:t>
      </w:r>
      <w:proofErr w:type="spellEnd"/>
      <w:r w:rsidR="00F42CDD">
        <w:t xml:space="preserve">-Trace™ </w:t>
      </w:r>
      <w:r>
        <w:t xml:space="preserve">uses TSW Analytical Pty Ltd laboratories for processing its samples.  </w:t>
      </w:r>
      <w:r w:rsidR="00476701">
        <w:t xml:space="preserve">TSW Analytical is part of the </w:t>
      </w:r>
      <w:r w:rsidR="008C7C34" w:rsidRPr="003B7E74">
        <w:t>Source Certain</w:t>
      </w:r>
      <w:r w:rsidR="00476701">
        <w:t xml:space="preserve"> group</w:t>
      </w:r>
      <w:r w:rsidR="008C7C34">
        <w:rPr>
          <w:rStyle w:val="FootnoteReference"/>
        </w:rPr>
        <w:footnoteReference w:id="36"/>
      </w:r>
      <w:r w:rsidR="00476701">
        <w:t xml:space="preserve">, which also provides supply chain traceability services for a wide range of products including minerals, pharmaceuticals, foodstuffs (incl. meat), artworks </w:t>
      </w:r>
      <w:r w:rsidR="00476701" w:rsidRPr="5E0E5D06">
        <w:rPr>
          <w:i/>
          <w:iCs/>
        </w:rPr>
        <w:t>etc</w:t>
      </w:r>
      <w:r w:rsidR="00476701">
        <w:t xml:space="preserve">. using </w:t>
      </w:r>
      <w:r w:rsidR="008C7C34" w:rsidRPr="003B7E74">
        <w:t>TSW Trace</w:t>
      </w:r>
      <w:r w:rsidR="00476701">
        <w:t>™ methodology</w:t>
      </w:r>
      <w:r w:rsidR="004F1AD4">
        <w:rPr>
          <w:rStyle w:val="FootnoteReference"/>
        </w:rPr>
        <w:footnoteReference w:id="37"/>
      </w:r>
      <w:r w:rsidR="00476701">
        <w:t>.</w:t>
      </w:r>
      <w:r w:rsidR="000D602D">
        <w:t xml:space="preserve">  Source Certain depicts the </w:t>
      </w:r>
      <w:r w:rsidR="006B3ADD">
        <w:t xml:space="preserve">general </w:t>
      </w:r>
      <w:r w:rsidR="000D602D">
        <w:t xml:space="preserve">process as </w:t>
      </w:r>
      <w:r w:rsidR="00341A8B">
        <w:t>shown in Figure 2</w:t>
      </w:r>
      <w:r w:rsidR="004C5446">
        <w:t>.</w:t>
      </w:r>
    </w:p>
    <w:p w14:paraId="5D60A9B2" w14:textId="3DBA742A" w:rsidR="004C5446" w:rsidRDefault="004C5446" w:rsidP="00876F5E"/>
    <w:p w14:paraId="65634BBA" w14:textId="77777777" w:rsidR="004C5446" w:rsidRDefault="004C5446" w:rsidP="004C5446">
      <w:r>
        <w:t xml:space="preserve">APL’s 1920/21 Annual Report indicates the cost of a single traceback event to be around $6,600.  According to APL (V. Gore, </w:t>
      </w:r>
      <w:r w:rsidRPr="00C73E72">
        <w:rPr>
          <w:i/>
          <w:iCs/>
        </w:rPr>
        <w:t>pers</w:t>
      </w:r>
      <w:r>
        <w:rPr>
          <w:i/>
          <w:iCs/>
        </w:rPr>
        <w:t>.</w:t>
      </w:r>
      <w:r w:rsidRPr="00C73E72">
        <w:rPr>
          <w:i/>
          <w:iCs/>
        </w:rPr>
        <w:t xml:space="preserve"> com</w:t>
      </w:r>
      <w:r>
        <w:rPr>
          <w:i/>
          <w:iCs/>
        </w:rPr>
        <w:t>m.</w:t>
      </w:r>
      <w:r>
        <w:t xml:space="preserve">), this is because the library must be updated with samples from the putative piggery to ensure currency of the database, as trace element profiles can change with water supply, feed additives </w:t>
      </w:r>
      <w:r w:rsidRPr="00A03B0A">
        <w:rPr>
          <w:i/>
          <w:iCs/>
        </w:rPr>
        <w:t>etc</w:t>
      </w:r>
      <w:r>
        <w:t xml:space="preserve">.  Turn-around time is thought to be approximately 5 days, but this can vary considerably depending on laboratory availability.  APL is currently supporting </w:t>
      </w:r>
      <w:r w:rsidRPr="004C7BF0">
        <w:t>projects</w:t>
      </w:r>
      <w:r>
        <w:t xml:space="preserve"> to enhance the technology using machine learning</w:t>
      </w:r>
      <w:r>
        <w:rPr>
          <w:rStyle w:val="FootnoteReference"/>
        </w:rPr>
        <w:footnoteReference w:id="38"/>
      </w:r>
      <w:r>
        <w:t>.</w:t>
      </w:r>
    </w:p>
    <w:p w14:paraId="35075217" w14:textId="77777777" w:rsidR="004C5446" w:rsidRDefault="004C5446" w:rsidP="00876F5E"/>
    <w:p w14:paraId="034BEAE5" w14:textId="3713F55A" w:rsidR="000B5C8C" w:rsidRDefault="000B5C8C" w:rsidP="00FA3702">
      <w:pPr>
        <w:jc w:val="center"/>
      </w:pPr>
      <w:r>
        <w:rPr>
          <w:noProof/>
        </w:rPr>
        <w:lastRenderedPageBreak/>
        <w:drawing>
          <wp:inline distT="0" distB="0" distL="0" distR="0" wp14:anchorId="13B8513E" wp14:editId="69DDE018">
            <wp:extent cx="3124200" cy="4058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5221" cy="4072755"/>
                    </a:xfrm>
                    <a:prstGeom prst="rect">
                      <a:avLst/>
                    </a:prstGeom>
                  </pic:spPr>
                </pic:pic>
              </a:graphicData>
            </a:graphic>
          </wp:inline>
        </w:drawing>
      </w:r>
    </w:p>
    <w:p w14:paraId="26B3EEE0" w14:textId="2D4B606B" w:rsidR="002C0CAB" w:rsidRDefault="0020677E" w:rsidP="00475E28">
      <w:pPr>
        <w:pStyle w:val="Caption"/>
      </w:pPr>
      <w:bookmarkStart w:id="59" w:name="_Toc95983450"/>
      <w:r>
        <w:t xml:space="preserve">Figure </w:t>
      </w:r>
      <w:r>
        <w:fldChar w:fldCharType="begin"/>
      </w:r>
      <w:r>
        <w:instrText>SEQ Figure \* ARABIC</w:instrText>
      </w:r>
      <w:r>
        <w:fldChar w:fldCharType="separate"/>
      </w:r>
      <w:r w:rsidR="008D0D42">
        <w:rPr>
          <w:noProof/>
        </w:rPr>
        <w:t>4</w:t>
      </w:r>
      <w:r>
        <w:fldChar w:fldCharType="end"/>
      </w:r>
      <w:r w:rsidR="00283FD8">
        <w:t>.</w:t>
      </w:r>
      <w:r w:rsidR="00341A8B" w:rsidRPr="001D194C">
        <w:t xml:space="preserve">  </w:t>
      </w:r>
      <w:r w:rsidR="004835E7" w:rsidRPr="0020677E">
        <w:t>The TSW Trace™ system.</w:t>
      </w:r>
      <w:bookmarkEnd w:id="59"/>
      <w:r w:rsidR="004835E7" w:rsidRPr="0020677E">
        <w:t xml:space="preserve"> </w:t>
      </w:r>
    </w:p>
    <w:p w14:paraId="3837B14B" w14:textId="2B84F4E6" w:rsidR="000B5C8C" w:rsidRPr="002C0CAB" w:rsidRDefault="004835E7" w:rsidP="002C0CAB">
      <w:pPr>
        <w:jc w:val="center"/>
        <w:rPr>
          <w:i/>
          <w:iCs/>
        </w:rPr>
      </w:pPr>
      <w:r w:rsidRPr="002C0CAB">
        <w:rPr>
          <w:i/>
          <w:iCs/>
        </w:rPr>
        <w:t>(Source: https://sourcecertain.international/technology.php</w:t>
      </w:r>
      <w:r w:rsidR="007C7D56" w:rsidRPr="002C0CAB">
        <w:rPr>
          <w:i/>
          <w:iCs/>
        </w:rPr>
        <w:t>)</w:t>
      </w:r>
    </w:p>
    <w:p w14:paraId="29F0758B" w14:textId="77777777" w:rsidR="00C93701" w:rsidRDefault="00C93701" w:rsidP="005543FA"/>
    <w:p w14:paraId="37948144" w14:textId="53EB531E" w:rsidR="005543FA" w:rsidRDefault="005543FA" w:rsidP="005543FA">
      <w:proofErr w:type="spellStart"/>
      <w:r>
        <w:t>Oritain</w:t>
      </w:r>
      <w:proofErr w:type="spellEnd"/>
      <w:r>
        <w:t xml:space="preserve">™ is another company offering a service </w:t>
      </w:r>
      <w:r w:rsidR="00880FBF">
        <w:t>that</w:t>
      </w:r>
      <w:r>
        <w:t xml:space="preserve"> uses trace elements and isotopes in a product to </w:t>
      </w:r>
      <w:r w:rsidR="005D2D98">
        <w:t xml:space="preserve">help </w:t>
      </w:r>
      <w:r>
        <w:t xml:space="preserve">ascertain its source.  According to </w:t>
      </w:r>
      <w:proofErr w:type="spellStart"/>
      <w:r w:rsidR="00444ABE">
        <w:t>Oritain’s</w:t>
      </w:r>
      <w:proofErr w:type="spellEnd"/>
      <w:r>
        <w:t xml:space="preserve"> </w:t>
      </w:r>
      <w:r w:rsidR="004F1AD4" w:rsidRPr="003B7E74">
        <w:t>web site</w:t>
      </w:r>
      <w:r>
        <w:t>, the technology is built on criminal forensic techniques and claims to be acceptable as evidence in a criminal court of law, delivering results in 1-5 days</w:t>
      </w:r>
      <w:r w:rsidR="004F1AD4">
        <w:rPr>
          <w:rStyle w:val="FootnoteReference"/>
        </w:rPr>
        <w:footnoteReference w:id="39"/>
      </w:r>
      <w:r>
        <w:t xml:space="preserve">.  It works in the fields of aquaculture, eggs, fibre, honey, horticulture, meat, </w:t>
      </w:r>
      <w:proofErr w:type="gramStart"/>
      <w:r>
        <w:t>wine</w:t>
      </w:r>
      <w:proofErr w:type="gramEnd"/>
      <w:r>
        <w:t xml:space="preserve"> and pharmaceuticals, </w:t>
      </w:r>
      <w:r w:rsidRPr="5E0E5D06">
        <w:rPr>
          <w:i/>
          <w:iCs/>
        </w:rPr>
        <w:t xml:space="preserve">inter alia.  </w:t>
      </w:r>
      <w:r w:rsidRPr="00B46C54">
        <w:t xml:space="preserve">A </w:t>
      </w:r>
      <w:r w:rsidRPr="00653DA9">
        <w:t xml:space="preserve">recent MLA Donor Company </w:t>
      </w:r>
      <w:r w:rsidR="00175A2C" w:rsidRPr="00E26B15">
        <w:t>project</w:t>
      </w:r>
      <w:r w:rsidRPr="00653DA9">
        <w:t xml:space="preserve"> </w:t>
      </w:r>
      <w:r w:rsidRPr="006046F2">
        <w:t>demonstrate</w:t>
      </w:r>
      <w:r>
        <w:t>d</w:t>
      </w:r>
      <w:r w:rsidRPr="006046F2">
        <w:t xml:space="preserve"> </w:t>
      </w:r>
      <w:proofErr w:type="spellStart"/>
      <w:r w:rsidRPr="006046F2">
        <w:t>Oritain's</w:t>
      </w:r>
      <w:proofErr w:type="spellEnd"/>
      <w:r w:rsidRPr="006046F2">
        <w:t xml:space="preserve"> ability to distinguish Australian beef and lamb from meat produced in other countries</w:t>
      </w:r>
      <w:r>
        <w:t xml:space="preserve"> by developing a “Fit for purpose Origin Fingerprint”</w:t>
      </w:r>
      <w:r w:rsidR="00175A2C">
        <w:rPr>
          <w:rStyle w:val="FootnoteReference"/>
        </w:rPr>
        <w:footnoteReference w:id="40"/>
      </w:r>
      <w:r>
        <w:t xml:space="preserve">.  Reference sets were established for both beef and lamb by collecting samples from a wide range of abattoirs across Australia. The profiles of 75 samples were determined and were found to be statistically distinguishable from samples taken in other countries – 14 countries in the case of beef and eight for lamb. </w:t>
      </w:r>
    </w:p>
    <w:p w14:paraId="572FCFDD" w14:textId="77777777" w:rsidR="005543FA" w:rsidRDefault="005543FA" w:rsidP="005543FA"/>
    <w:p w14:paraId="783F8314" w14:textId="79A6B2EC" w:rsidR="005543FA" w:rsidRDefault="00880FBF" w:rsidP="00967BB1">
      <w:r>
        <w:t xml:space="preserve">The effectiveness of systems </w:t>
      </w:r>
      <w:r w:rsidR="0004737E">
        <w:t xml:space="preserve">that </w:t>
      </w:r>
      <w:r w:rsidR="00D314EC">
        <w:t xml:space="preserve">rely on chemical composition </w:t>
      </w:r>
      <w:r>
        <w:t>obviously depen</w:t>
      </w:r>
      <w:r w:rsidR="00D314EC">
        <w:t>d</w:t>
      </w:r>
      <w:r>
        <w:t xml:space="preserve"> on the comprehensiveness of the reference library and on the background profiles of farms be</w:t>
      </w:r>
      <w:r w:rsidR="0004737E">
        <w:t>ing</w:t>
      </w:r>
      <w:r>
        <w:t xml:space="preserve"> sufficiently different from one another</w:t>
      </w:r>
      <w:r w:rsidR="00A36A9C">
        <w:t xml:space="preserve"> and reproducible over time</w:t>
      </w:r>
      <w:r>
        <w:t xml:space="preserve">. </w:t>
      </w:r>
      <w:r w:rsidR="008576F8">
        <w:t>Given the variability of soil</w:t>
      </w:r>
      <w:r w:rsidR="00D74927">
        <w:t xml:space="preserve"> type</w:t>
      </w:r>
      <w:r w:rsidR="008576F8">
        <w:t>s, water</w:t>
      </w:r>
      <w:r w:rsidR="00A854AC">
        <w:t xml:space="preserve">, </w:t>
      </w:r>
      <w:r w:rsidR="00D74927">
        <w:t xml:space="preserve">pasture, </w:t>
      </w:r>
      <w:r w:rsidR="00C00473">
        <w:t xml:space="preserve">rainfall, </w:t>
      </w:r>
      <w:r w:rsidR="00A854AC">
        <w:t>feeding</w:t>
      </w:r>
      <w:r w:rsidR="005B1990">
        <w:t xml:space="preserve"> supplements and even breed </w:t>
      </w:r>
      <w:r w:rsidR="00A854AC">
        <w:t xml:space="preserve">within a typical beef or sheep </w:t>
      </w:r>
      <w:r w:rsidR="002271C6">
        <w:t>property</w:t>
      </w:r>
      <w:r w:rsidR="00A854AC">
        <w:t xml:space="preserve">, we consider it unlikely that chemical profiling </w:t>
      </w:r>
      <w:r w:rsidR="005B1990">
        <w:t xml:space="preserve">could reliably distinguish between </w:t>
      </w:r>
      <w:r w:rsidR="002271C6">
        <w:t xml:space="preserve">products grown on </w:t>
      </w:r>
      <w:r w:rsidR="005B1990">
        <w:t xml:space="preserve">neighbouring </w:t>
      </w:r>
      <w:r w:rsidR="002271C6">
        <w:t>farms</w:t>
      </w:r>
      <w:r w:rsidR="004B77C7">
        <w:t xml:space="preserve"> with similar production systems</w:t>
      </w:r>
      <w:r w:rsidR="002271C6">
        <w:t xml:space="preserve">, for </w:t>
      </w:r>
      <w:proofErr w:type="gramStart"/>
      <w:r w:rsidR="002271C6">
        <w:t>example</w:t>
      </w:r>
      <w:r w:rsidR="00132C27">
        <w:t>;</w:t>
      </w:r>
      <w:proofErr w:type="gramEnd"/>
      <w:r w:rsidR="00132C27">
        <w:t xml:space="preserve"> at least not without a </w:t>
      </w:r>
      <w:r w:rsidR="00E354E1">
        <w:t xml:space="preserve">very </w:t>
      </w:r>
      <w:r w:rsidR="00132C27">
        <w:t>large and frequently updated reference library of tissue samples</w:t>
      </w:r>
      <w:r w:rsidR="002271C6">
        <w:t xml:space="preserve">.  </w:t>
      </w:r>
    </w:p>
    <w:p w14:paraId="62220D7A" w14:textId="4F6BDFA8" w:rsidR="00880FBF" w:rsidRDefault="00880FBF" w:rsidP="00967BB1"/>
    <w:p w14:paraId="2795C3CE" w14:textId="31C120C7" w:rsidR="00967BB1" w:rsidRPr="00356679" w:rsidRDefault="00967BB1" w:rsidP="0021172A">
      <w:pPr>
        <w:pStyle w:val="Heading3"/>
      </w:pPr>
      <w:bookmarkStart w:id="60" w:name="_Toc95983388"/>
      <w:r w:rsidRPr="00356679">
        <w:t>Geno</w:t>
      </w:r>
      <w:r w:rsidR="007D2B74">
        <w:t>mics</w:t>
      </w:r>
      <w:bookmarkEnd w:id="60"/>
    </w:p>
    <w:p w14:paraId="37858A5B" w14:textId="77777777" w:rsidR="00967BB1" w:rsidRDefault="00967BB1" w:rsidP="00967BB1"/>
    <w:p w14:paraId="19199AB4" w14:textId="462E06AE" w:rsidR="00967BB1" w:rsidRPr="00356679" w:rsidRDefault="00967BB1" w:rsidP="00967BB1">
      <w:r w:rsidRPr="00356679">
        <w:lastRenderedPageBreak/>
        <w:t>Genotyp</w:t>
      </w:r>
      <w:r>
        <w:t xml:space="preserve">ic information is used widely in the animal industries, particularly in the seedstock sector, and relies on the fact that each animal has a unique genetic profile (monozygotic twins and clones being notable exceptions).  Although there are now numerous applications of genomic technologies, those principally used by breeders in the cattle and sheep industries can be classified as being primarily for ancestry ascertainment/verification and/or genetic evaluation (although the two applications are not unrelated).  The latter includes diagnostics for a wide range of genetic defects </w:t>
      </w:r>
      <w:r w:rsidR="004B77C7">
        <w:t xml:space="preserve">and poll/horn status </w:t>
      </w:r>
      <w:r>
        <w:t>and is being used increasingly for performance prediction and sorting for specific production and finishing pathways.</w:t>
      </w:r>
      <w:r w:rsidR="00771AAB">
        <w:t xml:space="preserve">  DNA is typically extracted from tail hair samples, blood cards, semen or </w:t>
      </w:r>
      <w:r w:rsidR="007739C9">
        <w:t xml:space="preserve">an </w:t>
      </w:r>
      <w:r w:rsidR="00771AAB">
        <w:t>ear</w:t>
      </w:r>
      <w:r w:rsidR="007739C9">
        <w:t xml:space="preserve"> punch using a tissue sampling unit (TSU). </w:t>
      </w:r>
      <w:r w:rsidR="00910DEF">
        <w:t xml:space="preserve">According to </w:t>
      </w:r>
      <w:proofErr w:type="spellStart"/>
      <w:r w:rsidR="00175A2C" w:rsidRPr="00E26B15">
        <w:t>Allflex</w:t>
      </w:r>
      <w:proofErr w:type="spellEnd"/>
      <w:r w:rsidR="00910DEF">
        <w:t>, t</w:t>
      </w:r>
      <w:r w:rsidR="007739C9">
        <w:t>he latter is the method preferred by most laboratories</w:t>
      </w:r>
      <w:r w:rsidR="00910DEF">
        <w:t xml:space="preserve"> </w:t>
      </w:r>
      <w:r w:rsidR="00A11B13">
        <w:t xml:space="preserve">as it is reliable, </w:t>
      </w:r>
      <w:r w:rsidR="00EF076A">
        <w:t xml:space="preserve">provides a clean sample, is </w:t>
      </w:r>
      <w:r w:rsidR="00A11B13">
        <w:t xml:space="preserve">easy to transport, </w:t>
      </w:r>
      <w:r w:rsidR="007B2BA6">
        <w:t xml:space="preserve">is bar coded and </w:t>
      </w:r>
      <w:r w:rsidR="00EF076A">
        <w:t xml:space="preserve">can be </w:t>
      </w:r>
      <w:r w:rsidR="007B2BA6">
        <w:t xml:space="preserve">readily </w:t>
      </w:r>
      <w:r w:rsidR="00EF076A">
        <w:t xml:space="preserve">matched </w:t>
      </w:r>
      <w:r w:rsidR="007B2BA6">
        <w:t>to NLIS</w:t>
      </w:r>
      <w:r w:rsidR="000B0590">
        <w:t xml:space="preserve"> and management tags</w:t>
      </w:r>
      <w:r w:rsidR="00175A2C">
        <w:rPr>
          <w:rStyle w:val="FootnoteReference"/>
        </w:rPr>
        <w:footnoteReference w:id="41"/>
      </w:r>
      <w:r w:rsidR="000B0590">
        <w:t>.</w:t>
      </w:r>
    </w:p>
    <w:p w14:paraId="0650B679" w14:textId="77777777" w:rsidR="00967BB1" w:rsidRDefault="00967BB1" w:rsidP="00967BB1"/>
    <w:p w14:paraId="6A4AD0DC" w14:textId="1F254D35" w:rsidR="00914FE1" w:rsidRDefault="00191A82" w:rsidP="00191A82">
      <w:r>
        <w:t xml:space="preserve">With the rapid evolution of genomic technologies, the possibility now exists that DNA information could be used to help overcome some of the perceived vulnerabilities in the current </w:t>
      </w:r>
      <w:r w:rsidR="00774D65">
        <w:t xml:space="preserve">traceability </w:t>
      </w:r>
      <w:r>
        <w:t xml:space="preserve">system.  </w:t>
      </w:r>
      <w:r w:rsidR="0003525C">
        <w:t xml:space="preserve">This idea was explored </w:t>
      </w:r>
      <w:r w:rsidR="001C46D7">
        <w:t xml:space="preserve">as early as 2006 </w:t>
      </w:r>
      <w:r w:rsidR="0003525C">
        <w:t xml:space="preserve">in an MLA-supported </w:t>
      </w:r>
      <w:r w:rsidR="00175A2C" w:rsidRPr="00E26B15">
        <w:t>project</w:t>
      </w:r>
      <w:r w:rsidR="0003525C">
        <w:t xml:space="preserve"> </w:t>
      </w:r>
      <w:r w:rsidR="006D3DC2">
        <w:t>by id-DNA Pty Ltd</w:t>
      </w:r>
      <w:r w:rsidR="00F33172">
        <w:rPr>
          <w:rStyle w:val="FootnoteReference"/>
        </w:rPr>
        <w:footnoteReference w:id="42"/>
      </w:r>
      <w:r w:rsidR="00A80B34">
        <w:t xml:space="preserve">, </w:t>
      </w:r>
      <w:r w:rsidR="001C46D7">
        <w:t>who held a relevant patent position</w:t>
      </w:r>
      <w:r w:rsidR="00F91FCD">
        <w:t xml:space="preserve"> involving genotyping animals and loading genomic information back onto RFID </w:t>
      </w:r>
      <w:r w:rsidR="004B77C7">
        <w:t>ear tags</w:t>
      </w:r>
      <w:r w:rsidR="001C46D7">
        <w:t>.  Th</w:t>
      </w:r>
      <w:r w:rsidR="00674FB3">
        <w:t>ese</w:t>
      </w:r>
      <w:r w:rsidR="001C46D7">
        <w:t xml:space="preserve"> patent</w:t>
      </w:r>
      <w:r w:rsidR="009D3619">
        <w:t>s</w:t>
      </w:r>
      <w:r w:rsidR="001C46D7">
        <w:t xml:space="preserve"> appear to have lapsed</w:t>
      </w:r>
      <w:r w:rsidR="00F33172">
        <w:rPr>
          <w:rStyle w:val="FootnoteReference"/>
        </w:rPr>
        <w:footnoteReference w:id="43"/>
      </w:r>
      <w:r w:rsidR="001737A4">
        <w:t xml:space="preserve">. </w:t>
      </w:r>
    </w:p>
    <w:p w14:paraId="29E87314" w14:textId="77777777" w:rsidR="00914FE1" w:rsidRDefault="00914FE1" w:rsidP="00191A82"/>
    <w:p w14:paraId="4A3F256E" w14:textId="571FEFFB" w:rsidR="00F91FCD" w:rsidRDefault="00914FE1" w:rsidP="00F207BB">
      <w:r>
        <w:t xml:space="preserve">More recently, </w:t>
      </w:r>
      <w:r w:rsidR="00DF08AE">
        <w:t xml:space="preserve">both </w:t>
      </w:r>
      <w:r>
        <w:t xml:space="preserve">Ireland </w:t>
      </w:r>
      <w:r w:rsidR="00DF08AE">
        <w:t xml:space="preserve">and Switzerland </w:t>
      </w:r>
      <w:r>
        <w:t>ha</w:t>
      </w:r>
      <w:r w:rsidR="00DF08AE">
        <w:t>ve</w:t>
      </w:r>
      <w:r>
        <w:t xml:space="preserve"> implemented a national DNA-based identification system for </w:t>
      </w:r>
      <w:r w:rsidR="00DF08AE">
        <w:t>their</w:t>
      </w:r>
      <w:r>
        <w:t xml:space="preserve"> cattle herd</w:t>
      </w:r>
      <w:r w:rsidR="00DF08AE">
        <w:t>s</w:t>
      </w:r>
      <w:r w:rsidR="00F207BB">
        <w:t>.</w:t>
      </w:r>
      <w:r w:rsidR="00DF08AE">
        <w:t xml:space="preserve"> </w:t>
      </w:r>
      <w:r w:rsidR="00F207BB">
        <w:t xml:space="preserve"> In the UK, a pilot project was launched in early 2021 to assess the potential for </w:t>
      </w:r>
      <w:r w:rsidR="006E4E8E">
        <w:t xml:space="preserve">a </w:t>
      </w:r>
      <w:r w:rsidR="00F207BB">
        <w:t>DNA traceability system through the UK’s beef supply chain</w:t>
      </w:r>
      <w:r w:rsidR="00303BA6">
        <w:t xml:space="preserve"> and some beef supply chains in Australia are already using the technology on a limited basis</w:t>
      </w:r>
      <w:r w:rsidR="006E4E8E">
        <w:t xml:space="preserve">.  </w:t>
      </w:r>
    </w:p>
    <w:p w14:paraId="738BCEE4" w14:textId="6FF8F427" w:rsidR="00F91FCD" w:rsidRDefault="00F91FCD" w:rsidP="00191A82"/>
    <w:p w14:paraId="68AF19F2" w14:textId="755A4A5F" w:rsidR="00B11B9A" w:rsidRPr="00E573DB" w:rsidRDefault="00B11B9A" w:rsidP="0021172A">
      <w:pPr>
        <w:pStyle w:val="Heading2"/>
      </w:pPr>
      <w:bookmarkStart w:id="61" w:name="_Toc95983389"/>
      <w:r w:rsidRPr="00E573DB">
        <w:t xml:space="preserve">Other </w:t>
      </w:r>
      <w:r w:rsidR="00C00473">
        <w:t>applications</w:t>
      </w:r>
      <w:r w:rsidRPr="00E573DB">
        <w:t xml:space="preserve"> of genomic information</w:t>
      </w:r>
      <w:bookmarkEnd w:id="61"/>
      <w:r w:rsidRPr="00E573DB">
        <w:t xml:space="preserve"> </w:t>
      </w:r>
    </w:p>
    <w:p w14:paraId="20833FA5" w14:textId="77777777" w:rsidR="00B11B9A" w:rsidRPr="00E573DB" w:rsidRDefault="00B11B9A" w:rsidP="00577199">
      <w:pPr>
        <w:keepNext/>
        <w:keepLines/>
      </w:pPr>
    </w:p>
    <w:p w14:paraId="4C2A0BE2" w14:textId="77777777" w:rsidR="002F5C87" w:rsidRDefault="00B11B9A" w:rsidP="00B754C0">
      <w:r w:rsidRPr="00E573DB">
        <w:t xml:space="preserve">As indicated previously, a growing number of seedstock breeders (both cattle and sheep) are using genomic technologies in some form.  </w:t>
      </w:r>
      <w:r>
        <w:t>The most common applications are for genomic prediction and for pedigree ascertainment/verification.</w:t>
      </w:r>
      <w:r w:rsidR="00712F66">
        <w:t xml:space="preserve">  </w:t>
      </w:r>
    </w:p>
    <w:p w14:paraId="76AE8AA2" w14:textId="77777777" w:rsidR="002F5C87" w:rsidRDefault="002F5C87" w:rsidP="00B754C0"/>
    <w:p w14:paraId="662D518A" w14:textId="345BF1CA" w:rsidR="00B11B9A" w:rsidRDefault="008474E3" w:rsidP="00B754C0">
      <w:r>
        <w:t>In recent years, a</w:t>
      </w:r>
      <w:r w:rsidR="00712F66">
        <w:t xml:space="preserve">bout one-third of the </w:t>
      </w:r>
      <w:r>
        <w:t>flocks contributing data to Sheep Genetics supply at least some genomic</w:t>
      </w:r>
      <w:r w:rsidR="005026B5">
        <w:t xml:space="preserve"> information for one of these purposes.  </w:t>
      </w:r>
      <w:r w:rsidR="00411189">
        <w:t xml:space="preserve">This is substantially greater than the proportion of animals in the </w:t>
      </w:r>
      <w:r w:rsidR="00EA1A87">
        <w:t xml:space="preserve">Sheep Genetics dataset </w:t>
      </w:r>
      <w:r w:rsidR="00411189">
        <w:t>with genomic information</w:t>
      </w:r>
      <w:r w:rsidR="00B9235B">
        <w:t xml:space="preserve">, but it does indicate that many </w:t>
      </w:r>
      <w:r w:rsidR="00B754C0">
        <w:t xml:space="preserve">sheep </w:t>
      </w:r>
      <w:r w:rsidR="00B9235B">
        <w:t xml:space="preserve">breeders have at least had some experience with the process of collecting and submitting tissue samples for genomic </w:t>
      </w:r>
      <w:r w:rsidR="00EA1A87">
        <w:t>analysis.</w:t>
      </w:r>
      <w:r w:rsidR="00B11B9A">
        <w:t xml:space="preserve"> </w:t>
      </w:r>
      <w:r w:rsidR="00B754C0">
        <w:t xml:space="preserve">In beef, there is wide variation between breeds, but </w:t>
      </w:r>
      <w:r w:rsidR="00070999">
        <w:t>overall,</w:t>
      </w:r>
      <w:r w:rsidR="00B754C0">
        <w:t xml:space="preserve"> around 30-50% of animals entering BREEDPLAN analyses within a year now have geno</w:t>
      </w:r>
      <w:r w:rsidR="00FB57A8">
        <w:t>mic information included</w:t>
      </w:r>
      <w:r w:rsidR="00B754C0">
        <w:t xml:space="preserve">, reflecting use by approximately 20-30% of breeders.  </w:t>
      </w:r>
      <w:r w:rsidR="00CE29C2">
        <w:t>The adoption rate i</w:t>
      </w:r>
      <w:r w:rsidR="00B754C0">
        <w:t xml:space="preserve">n both </w:t>
      </w:r>
      <w:r w:rsidR="002F5C87">
        <w:t>sheep and beef,</w:t>
      </w:r>
      <w:r w:rsidR="00B754C0">
        <w:t xml:space="preserve"> as measured by numbers of genotypes being submitted</w:t>
      </w:r>
      <w:r w:rsidR="002F5C87">
        <w:t>,</w:t>
      </w:r>
      <w:r w:rsidR="00B754C0">
        <w:t xml:space="preserve"> is growing rapidly.</w:t>
      </w:r>
    </w:p>
    <w:p w14:paraId="739E089A" w14:textId="77777777" w:rsidR="00B11B9A" w:rsidRPr="004A6227" w:rsidRDefault="00B11B9A" w:rsidP="00B11B9A">
      <w:pPr>
        <w:rPr>
          <w:rFonts w:cstheme="minorHAnsi"/>
        </w:rPr>
      </w:pPr>
    </w:p>
    <w:p w14:paraId="10BCE440" w14:textId="14BD1FB7" w:rsidR="00B11B9A" w:rsidRPr="004A6227" w:rsidRDefault="00B11B9A" w:rsidP="5E0E5D06">
      <w:pPr>
        <w:pStyle w:val="Default"/>
        <w:rPr>
          <w:rFonts w:asciiTheme="minorHAnsi" w:hAnsiTheme="minorHAnsi" w:cstheme="minorBidi"/>
          <w:sz w:val="22"/>
          <w:szCs w:val="22"/>
        </w:rPr>
      </w:pPr>
      <w:r w:rsidRPr="00577199">
        <w:rPr>
          <w:rStyle w:val="Heading4Char"/>
        </w:rPr>
        <w:t>Genomic prediction</w:t>
      </w:r>
      <w:r w:rsidRPr="5E0E5D06">
        <w:rPr>
          <w:rFonts w:asciiTheme="minorHAnsi" w:hAnsiTheme="minorHAnsi" w:cstheme="minorBidi"/>
          <w:sz w:val="22"/>
          <w:szCs w:val="22"/>
        </w:rPr>
        <w:t xml:space="preserve"> </w:t>
      </w:r>
      <w:r w:rsidR="007B1720">
        <w:rPr>
          <w:rFonts w:asciiTheme="minorHAnsi" w:hAnsiTheme="minorHAnsi" w:cstheme="minorBidi"/>
          <w:sz w:val="22"/>
          <w:szCs w:val="22"/>
        </w:rPr>
        <w:t>G</w:t>
      </w:r>
      <w:r w:rsidRPr="5E0E5D06">
        <w:rPr>
          <w:rFonts w:asciiTheme="minorHAnsi" w:hAnsiTheme="minorHAnsi" w:cstheme="minorBidi"/>
          <w:sz w:val="22"/>
          <w:szCs w:val="22"/>
        </w:rPr>
        <w:t xml:space="preserve">enomic tests allow selections </w:t>
      </w:r>
      <w:r w:rsidR="007A62D9">
        <w:rPr>
          <w:rFonts w:asciiTheme="minorHAnsi" w:hAnsiTheme="minorHAnsi" w:cstheme="minorBidi"/>
          <w:sz w:val="22"/>
          <w:szCs w:val="22"/>
        </w:rPr>
        <w:t>in the seedstock sector</w:t>
      </w:r>
      <w:r w:rsidR="007A62D9" w:rsidRPr="5E0E5D06">
        <w:rPr>
          <w:rFonts w:asciiTheme="minorHAnsi" w:hAnsiTheme="minorHAnsi" w:cstheme="minorBidi"/>
          <w:sz w:val="22"/>
          <w:szCs w:val="22"/>
        </w:rPr>
        <w:t xml:space="preserve"> </w:t>
      </w:r>
      <w:r w:rsidRPr="5E0E5D06">
        <w:rPr>
          <w:rFonts w:asciiTheme="minorHAnsi" w:hAnsiTheme="minorHAnsi" w:cstheme="minorBidi"/>
          <w:sz w:val="22"/>
          <w:szCs w:val="22"/>
        </w:rPr>
        <w:t>to be made at an earlier age</w:t>
      </w:r>
      <w:r w:rsidR="00324471">
        <w:rPr>
          <w:rFonts w:asciiTheme="minorHAnsi" w:hAnsiTheme="minorHAnsi" w:cstheme="minorBidi"/>
          <w:sz w:val="22"/>
          <w:szCs w:val="22"/>
        </w:rPr>
        <w:t xml:space="preserve"> (</w:t>
      </w:r>
      <w:r w:rsidRPr="5E0E5D06">
        <w:rPr>
          <w:rFonts w:asciiTheme="minorHAnsi" w:hAnsiTheme="minorHAnsi" w:cstheme="minorBidi"/>
          <w:sz w:val="22"/>
          <w:szCs w:val="22"/>
        </w:rPr>
        <w:t>thus reducing the generation interval</w:t>
      </w:r>
      <w:r w:rsidR="00324471">
        <w:rPr>
          <w:rFonts w:asciiTheme="minorHAnsi" w:hAnsiTheme="minorHAnsi" w:cstheme="minorBidi"/>
          <w:sz w:val="22"/>
          <w:szCs w:val="22"/>
        </w:rPr>
        <w:t>)</w:t>
      </w:r>
      <w:r w:rsidRPr="5E0E5D06">
        <w:rPr>
          <w:rFonts w:asciiTheme="minorHAnsi" w:hAnsiTheme="minorHAnsi" w:cstheme="minorBidi"/>
          <w:sz w:val="22"/>
          <w:szCs w:val="22"/>
        </w:rPr>
        <w:t xml:space="preserve"> and </w:t>
      </w:r>
      <w:r w:rsidR="003A397E">
        <w:rPr>
          <w:rFonts w:asciiTheme="minorHAnsi" w:hAnsiTheme="minorHAnsi" w:cstheme="minorBidi"/>
          <w:sz w:val="22"/>
          <w:szCs w:val="22"/>
        </w:rPr>
        <w:t xml:space="preserve">can </w:t>
      </w:r>
      <w:r w:rsidR="00324471">
        <w:rPr>
          <w:rFonts w:asciiTheme="minorHAnsi" w:hAnsiTheme="minorHAnsi" w:cstheme="minorBidi"/>
          <w:sz w:val="22"/>
          <w:szCs w:val="22"/>
        </w:rPr>
        <w:t xml:space="preserve">provide </w:t>
      </w:r>
      <w:r w:rsidR="003A397E">
        <w:rPr>
          <w:rFonts w:asciiTheme="minorHAnsi" w:hAnsiTheme="minorHAnsi" w:cstheme="minorBidi"/>
          <w:sz w:val="22"/>
          <w:szCs w:val="22"/>
        </w:rPr>
        <w:t xml:space="preserve">predictions for </w:t>
      </w:r>
      <w:r w:rsidR="007B1720">
        <w:rPr>
          <w:rFonts w:asciiTheme="minorHAnsi" w:hAnsiTheme="minorHAnsi" w:cstheme="minorBidi"/>
          <w:sz w:val="22"/>
          <w:szCs w:val="22"/>
        </w:rPr>
        <w:t xml:space="preserve">important </w:t>
      </w:r>
      <w:r w:rsidR="00324471">
        <w:rPr>
          <w:rFonts w:asciiTheme="minorHAnsi" w:hAnsiTheme="minorHAnsi" w:cstheme="minorBidi"/>
          <w:sz w:val="22"/>
          <w:szCs w:val="22"/>
        </w:rPr>
        <w:t xml:space="preserve">traits that are </w:t>
      </w:r>
      <w:r w:rsidR="007B1720">
        <w:rPr>
          <w:rFonts w:asciiTheme="minorHAnsi" w:hAnsiTheme="minorHAnsi" w:cstheme="minorBidi"/>
          <w:sz w:val="22"/>
          <w:szCs w:val="22"/>
        </w:rPr>
        <w:t xml:space="preserve">difficult </w:t>
      </w:r>
      <w:r w:rsidR="00DC3565">
        <w:rPr>
          <w:rFonts w:asciiTheme="minorHAnsi" w:hAnsiTheme="minorHAnsi" w:cstheme="minorBidi"/>
          <w:sz w:val="22"/>
          <w:szCs w:val="22"/>
        </w:rPr>
        <w:t xml:space="preserve">and/or expensive </w:t>
      </w:r>
      <w:r w:rsidR="007B1720">
        <w:rPr>
          <w:rFonts w:asciiTheme="minorHAnsi" w:hAnsiTheme="minorHAnsi" w:cstheme="minorBidi"/>
          <w:sz w:val="22"/>
          <w:szCs w:val="22"/>
        </w:rPr>
        <w:t xml:space="preserve">to measure directly.  </w:t>
      </w:r>
      <w:r w:rsidR="00E602EE">
        <w:rPr>
          <w:rFonts w:asciiTheme="minorHAnsi" w:hAnsiTheme="minorHAnsi" w:cstheme="minorBidi"/>
          <w:sz w:val="22"/>
          <w:szCs w:val="22"/>
        </w:rPr>
        <w:t>This can lead to greater rates of genetic gain in traits of economic importa</w:t>
      </w:r>
      <w:r w:rsidR="00DC3565" w:rsidRPr="5E0E5D06">
        <w:rPr>
          <w:rFonts w:asciiTheme="minorHAnsi" w:hAnsiTheme="minorHAnsi" w:cstheme="minorBidi"/>
          <w:sz w:val="22"/>
          <w:szCs w:val="22"/>
        </w:rPr>
        <w:t>n</w:t>
      </w:r>
      <w:r w:rsidR="00E602EE">
        <w:rPr>
          <w:rFonts w:asciiTheme="minorHAnsi" w:hAnsiTheme="minorHAnsi" w:cstheme="minorBidi"/>
          <w:sz w:val="22"/>
          <w:szCs w:val="22"/>
        </w:rPr>
        <w:t>ce</w:t>
      </w:r>
      <w:r w:rsidR="00333423">
        <w:rPr>
          <w:rFonts w:asciiTheme="minorHAnsi" w:hAnsiTheme="minorHAnsi" w:cstheme="minorBidi"/>
          <w:sz w:val="22"/>
          <w:szCs w:val="22"/>
        </w:rPr>
        <w:t>.</w:t>
      </w:r>
      <w:r w:rsidR="00DC3565">
        <w:rPr>
          <w:rStyle w:val="CommentReference"/>
        </w:rPr>
        <w:t xml:space="preserve"> </w:t>
      </w:r>
      <w:r w:rsidRPr="5E0E5D06">
        <w:rPr>
          <w:rFonts w:asciiTheme="minorHAnsi" w:hAnsiTheme="minorHAnsi" w:cstheme="minorBidi"/>
          <w:sz w:val="22"/>
          <w:szCs w:val="22"/>
        </w:rPr>
        <w:t xml:space="preserve">  Recent software developments in BREEDPLAN and Sheep Genetics allow all phenotypic and genomic information to be used simultaneously in national evaluations, at least in the major breeds.  The number of genotyping providers servicing breeders in Australia continues to increase, with AGBU recently developing a set of industry standards for genotype panels (</w:t>
      </w:r>
      <w:r w:rsidR="00F33172" w:rsidRPr="5E0E5D06">
        <w:rPr>
          <w:rFonts w:asciiTheme="minorHAnsi" w:hAnsiTheme="minorHAnsi" w:cstheme="minorBidi"/>
          <w:sz w:val="22"/>
          <w:szCs w:val="22"/>
        </w:rPr>
        <w:t xml:space="preserve">Connors and </w:t>
      </w:r>
      <w:proofErr w:type="spellStart"/>
      <w:r w:rsidR="00F33172" w:rsidRPr="5E0E5D06">
        <w:rPr>
          <w:rFonts w:asciiTheme="minorHAnsi" w:hAnsiTheme="minorHAnsi" w:cstheme="minorBidi"/>
          <w:sz w:val="22"/>
          <w:szCs w:val="22"/>
        </w:rPr>
        <w:t>Ferdo</w:t>
      </w:r>
      <w:r w:rsidR="6D551497" w:rsidRPr="6D551497">
        <w:rPr>
          <w:rFonts w:asciiTheme="minorHAnsi" w:hAnsiTheme="minorHAnsi" w:cstheme="minorBidi"/>
          <w:sz w:val="22"/>
          <w:szCs w:val="22"/>
        </w:rPr>
        <w:t>s</w:t>
      </w:r>
      <w:r w:rsidR="00F33172" w:rsidRPr="5E0E5D06">
        <w:rPr>
          <w:rFonts w:asciiTheme="minorHAnsi" w:hAnsiTheme="minorHAnsi" w:cstheme="minorBidi"/>
          <w:sz w:val="22"/>
          <w:szCs w:val="22"/>
        </w:rPr>
        <w:t>i</w:t>
      </w:r>
      <w:proofErr w:type="spellEnd"/>
      <w:r w:rsidR="00F33172" w:rsidRPr="5E0E5D06">
        <w:rPr>
          <w:rFonts w:asciiTheme="minorHAnsi" w:hAnsiTheme="minorHAnsi" w:cstheme="minorBidi"/>
          <w:sz w:val="22"/>
          <w:szCs w:val="22"/>
        </w:rPr>
        <w:t xml:space="preserve"> 2019</w:t>
      </w:r>
      <w:r w:rsidRPr="5E0E5D06">
        <w:rPr>
          <w:rFonts w:asciiTheme="minorHAnsi" w:hAnsiTheme="minorHAnsi" w:cstheme="minorBidi"/>
          <w:sz w:val="22"/>
          <w:szCs w:val="22"/>
        </w:rPr>
        <w:t>)</w:t>
      </w:r>
      <w:r w:rsidR="00F33172" w:rsidRPr="5E0E5D06">
        <w:rPr>
          <w:rStyle w:val="FootnoteReference"/>
          <w:rFonts w:asciiTheme="minorHAnsi" w:hAnsiTheme="minorHAnsi" w:cstheme="minorBidi"/>
          <w:sz w:val="22"/>
          <w:szCs w:val="22"/>
        </w:rPr>
        <w:footnoteReference w:id="44"/>
      </w:r>
      <w:r w:rsidRPr="5E0E5D06">
        <w:rPr>
          <w:rFonts w:asciiTheme="minorHAnsi" w:hAnsiTheme="minorHAnsi" w:cstheme="minorBidi"/>
          <w:sz w:val="22"/>
          <w:szCs w:val="22"/>
        </w:rPr>
        <w:t>.</w:t>
      </w:r>
    </w:p>
    <w:p w14:paraId="398D18BB" w14:textId="77777777" w:rsidR="00B11B9A" w:rsidRDefault="00B11B9A" w:rsidP="00B11B9A">
      <w:pPr>
        <w:rPr>
          <w:rFonts w:cstheme="minorHAnsi"/>
        </w:rPr>
      </w:pPr>
    </w:p>
    <w:p w14:paraId="39651516" w14:textId="0970E595" w:rsidR="00B11B9A" w:rsidRPr="004A6227" w:rsidRDefault="00B11B9A" w:rsidP="00B11B9A">
      <w:pPr>
        <w:rPr>
          <w:rFonts w:cstheme="minorHAnsi"/>
        </w:rPr>
      </w:pPr>
      <w:r w:rsidRPr="004A6227">
        <w:rPr>
          <w:rFonts w:cstheme="minorHAnsi"/>
        </w:rPr>
        <w:t xml:space="preserve">The marginal benefits of genomic information </w:t>
      </w:r>
      <w:r w:rsidR="00580218">
        <w:rPr>
          <w:rFonts w:cstheme="minorHAnsi"/>
        </w:rPr>
        <w:t xml:space="preserve">as an aid to selection </w:t>
      </w:r>
      <w:r w:rsidRPr="004A6227">
        <w:rPr>
          <w:rFonts w:cstheme="minorHAnsi"/>
        </w:rPr>
        <w:t xml:space="preserve">are relatively small in traits that are easy to measure (such as body weight or fleece weight), but there are significant advantages for traits that are </w:t>
      </w:r>
      <w:r w:rsidR="007575DE">
        <w:rPr>
          <w:rFonts w:cstheme="minorHAnsi"/>
        </w:rPr>
        <w:t>difficult</w:t>
      </w:r>
      <w:r w:rsidRPr="004A6227">
        <w:rPr>
          <w:rFonts w:cstheme="minorHAnsi"/>
        </w:rPr>
        <w:t xml:space="preserve"> or expensive to measure</w:t>
      </w:r>
      <w:r w:rsidR="007575DE">
        <w:rPr>
          <w:rFonts w:cstheme="minorHAnsi"/>
        </w:rPr>
        <w:t xml:space="preserve"> </w:t>
      </w:r>
      <w:r w:rsidR="007575DE">
        <w:t>(such as feed efficiency or methane emissions)</w:t>
      </w:r>
      <w:r w:rsidRPr="004A6227">
        <w:rPr>
          <w:rFonts w:cstheme="minorHAnsi"/>
        </w:rPr>
        <w:t>, are sex-limited</w:t>
      </w:r>
      <w:r w:rsidR="0042499D">
        <w:rPr>
          <w:rFonts w:cstheme="minorHAnsi"/>
        </w:rPr>
        <w:t xml:space="preserve"> (female fertility)</w:t>
      </w:r>
      <w:r w:rsidRPr="004A6227">
        <w:rPr>
          <w:rFonts w:cstheme="minorHAnsi"/>
        </w:rPr>
        <w:t xml:space="preserve">, are only expressed in some environments (such as disease resistance) or are only expressed later in life (lifetime reproduction) or </w:t>
      </w:r>
      <w:r w:rsidRPr="001F10EC">
        <w:rPr>
          <w:rFonts w:cstheme="minorHAnsi"/>
          <w:i/>
          <w:iCs/>
        </w:rPr>
        <w:t>post mortem</w:t>
      </w:r>
      <w:r w:rsidRPr="004A6227">
        <w:rPr>
          <w:rFonts w:cstheme="minorHAnsi"/>
        </w:rPr>
        <w:t xml:space="preserve"> (carcase </w:t>
      </w:r>
      <w:r w:rsidR="007575DE">
        <w:rPr>
          <w:rFonts w:cstheme="minorHAnsi"/>
        </w:rPr>
        <w:t xml:space="preserve">and eating quality </w:t>
      </w:r>
      <w:r w:rsidRPr="004A6227">
        <w:rPr>
          <w:rFonts w:cstheme="minorHAnsi"/>
        </w:rPr>
        <w:t xml:space="preserve">traits).  </w:t>
      </w:r>
    </w:p>
    <w:p w14:paraId="75E6CCE6" w14:textId="77777777" w:rsidR="00B11B9A" w:rsidRPr="004A6227" w:rsidRDefault="00B11B9A" w:rsidP="00B11B9A">
      <w:pPr>
        <w:rPr>
          <w:rFonts w:cstheme="minorHAnsi"/>
        </w:rPr>
      </w:pPr>
    </w:p>
    <w:p w14:paraId="324F8094" w14:textId="6A01CA2F" w:rsidR="00B11B9A" w:rsidRDefault="00B11B9A" w:rsidP="00B11B9A">
      <w:r w:rsidRPr="5E0E5D06">
        <w:t xml:space="preserve">Genomic tests also exist to detect carriers for </w:t>
      </w:r>
      <w:proofErr w:type="gramStart"/>
      <w:r w:rsidRPr="5E0E5D06">
        <w:t>a number of</w:t>
      </w:r>
      <w:proofErr w:type="gramEnd"/>
      <w:r w:rsidRPr="5E0E5D06">
        <w:t xml:space="preserve"> genetic conditions. For example, </w:t>
      </w:r>
      <w:r w:rsidR="009F0C36" w:rsidRPr="000660BC">
        <w:t>Angus Australia</w:t>
      </w:r>
      <w:r w:rsidRPr="5E0E5D06">
        <w:t xml:space="preserve"> routinely monitor</w:t>
      </w:r>
      <w:r w:rsidR="000660BC" w:rsidRPr="5E0E5D06">
        <w:t>s</w:t>
      </w:r>
      <w:r w:rsidRPr="5E0E5D06">
        <w:t xml:space="preserve"> for nine such conditions including dwarfism and horns</w:t>
      </w:r>
      <w:r w:rsidR="009F0C36" w:rsidRPr="5E0E5D06">
        <w:rPr>
          <w:rStyle w:val="FootnoteReference"/>
        </w:rPr>
        <w:footnoteReference w:id="45"/>
      </w:r>
      <w:r w:rsidR="008828AA" w:rsidRPr="5E0E5D06">
        <w:t>;</w:t>
      </w:r>
      <w:r w:rsidRPr="5E0E5D06">
        <w:t xml:space="preserve"> and </w:t>
      </w:r>
      <w:r w:rsidR="009F0C36" w:rsidRPr="00E26B15">
        <w:t>Sheep Genetics</w:t>
      </w:r>
      <w:r w:rsidRPr="5E0E5D06">
        <w:t xml:space="preserve"> lists 11 </w:t>
      </w:r>
      <w:proofErr w:type="gramStart"/>
      <w:r w:rsidRPr="5E0E5D06">
        <w:t>simply-inherited</w:t>
      </w:r>
      <w:proofErr w:type="gramEnd"/>
      <w:r w:rsidRPr="5E0E5D06">
        <w:t xml:space="preserve"> traits included in commonly-used genomic panels (yellow fat, hairy</w:t>
      </w:r>
      <w:r>
        <w:t xml:space="preserve"> lamb, </w:t>
      </w:r>
      <w:proofErr w:type="spellStart"/>
      <w:r>
        <w:t>callipyge</w:t>
      </w:r>
      <w:proofErr w:type="spellEnd"/>
      <w:r>
        <w:t xml:space="preserve">, myostatin </w:t>
      </w:r>
      <w:r w:rsidRPr="5E0E5D06">
        <w:rPr>
          <w:i/>
          <w:iCs/>
        </w:rPr>
        <w:t>etc</w:t>
      </w:r>
      <w:r>
        <w:t>.)</w:t>
      </w:r>
      <w:r w:rsidR="009F0C36">
        <w:rPr>
          <w:rStyle w:val="FootnoteReference"/>
        </w:rPr>
        <w:footnoteReference w:id="46"/>
      </w:r>
      <w:r>
        <w:t xml:space="preserve">.  Panels used for genomic prediction typically contain 50-60,000 SNPs and cost the breeder </w:t>
      </w:r>
      <w:r w:rsidRPr="000C796C">
        <w:t>in the vicinity of $</w:t>
      </w:r>
      <w:r w:rsidR="007B39CE">
        <w:t>5</w:t>
      </w:r>
      <w:r>
        <w:t>0</w:t>
      </w:r>
      <w:r w:rsidR="007B39CE">
        <w:t>,</w:t>
      </w:r>
      <w:r>
        <w:t xml:space="preserve"> but lower density tests with lower predictive power are also available (</w:t>
      </w:r>
      <w:proofErr w:type="gramStart"/>
      <w:r w:rsidRPr="5E0E5D06">
        <w:rPr>
          <w:i/>
          <w:iCs/>
        </w:rPr>
        <w:t>e.g.</w:t>
      </w:r>
      <w:proofErr w:type="gramEnd"/>
      <w:r>
        <w:t xml:space="preserve"> in Angus) for around $40.  </w:t>
      </w:r>
    </w:p>
    <w:p w14:paraId="2F046C55" w14:textId="77777777" w:rsidR="00B11B9A" w:rsidRDefault="00B11B9A" w:rsidP="00B11B9A"/>
    <w:p w14:paraId="57BCC60E" w14:textId="5D2A0719" w:rsidR="00B11B9A" w:rsidRPr="001F10EC" w:rsidRDefault="00B11B9A" w:rsidP="00B11B9A">
      <w:r w:rsidRPr="00577199">
        <w:rPr>
          <w:rStyle w:val="Heading4Char"/>
        </w:rPr>
        <w:t>Parentage tests</w:t>
      </w:r>
      <w:r w:rsidR="00070999">
        <w:rPr>
          <w:rStyle w:val="Heading4Char"/>
        </w:rPr>
        <w:t>:</w:t>
      </w:r>
      <w:r>
        <w:rPr>
          <w:i/>
          <w:iCs/>
        </w:rPr>
        <w:t xml:space="preserve">  </w:t>
      </w:r>
      <w:proofErr w:type="gramStart"/>
      <w:r>
        <w:t>Smaller</w:t>
      </w:r>
      <w:proofErr w:type="gramEnd"/>
      <w:r>
        <w:t xml:space="preserve"> panels containing several hundred SNPs are also available for parentage tests in either sheep and cattle, costing in the vicinity of $20-$30.  </w:t>
      </w:r>
      <w:r w:rsidR="002312D3">
        <w:t xml:space="preserve">Apart from the obvious applications related to genetic selection, </w:t>
      </w:r>
      <w:r w:rsidR="00754879">
        <w:t>r</w:t>
      </w:r>
      <w:r w:rsidR="00B942DC">
        <w:t>esults from these tests can be (and have been) used to help resolve disputes over ownership, sire/semen</w:t>
      </w:r>
      <w:r>
        <w:t xml:space="preserve"> </w:t>
      </w:r>
      <w:r w:rsidR="00B942DC">
        <w:t>usage and proof of genetic ownership.</w:t>
      </w:r>
      <w:r>
        <w:t xml:space="preserve"> </w:t>
      </w:r>
    </w:p>
    <w:p w14:paraId="0006E460" w14:textId="77777777" w:rsidR="00B11B9A" w:rsidRDefault="00B11B9A" w:rsidP="00B11B9A">
      <w:pPr>
        <w:rPr>
          <w:highlight w:val="green"/>
        </w:rPr>
      </w:pPr>
    </w:p>
    <w:p w14:paraId="258E9F31" w14:textId="7FA3066B" w:rsidR="00E31FA0" w:rsidRDefault="00E31FA0" w:rsidP="00BA16D2">
      <w:r w:rsidRPr="00577199">
        <w:rPr>
          <w:rStyle w:val="Heading4Char"/>
        </w:rPr>
        <w:t>Poll/horn test</w:t>
      </w:r>
      <w:r w:rsidR="00070999">
        <w:rPr>
          <w:rStyle w:val="Heading4Char"/>
        </w:rPr>
        <w:t>:</w:t>
      </w:r>
      <w:r w:rsidR="0061072A" w:rsidRPr="5E0E5D06">
        <w:rPr>
          <w:i/>
          <w:iCs/>
        </w:rPr>
        <w:t xml:space="preserve"> </w:t>
      </w:r>
      <w:r w:rsidR="00672710" w:rsidRPr="5E0E5D06">
        <w:rPr>
          <w:i/>
          <w:iCs/>
        </w:rPr>
        <w:t xml:space="preserve"> </w:t>
      </w:r>
      <w:r w:rsidR="009779E7">
        <w:t xml:space="preserve">A diagnostic poll haplotype test is available </w:t>
      </w:r>
      <w:r w:rsidR="00C94457">
        <w:t xml:space="preserve">for cattle </w:t>
      </w:r>
      <w:r w:rsidR="009779E7">
        <w:t>in Australia</w:t>
      </w:r>
      <w:r w:rsidR="00C80C8E">
        <w:t xml:space="preserve">, </w:t>
      </w:r>
      <w:r w:rsidR="00666667">
        <w:t xml:space="preserve">largely driven by animal welfare concerns.  </w:t>
      </w:r>
      <w:r w:rsidR="009B325D" w:rsidRPr="000660BC">
        <w:t xml:space="preserve">Connors </w:t>
      </w:r>
      <w:r w:rsidR="009B325D" w:rsidRPr="5E0E5D06">
        <w:rPr>
          <w:i/>
          <w:iCs/>
        </w:rPr>
        <w:t>et al</w:t>
      </w:r>
      <w:r w:rsidR="009B325D" w:rsidRPr="000660BC">
        <w:t>. (2018)</w:t>
      </w:r>
      <w:r w:rsidR="00996AC6" w:rsidRPr="00996AC6">
        <w:rPr>
          <w:rStyle w:val="FootnoteReference"/>
        </w:rPr>
        <w:t xml:space="preserve"> </w:t>
      </w:r>
      <w:r w:rsidR="00996AC6">
        <w:rPr>
          <w:rStyle w:val="FootnoteReference"/>
        </w:rPr>
        <w:footnoteReference w:id="47"/>
      </w:r>
      <w:r w:rsidR="009779E7">
        <w:t xml:space="preserve"> report</w:t>
      </w:r>
      <w:r w:rsidR="00666667">
        <w:t>ed</w:t>
      </w:r>
      <w:r w:rsidR="009779E7">
        <w:t xml:space="preserve"> that </w:t>
      </w:r>
      <w:r w:rsidR="00C80C8E">
        <w:t xml:space="preserve">by January 2017, the </w:t>
      </w:r>
      <w:r w:rsidR="00672710">
        <w:t>test ha</w:t>
      </w:r>
      <w:r w:rsidR="00C80C8E">
        <w:t>d</w:t>
      </w:r>
      <w:r w:rsidR="00672710">
        <w:t xml:space="preserve"> been applied to more than 25,000 animals</w:t>
      </w:r>
      <w:r w:rsidR="00716214">
        <w:t xml:space="preserve">. That number was </w:t>
      </w:r>
      <w:r w:rsidR="00BA16D2">
        <w:t xml:space="preserve">steadily </w:t>
      </w:r>
      <w:r w:rsidR="00C80C8E">
        <w:t>increasing</w:t>
      </w:r>
      <w:r w:rsidR="00716214">
        <w:t xml:space="preserve"> and included animals from </w:t>
      </w:r>
      <w:r w:rsidR="00C94457">
        <w:t>over 50 breeds</w:t>
      </w:r>
      <w:r w:rsidR="00672710">
        <w:t xml:space="preserve">, </w:t>
      </w:r>
      <w:r w:rsidR="00BA16D2">
        <w:t>but</w:t>
      </w:r>
      <w:r w:rsidR="00672710">
        <w:t xml:space="preserve"> </w:t>
      </w:r>
      <w:r w:rsidR="00BA16D2">
        <w:t xml:space="preserve">most were from either </w:t>
      </w:r>
      <w:r w:rsidR="00672710">
        <w:t>Brahman, Santa Gertrudis, Hereford, Charolais, Droughtmaster</w:t>
      </w:r>
      <w:r w:rsidR="00BA16D2">
        <w:t xml:space="preserve"> or </w:t>
      </w:r>
      <w:proofErr w:type="spellStart"/>
      <w:r w:rsidR="00672710">
        <w:t>Limousin</w:t>
      </w:r>
      <w:proofErr w:type="spellEnd"/>
      <w:r w:rsidR="00C94457">
        <w:t xml:space="preserve"> cattle</w:t>
      </w:r>
      <w:r w:rsidR="00672710">
        <w:t>.</w:t>
      </w:r>
      <w:r w:rsidR="00666667">
        <w:t xml:space="preserve">  </w:t>
      </w:r>
    </w:p>
    <w:p w14:paraId="5D80B939" w14:textId="26A65C4A" w:rsidR="00E31FA0" w:rsidRDefault="00E31FA0" w:rsidP="00B11B9A"/>
    <w:p w14:paraId="2373EFD3" w14:textId="0E3F6F2F" w:rsidR="00B11B9A" w:rsidRDefault="00B11B9A" w:rsidP="00B11B9A">
      <w:r w:rsidRPr="001F10EC">
        <w:t xml:space="preserve">Genomic </w:t>
      </w:r>
      <w:r>
        <w:t xml:space="preserve">tests have also been developed for use in the commercial breeding and finishing sectors, </w:t>
      </w:r>
      <w:r w:rsidR="0084325B">
        <w:t xml:space="preserve">intended to </w:t>
      </w:r>
      <w:r>
        <w:t xml:space="preserve">predict an animal’s performance, including post farm-gate.  The utility of predictions for such traits as </w:t>
      </w:r>
      <w:r w:rsidRPr="002604E8">
        <w:t>growth, carcase</w:t>
      </w:r>
      <w:r w:rsidR="009F4FEC">
        <w:t xml:space="preserve"> quality</w:t>
      </w:r>
      <w:r w:rsidRPr="002604E8">
        <w:t xml:space="preserve">, disease, fertility </w:t>
      </w:r>
      <w:r w:rsidRPr="00577199">
        <w:rPr>
          <w:i/>
          <w:iCs/>
        </w:rPr>
        <w:t>etc</w:t>
      </w:r>
      <w:r w:rsidRPr="002604E8">
        <w:t>.</w:t>
      </w:r>
      <w:r>
        <w:t xml:space="preserve"> is only </w:t>
      </w:r>
      <w:r w:rsidRPr="002604E8">
        <w:t xml:space="preserve">limited only by the </w:t>
      </w:r>
      <w:r>
        <w:t xml:space="preserve">quantity and quality of </w:t>
      </w:r>
      <w:r w:rsidRPr="002604E8">
        <w:t xml:space="preserve">reference data for </w:t>
      </w:r>
      <w:r>
        <w:t xml:space="preserve">a particular </w:t>
      </w:r>
      <w:r w:rsidRPr="002604E8">
        <w:t>breed or breed mix.</w:t>
      </w:r>
      <w:r>
        <w:t xml:space="preserve">  Examples include tests for:</w:t>
      </w:r>
    </w:p>
    <w:p w14:paraId="31C426EE" w14:textId="77777777" w:rsidR="00B11B9A" w:rsidRDefault="00B11B9A" w:rsidP="00B11B9A"/>
    <w:p w14:paraId="4D163F31" w14:textId="029462C4" w:rsidR="00B11B9A" w:rsidRDefault="00B11B9A" w:rsidP="00B11B9A">
      <w:r w:rsidRPr="00577199">
        <w:rPr>
          <w:rStyle w:val="Heading4Char"/>
        </w:rPr>
        <w:t>Replacement females</w:t>
      </w:r>
      <w:r w:rsidR="00070999">
        <w:rPr>
          <w:rStyle w:val="Heading4Char"/>
        </w:rPr>
        <w:t>:</w:t>
      </w:r>
      <w:r>
        <w:t xml:space="preserve"> Angus Australia (in partnership with both Zoetis and </w:t>
      </w:r>
      <w:proofErr w:type="spellStart"/>
      <w:r>
        <w:t>Neogen</w:t>
      </w:r>
      <w:proofErr w:type="spellEnd"/>
      <w:r>
        <w:t xml:space="preserve">) have recently released an updated version of Angus </w:t>
      </w:r>
      <w:proofErr w:type="spellStart"/>
      <w:r>
        <w:t>HeiferSelect</w:t>
      </w:r>
      <w:proofErr w:type="spellEnd"/>
      <w:r w:rsidR="00D375D5">
        <w:t>™</w:t>
      </w:r>
      <w:r>
        <w:t xml:space="preserve">, which predicts performance for nine maternal, growth and carcase traits, as well as providing a rating for aggregate breeding value and which can be used for optimal sire assignment.  It is intended for use in commercial cattle with at least 87.5% Angus ancestry and is intended as a management tool to assist in identifying heifer replacements (and culls) and mating allocations at a cost of around $40 per sample.  The product is showing accelerating levels of uptake and is supported by </w:t>
      </w:r>
      <w:r w:rsidR="00C060D2" w:rsidRPr="00E26B15">
        <w:t>a recent Zoetis case study</w:t>
      </w:r>
      <w:r>
        <w:t xml:space="preserve"> showing a positive return on investment from using the product</w:t>
      </w:r>
      <w:r w:rsidR="00C060D2">
        <w:rPr>
          <w:rStyle w:val="FootnoteReference"/>
        </w:rPr>
        <w:footnoteReference w:id="48"/>
      </w:r>
      <w:r>
        <w:t xml:space="preserve">.  </w:t>
      </w:r>
    </w:p>
    <w:p w14:paraId="6983269F" w14:textId="77777777" w:rsidR="00B11B9A" w:rsidRDefault="00B11B9A" w:rsidP="00B11B9A"/>
    <w:p w14:paraId="676D8A36" w14:textId="4C9EB6C6" w:rsidR="00B11B9A" w:rsidRPr="00C01D86" w:rsidRDefault="00B11B9A" w:rsidP="00B11B9A">
      <w:r w:rsidRPr="00577199">
        <w:rPr>
          <w:rStyle w:val="Heading4Char"/>
        </w:rPr>
        <w:t>Feedlot performance</w:t>
      </w:r>
      <w:r w:rsidR="00070999">
        <w:rPr>
          <w:rStyle w:val="Heading4Char"/>
        </w:rPr>
        <w:t>:</w:t>
      </w:r>
      <w:r>
        <w:rPr>
          <w:i/>
          <w:iCs/>
        </w:rPr>
        <w:t xml:space="preserve"> </w:t>
      </w:r>
      <w:r w:rsidRPr="00804275">
        <w:t>Growth rate, marbling and</w:t>
      </w:r>
      <w:r>
        <w:t xml:space="preserve"> feed efficiency are all key profit drivers in feedlot performance.  </w:t>
      </w:r>
      <w:r w:rsidR="00C060D2" w:rsidRPr="00E26B15">
        <w:t>Hines</w:t>
      </w:r>
      <w:r>
        <w:t xml:space="preserve"> </w:t>
      </w:r>
      <w:r w:rsidRPr="00F729E7">
        <w:rPr>
          <w:i/>
          <w:iCs/>
        </w:rPr>
        <w:t>et al.</w:t>
      </w:r>
      <w:r>
        <w:t xml:space="preserve"> (2021)</w:t>
      </w:r>
      <w:bookmarkStart w:id="62" w:name="_Ref88996187"/>
      <w:r w:rsidR="00996AC6" w:rsidRPr="00996AC6">
        <w:rPr>
          <w:rStyle w:val="FootnoteReference"/>
        </w:rPr>
        <w:t xml:space="preserve"> </w:t>
      </w:r>
      <w:r w:rsidR="00996AC6">
        <w:rPr>
          <w:rStyle w:val="FootnoteReference"/>
        </w:rPr>
        <w:footnoteReference w:id="49"/>
      </w:r>
      <w:bookmarkEnd w:id="62"/>
      <w:r>
        <w:t xml:space="preserve"> recently published a study of a new product called Angus </w:t>
      </w:r>
      <w:proofErr w:type="spellStart"/>
      <w:r>
        <w:t>SteerSelect</w:t>
      </w:r>
      <w:proofErr w:type="spellEnd"/>
      <w:r>
        <w:t xml:space="preserve">™, which predicts carcase weight, marbling score and ossification score in purebred </w:t>
      </w:r>
      <w:r>
        <w:lastRenderedPageBreak/>
        <w:t xml:space="preserve">Angus lot-fed steers.  Animals ranked in the top quartile for predicted carcase value were worth approximately 20% more than those in the bottom quartile, in both short-fed and long-fed steers.  This equates to differentials of $351 and $712, respectively.  Further work is under way to expand the number of traits to nine, including immune competence.    </w:t>
      </w:r>
    </w:p>
    <w:p w14:paraId="705C1B65" w14:textId="77777777" w:rsidR="00B11B9A" w:rsidRDefault="00B11B9A" w:rsidP="00B11B9A"/>
    <w:p w14:paraId="1893F378" w14:textId="5AEEE826" w:rsidR="00B11B9A" w:rsidRDefault="00B11B9A" w:rsidP="00B11B9A">
      <w:r>
        <w:t xml:space="preserve">The American Angus Association provides similar </w:t>
      </w:r>
      <w:r w:rsidR="00B05B0F" w:rsidRPr="00E26B15">
        <w:t>tests for commercial producers in the US</w:t>
      </w:r>
      <w:r>
        <w:t>, which provide index values for a range of maternal, growth and carcase traits, as well as docility and cow costs</w:t>
      </w:r>
      <w:r w:rsidR="00B05B0F">
        <w:rPr>
          <w:rStyle w:val="FootnoteReference"/>
        </w:rPr>
        <w:footnoteReference w:id="50"/>
      </w:r>
      <w:r>
        <w:t xml:space="preserve">.  Pricing is currently around USD28 (compared with standalone parentage or sire verification costs of USD18).  </w:t>
      </w:r>
    </w:p>
    <w:p w14:paraId="668CFFE9" w14:textId="4A427C2A" w:rsidR="009F4FEC" w:rsidRDefault="009F4FEC" w:rsidP="00B11B9A"/>
    <w:p w14:paraId="283431ED" w14:textId="7FD6BAFE" w:rsidR="00A00951" w:rsidRDefault="000B2834" w:rsidP="00B11B9A">
      <w:r w:rsidRPr="00577199">
        <w:rPr>
          <w:rStyle w:val="Heading4Char"/>
        </w:rPr>
        <w:t>General performance profiling</w:t>
      </w:r>
      <w:r w:rsidR="00070999">
        <w:rPr>
          <w:rStyle w:val="Heading4Char"/>
        </w:rPr>
        <w:t>:</w:t>
      </w:r>
      <w:r>
        <w:rPr>
          <w:i/>
          <w:iCs/>
        </w:rPr>
        <w:t xml:space="preserve"> </w:t>
      </w:r>
      <w:proofErr w:type="spellStart"/>
      <w:r w:rsidR="009F4FEC">
        <w:t>Neogen</w:t>
      </w:r>
      <w:proofErr w:type="spellEnd"/>
      <w:r w:rsidR="009F4FEC">
        <w:t xml:space="preserve"> Australasia </w:t>
      </w:r>
      <w:r w:rsidR="000D39F9">
        <w:t>offers</w:t>
      </w:r>
      <w:r w:rsidR="009F4FEC">
        <w:t xml:space="preserve"> </w:t>
      </w:r>
      <w:r w:rsidR="00A43184">
        <w:t>a</w:t>
      </w:r>
      <w:r w:rsidR="009F4FEC">
        <w:t xml:space="preserve"> </w:t>
      </w:r>
      <w:r w:rsidR="009F4FEC" w:rsidRPr="009F4FEC">
        <w:t xml:space="preserve">genomic profile </w:t>
      </w:r>
      <w:r w:rsidR="000D39F9">
        <w:t xml:space="preserve">test </w:t>
      </w:r>
      <w:r>
        <w:t>(</w:t>
      </w:r>
      <w:proofErr w:type="spellStart"/>
      <w:r w:rsidR="00B05B0F" w:rsidRPr="00E26B15">
        <w:t>Igenity</w:t>
      </w:r>
      <w:proofErr w:type="spellEnd"/>
      <w:r w:rsidR="00B05B0F" w:rsidRPr="00E26B15">
        <w:t>® Beef</w:t>
      </w:r>
      <w:r>
        <w:t>)</w:t>
      </w:r>
      <w:r w:rsidR="00A34F1C" w:rsidRPr="00A34F1C">
        <w:rPr>
          <w:rStyle w:val="FootnoteReference"/>
        </w:rPr>
        <w:t xml:space="preserve"> </w:t>
      </w:r>
      <w:r w:rsidR="00A34F1C">
        <w:rPr>
          <w:rStyle w:val="FootnoteReference"/>
        </w:rPr>
        <w:footnoteReference w:id="51"/>
      </w:r>
      <w:r>
        <w:t xml:space="preserve"> </w:t>
      </w:r>
      <w:r w:rsidR="009F4FEC" w:rsidRPr="009F4FEC">
        <w:t>designed for crossbred commercial cattle,</w:t>
      </w:r>
      <w:r w:rsidR="00687B87">
        <w:t xml:space="preserve"> </w:t>
      </w:r>
      <w:r w:rsidR="00A43184">
        <w:t>using</w:t>
      </w:r>
      <w:r w:rsidR="009F4FEC" w:rsidRPr="009F4FEC">
        <w:t xml:space="preserve"> DNA to predict genetic merit in both heifers and steers</w:t>
      </w:r>
      <w:r w:rsidR="00A43184">
        <w:t xml:space="preserve"> to provide </w:t>
      </w:r>
      <w:r w:rsidR="009F4FEC" w:rsidRPr="009F4FEC">
        <w:t xml:space="preserve">an additional heifer selection tool </w:t>
      </w:r>
      <w:r w:rsidR="00A43184">
        <w:t>for</w:t>
      </w:r>
      <w:r w:rsidR="009F4FEC" w:rsidRPr="009F4FEC">
        <w:t xml:space="preserve"> cattle producers. Producers also use </w:t>
      </w:r>
      <w:r w:rsidR="000C31DD">
        <w:t>the test</w:t>
      </w:r>
      <w:r w:rsidR="009F4FEC" w:rsidRPr="009F4FEC">
        <w:t xml:space="preserve"> in the production of high-</w:t>
      </w:r>
      <w:r w:rsidR="009F4FEC">
        <w:t xml:space="preserve">value steers </w:t>
      </w:r>
      <w:r w:rsidR="009F4FEC" w:rsidRPr="009F4FEC">
        <w:t>and to score commercial bulls being used as sires.</w:t>
      </w:r>
      <w:r w:rsidR="009F4FEC">
        <w:t xml:space="preserve"> The test </w:t>
      </w:r>
      <w:r w:rsidR="009F4FEC" w:rsidRPr="009F4FEC">
        <w:t>includes 16 maternal, performance, and carcass traits plus parentage</w:t>
      </w:r>
      <w:r w:rsidR="00317ABE">
        <w:t xml:space="preserve">, with customised versions </w:t>
      </w:r>
      <w:r w:rsidR="00A00951">
        <w:t xml:space="preserve">available </w:t>
      </w:r>
      <w:r w:rsidR="00317ABE">
        <w:t xml:space="preserve">for different breeds including Brangus and </w:t>
      </w:r>
      <w:r w:rsidR="00317ABE" w:rsidRPr="009F4FEC">
        <w:t>Santa Gertrudis</w:t>
      </w:r>
      <w:r w:rsidR="00317ABE">
        <w:t>.</w:t>
      </w:r>
      <w:r w:rsidR="00A00951">
        <w:t xml:space="preserve">  </w:t>
      </w:r>
      <w:proofErr w:type="spellStart"/>
      <w:r w:rsidR="00F32A42">
        <w:t>Neogen</w:t>
      </w:r>
      <w:proofErr w:type="spellEnd"/>
      <w:r w:rsidR="00F32A42">
        <w:t xml:space="preserve"> claims that the test is </w:t>
      </w:r>
      <w:r w:rsidR="00591A20">
        <w:t xml:space="preserve">backed by the world’s largest multi-breed genetic </w:t>
      </w:r>
      <w:r w:rsidR="00591A20" w:rsidRPr="00A5303A">
        <w:t>evaluation</w:t>
      </w:r>
      <w:r w:rsidR="00A5303A">
        <w:t xml:space="preserve"> (I</w:t>
      </w:r>
      <w:r w:rsidR="009F4FEC" w:rsidRPr="00A5303A">
        <w:t>nternational Genetic Solutions</w:t>
      </w:r>
      <w:r w:rsidR="00A5303A" w:rsidRPr="001B608A">
        <w:t xml:space="preserve">, or </w:t>
      </w:r>
      <w:r w:rsidR="009F4FEC" w:rsidRPr="00A5303A">
        <w:t>IGS)</w:t>
      </w:r>
      <w:r w:rsidR="007A2A5A" w:rsidRPr="00A5303A">
        <w:t>,</w:t>
      </w:r>
      <w:r w:rsidR="00573206" w:rsidRPr="00A5303A">
        <w:t xml:space="preserve"> which includes at least 16 </w:t>
      </w:r>
      <w:r w:rsidR="00F73A48" w:rsidRPr="00A5303A">
        <w:t xml:space="preserve">North American breed societies and </w:t>
      </w:r>
      <w:r w:rsidR="00850CD6" w:rsidRPr="00A5303A">
        <w:t>has access to a database with over 20m animal records and 350,000 genotypes</w:t>
      </w:r>
      <w:r w:rsidR="009F4FEC" w:rsidRPr="00A5303A">
        <w:t xml:space="preserve">. </w:t>
      </w:r>
    </w:p>
    <w:p w14:paraId="7EF00D25" w14:textId="77777777" w:rsidR="00B11B9A" w:rsidRDefault="00B11B9A" w:rsidP="00B11B9A"/>
    <w:p w14:paraId="5A353A61" w14:textId="6BD0A625" w:rsidR="00B11B9A" w:rsidRDefault="00B11B9A" w:rsidP="00B11B9A">
      <w:r w:rsidRPr="00577199">
        <w:rPr>
          <w:rStyle w:val="Heading4Char"/>
        </w:rPr>
        <w:t>Flock profile</w:t>
      </w:r>
      <w:r w:rsidR="00070999">
        <w:rPr>
          <w:rStyle w:val="Heading4Char"/>
        </w:rPr>
        <w:t>:</w:t>
      </w:r>
      <w:r>
        <w:rPr>
          <w:i/>
          <w:iCs/>
        </w:rPr>
        <w:t xml:space="preserve"> </w:t>
      </w:r>
      <w:r>
        <w:t xml:space="preserve">The </w:t>
      </w:r>
      <w:r w:rsidRPr="00097451">
        <w:t>Cooperative Research Centre for Sheep Industry Innovation (Sheep CRC)</w:t>
      </w:r>
      <w:r>
        <w:t xml:space="preserve"> developed a test specifically for commercial sheep producers which allows them to benchmark the performance of their flock against industry averages.  It requires DNA to be collected from a random sample of 20 animals from the same drop and processed by a commercial genomics laboratory.  Sheep Genetics then provides benchmarking information for a range of traits and genetic conditions</w:t>
      </w:r>
      <w:r w:rsidRPr="0023062B">
        <w:t xml:space="preserve">. </w:t>
      </w:r>
    </w:p>
    <w:p w14:paraId="470D717B" w14:textId="77777777" w:rsidR="00B11B9A" w:rsidRDefault="00B11B9A" w:rsidP="00B11B9A"/>
    <w:p w14:paraId="69C75825" w14:textId="739C6C78" w:rsidR="00B11B9A" w:rsidRDefault="00B11B9A" w:rsidP="00B11B9A">
      <w:r>
        <w:t>In addition to providing specific applications for individual users, widespread adoption of genomic technologies can also offer broader industry benefits apart from traceability</w:t>
      </w:r>
      <w:r w:rsidR="005B7BB9">
        <w:t xml:space="preserve"> and the above applications</w:t>
      </w:r>
      <w:r>
        <w:t>, for example:</w:t>
      </w:r>
    </w:p>
    <w:p w14:paraId="1F8D62D4" w14:textId="77777777" w:rsidR="00B11B9A" w:rsidRDefault="00B11B9A" w:rsidP="00B11B9A"/>
    <w:p w14:paraId="0136D9C3" w14:textId="77777777" w:rsidR="00630A20" w:rsidRDefault="00B11B9A" w:rsidP="00B11B9A">
      <w:r>
        <w:t xml:space="preserve">a) To </w:t>
      </w:r>
      <w:r w:rsidR="00657F2F">
        <w:t>help determine</w:t>
      </w:r>
      <w:r>
        <w:t xml:space="preserve"> the degree o</w:t>
      </w:r>
      <w:r w:rsidRPr="00F95D2E">
        <w:t>f connection</w:t>
      </w:r>
      <w:r>
        <w:t xml:space="preserve"> of a cohort of animals to a genomic reference population, </w:t>
      </w:r>
      <w:r w:rsidR="00671DA0">
        <w:t>so that commercial data collected by industry can contribute to specific reference populations, thereby adding value</w:t>
      </w:r>
      <w:r w:rsidR="0031229C">
        <w:t xml:space="preserve"> – larger </w:t>
      </w:r>
      <w:r w:rsidR="00671DA0">
        <w:t>reference populations will deliver more accurate genomic predictions, therefore speeding up rate of genetic gain in the industry</w:t>
      </w:r>
      <w:r>
        <w:t xml:space="preserve">.  </w:t>
      </w:r>
    </w:p>
    <w:p w14:paraId="08A47481" w14:textId="77777777" w:rsidR="00630A20" w:rsidRDefault="00630A20" w:rsidP="00B11B9A"/>
    <w:p w14:paraId="0E151B43" w14:textId="177E6EE5" w:rsidR="00B11B9A" w:rsidRPr="00BA4233" w:rsidRDefault="00630A20" w:rsidP="00B11B9A">
      <w:r>
        <w:t xml:space="preserve">b) </w:t>
      </w:r>
      <w:r w:rsidR="00B11B9A">
        <w:t xml:space="preserve">This could be extended to linking with </w:t>
      </w:r>
      <w:r w:rsidR="00692CC0">
        <w:t>other means of tracing (</w:t>
      </w:r>
      <w:r w:rsidR="00C02598">
        <w:t xml:space="preserve">such as chemical profile) </w:t>
      </w:r>
      <w:r w:rsidR="00677D1E">
        <w:t>to help differentiate between genetic and environmental fingerprints</w:t>
      </w:r>
      <w:r w:rsidR="003679AA">
        <w:t xml:space="preserve"> in the context of establishing provenance</w:t>
      </w:r>
      <w:r w:rsidR="00677D1E">
        <w:t>.</w:t>
      </w:r>
      <w:r w:rsidR="003679AA" w:rsidDel="003679AA">
        <w:t xml:space="preserve"> </w:t>
      </w:r>
    </w:p>
    <w:p w14:paraId="5AC38E50" w14:textId="77777777" w:rsidR="00B11B9A" w:rsidRDefault="00B11B9A" w:rsidP="00B11B9A"/>
    <w:p w14:paraId="3AC3AFC9" w14:textId="515E8304" w:rsidR="00B11B9A" w:rsidRDefault="00630A20" w:rsidP="005A1F7D">
      <w:r>
        <w:t>c</w:t>
      </w:r>
      <w:r w:rsidR="00B11B9A" w:rsidRPr="00A277E6">
        <w:t>) Use</w:t>
      </w:r>
      <w:r w:rsidR="00D43924" w:rsidRPr="00A277E6">
        <w:t>s</w:t>
      </w:r>
      <w:r w:rsidR="00B11B9A" w:rsidRPr="00A277E6">
        <w:t xml:space="preserve"> in animal health, i</w:t>
      </w:r>
      <w:r w:rsidR="00406E24" w:rsidRPr="00A277E6">
        <w:t>n</w:t>
      </w:r>
      <w:r w:rsidR="00B11B9A" w:rsidRPr="00A277E6">
        <w:t xml:space="preserve">cluding by estimating proportion of population at risk from pathogens </w:t>
      </w:r>
      <w:r w:rsidR="00B11B9A" w:rsidRPr="00A277E6">
        <w:rPr>
          <w:i/>
          <w:iCs/>
        </w:rPr>
        <w:t>etc</w:t>
      </w:r>
      <w:r w:rsidR="00213890" w:rsidRPr="00A277E6">
        <w:t xml:space="preserve">.  For example, in Ireland, the ICBF uses its genomic database to enable the identification of sires </w:t>
      </w:r>
      <w:r w:rsidR="00FC3C61" w:rsidRPr="00A277E6">
        <w:t xml:space="preserve">with enhanced </w:t>
      </w:r>
      <w:r w:rsidR="005A1F7D" w:rsidRPr="00A277E6">
        <w:t xml:space="preserve">genetic </w:t>
      </w:r>
      <w:r w:rsidR="00FC3C61" w:rsidRPr="00A277E6">
        <w:t>resistance to tuberculosis and liver fluke</w:t>
      </w:r>
      <w:r w:rsidR="00BB4418" w:rsidRPr="00A277E6">
        <w:rPr>
          <w:rStyle w:val="FootnoteReference"/>
        </w:rPr>
        <w:footnoteReference w:id="52"/>
      </w:r>
      <w:r w:rsidR="00FC3C61" w:rsidRPr="00A277E6">
        <w:t xml:space="preserve">. </w:t>
      </w:r>
      <w:r w:rsidR="005A1F7D" w:rsidRPr="00A277E6">
        <w:t xml:space="preserve">This can </w:t>
      </w:r>
      <w:r w:rsidR="00A32A0A" w:rsidRPr="00A277E6">
        <w:t xml:space="preserve">potentially </w:t>
      </w:r>
      <w:r w:rsidR="005A1F7D" w:rsidRPr="00A277E6">
        <w:t xml:space="preserve">be extended to infer </w:t>
      </w:r>
      <w:r w:rsidR="00B11B9A" w:rsidRPr="00A277E6">
        <w:t xml:space="preserve">risk </w:t>
      </w:r>
      <w:r w:rsidR="005A1F7D" w:rsidRPr="00A277E6">
        <w:t xml:space="preserve">using </w:t>
      </w:r>
      <w:r w:rsidR="00B11B9A" w:rsidRPr="00A277E6">
        <w:t xml:space="preserve">genetic similarity to one or more reference populations </w:t>
      </w:r>
      <w:r w:rsidR="006A0B62" w:rsidRPr="00A277E6">
        <w:t xml:space="preserve">by linking </w:t>
      </w:r>
      <w:r w:rsidR="00B11B9A" w:rsidRPr="00A277E6">
        <w:t>incidence database(s)</w:t>
      </w:r>
      <w:r w:rsidR="006A0B62" w:rsidRPr="00A277E6">
        <w:t>.</w:t>
      </w:r>
      <w:r w:rsidR="006A0B62">
        <w:t xml:space="preserve"> </w:t>
      </w:r>
    </w:p>
    <w:p w14:paraId="0ADAED88" w14:textId="1B52F8BD" w:rsidR="00DF6B3E" w:rsidRDefault="00DF6B3E" w:rsidP="005A1F7D"/>
    <w:p w14:paraId="4C8FBAB3" w14:textId="77777777" w:rsidR="00FF5AF2" w:rsidRDefault="00FF5AF2" w:rsidP="00B11B9A"/>
    <w:p w14:paraId="3EF17D16" w14:textId="759752F8" w:rsidR="004C2E86" w:rsidRDefault="00E610C1" w:rsidP="00B11B9A">
      <w:r w:rsidRPr="000660BC">
        <w:t>In summary</w:t>
      </w:r>
      <w:r w:rsidR="000B2CB2" w:rsidRPr="000660BC">
        <w:t xml:space="preserve">, </w:t>
      </w:r>
      <w:r w:rsidR="00CC5AEF" w:rsidRPr="000660BC">
        <w:t xml:space="preserve">with appropriate data collection and management systems in place, </w:t>
      </w:r>
      <w:r w:rsidRPr="000660BC">
        <w:t xml:space="preserve">having a large proportion of the population genotyped </w:t>
      </w:r>
      <w:r w:rsidR="005E6516" w:rsidRPr="000660BC">
        <w:t xml:space="preserve">can potentially lead to </w:t>
      </w:r>
      <w:r w:rsidR="00676B5D">
        <w:t xml:space="preserve">larger reference populations and </w:t>
      </w:r>
      <w:r w:rsidR="005E6516" w:rsidRPr="000660BC">
        <w:lastRenderedPageBreak/>
        <w:t xml:space="preserve">much more accurate selection decisions </w:t>
      </w:r>
      <w:r w:rsidR="00CC5AEF" w:rsidRPr="000660BC">
        <w:t>(faster genetic gain)</w:t>
      </w:r>
      <w:r w:rsidR="0018484A" w:rsidRPr="000660BC">
        <w:t xml:space="preserve"> in the seedstock sector</w:t>
      </w:r>
      <w:r w:rsidR="004A5140" w:rsidRPr="000660BC">
        <w:t>, as depicted in</w:t>
      </w:r>
      <w:r w:rsidR="00D43924">
        <w:t xml:space="preserve"> </w:t>
      </w:r>
      <w:r w:rsidR="00777239">
        <w:fldChar w:fldCharType="begin"/>
      </w:r>
      <w:r w:rsidR="00777239">
        <w:instrText xml:space="preserve"> REF _Ref89240904 \h </w:instrText>
      </w:r>
      <w:r w:rsidR="00777239">
        <w:fldChar w:fldCharType="separate"/>
      </w:r>
      <w:r w:rsidR="008D0D42">
        <w:t xml:space="preserve">Figure </w:t>
      </w:r>
      <w:r w:rsidR="008D0D42">
        <w:rPr>
          <w:noProof/>
        </w:rPr>
        <w:t>5</w:t>
      </w:r>
      <w:r w:rsidR="00777239">
        <w:fldChar w:fldCharType="end"/>
      </w:r>
      <w:r w:rsidR="000B2CB2" w:rsidRPr="000660BC">
        <w:t>, benefitting the entire value chain</w:t>
      </w:r>
      <w:r w:rsidR="0018484A" w:rsidRPr="000660BC">
        <w:t xml:space="preserve">.  Not represented in this diagram are the </w:t>
      </w:r>
      <w:r w:rsidR="00F04EC8" w:rsidRPr="000660BC">
        <w:t xml:space="preserve">direct </w:t>
      </w:r>
      <w:r w:rsidR="0018484A" w:rsidRPr="000660BC">
        <w:t xml:space="preserve">benefits that </w:t>
      </w:r>
      <w:r w:rsidR="00E8138B" w:rsidRPr="000660BC">
        <w:t xml:space="preserve">genomic information </w:t>
      </w:r>
      <w:r w:rsidR="0018484A" w:rsidRPr="000660BC">
        <w:t xml:space="preserve">can </w:t>
      </w:r>
      <w:r w:rsidR="00E8138B" w:rsidRPr="000660BC">
        <w:t>offer</w:t>
      </w:r>
      <w:r w:rsidR="00F04EC8" w:rsidRPr="000660BC">
        <w:t xml:space="preserve"> other participants in the value chain </w:t>
      </w:r>
      <w:r w:rsidR="00E8138B" w:rsidRPr="000660BC">
        <w:t xml:space="preserve">by providing </w:t>
      </w:r>
      <w:r w:rsidR="0063392A" w:rsidRPr="000660BC">
        <w:t>access to predicted performance attributes</w:t>
      </w:r>
      <w:r w:rsidR="00FC44EB" w:rsidRPr="000660BC">
        <w:t xml:space="preserve">; or </w:t>
      </w:r>
      <w:r w:rsidR="00AB5FAD" w:rsidRPr="000660BC">
        <w:t>other potential ancillary benefits describe above.</w:t>
      </w:r>
      <w:r w:rsidR="00CC5AEF" w:rsidRPr="000660BC">
        <w:t xml:space="preserve"> </w:t>
      </w:r>
    </w:p>
    <w:p w14:paraId="4B72CD60" w14:textId="79A072BE" w:rsidR="005A0897" w:rsidRDefault="005A0897" w:rsidP="00B11B9A"/>
    <w:p w14:paraId="7B21D8D2" w14:textId="0290E5F6" w:rsidR="00210DD6" w:rsidRDefault="003E1D96" w:rsidP="00B11B9A">
      <w:r>
        <w:rPr>
          <w:noProof/>
        </w:rPr>
        <w:drawing>
          <wp:inline distT="0" distB="0" distL="0" distR="0" wp14:anchorId="5C7A9A86" wp14:editId="1A5323CB">
            <wp:extent cx="5731510" cy="43656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365625"/>
                    </a:xfrm>
                    <a:prstGeom prst="rect">
                      <a:avLst/>
                    </a:prstGeom>
                  </pic:spPr>
                </pic:pic>
              </a:graphicData>
            </a:graphic>
          </wp:inline>
        </w:drawing>
      </w:r>
    </w:p>
    <w:p w14:paraId="18CCD433" w14:textId="20769143" w:rsidR="00210FD8" w:rsidRDefault="007C7D56" w:rsidP="00475E28">
      <w:pPr>
        <w:pStyle w:val="Caption"/>
      </w:pPr>
      <w:bookmarkStart w:id="63" w:name="_Ref89240904"/>
      <w:bookmarkStart w:id="64" w:name="_Toc95983451"/>
      <w:r>
        <w:t xml:space="preserve">Figure </w:t>
      </w:r>
      <w:r>
        <w:fldChar w:fldCharType="begin"/>
      </w:r>
      <w:r>
        <w:instrText>SEQ Figure \* ARABIC</w:instrText>
      </w:r>
      <w:r>
        <w:fldChar w:fldCharType="separate"/>
      </w:r>
      <w:r w:rsidR="008D0D42">
        <w:rPr>
          <w:noProof/>
        </w:rPr>
        <w:t>5</w:t>
      </w:r>
      <w:r>
        <w:fldChar w:fldCharType="end"/>
      </w:r>
      <w:bookmarkEnd w:id="63"/>
      <w:r w:rsidRPr="00283FD8">
        <w:t xml:space="preserve">.  </w:t>
      </w:r>
      <w:r w:rsidR="00210FD8" w:rsidRPr="00283FD8">
        <w:t xml:space="preserve">Flow of </w:t>
      </w:r>
      <w:r w:rsidR="00483FF2" w:rsidRPr="00283FD8">
        <w:t xml:space="preserve">animals, </w:t>
      </w:r>
      <w:proofErr w:type="gramStart"/>
      <w:r w:rsidR="00210FD8" w:rsidRPr="00283FD8">
        <w:t>product</w:t>
      </w:r>
      <w:r w:rsidR="00483FF2" w:rsidRPr="00283FD8">
        <w:t>s</w:t>
      </w:r>
      <w:proofErr w:type="gramEnd"/>
      <w:r w:rsidR="00483FF2" w:rsidRPr="00283FD8">
        <w:t xml:space="preserve"> and information between sectors</w:t>
      </w:r>
      <w:r w:rsidR="000A565D" w:rsidRPr="00283FD8">
        <w:t>, showing benefits from genomic identification</w:t>
      </w:r>
      <w:bookmarkEnd w:id="64"/>
    </w:p>
    <w:p w14:paraId="2483C1B0" w14:textId="429ED6E4" w:rsidR="005709EF" w:rsidRDefault="005709EF" w:rsidP="001B608A">
      <w:pPr>
        <w:pStyle w:val="Heading1"/>
      </w:pPr>
      <w:bookmarkStart w:id="65" w:name="_Ref95468248"/>
      <w:bookmarkStart w:id="66" w:name="_Toc95983390"/>
      <w:r w:rsidRPr="005709EF">
        <w:lastRenderedPageBreak/>
        <w:t xml:space="preserve">Industry </w:t>
      </w:r>
      <w:r w:rsidR="007F6DD1">
        <w:t>views</w:t>
      </w:r>
      <w:r w:rsidR="00942E82">
        <w:t xml:space="preserve"> on t</w:t>
      </w:r>
      <w:r w:rsidRPr="005709EF">
        <w:t xml:space="preserve">raceability </w:t>
      </w:r>
      <w:r w:rsidR="00942E82">
        <w:t>o</w:t>
      </w:r>
      <w:r w:rsidRPr="005709EF">
        <w:t>ptions</w:t>
      </w:r>
      <w:bookmarkEnd w:id="65"/>
      <w:bookmarkEnd w:id="66"/>
    </w:p>
    <w:p w14:paraId="6DAA38BA" w14:textId="77777777" w:rsidR="00FF58AD" w:rsidRDefault="00FF58AD" w:rsidP="005A5C6D">
      <w:pPr>
        <w:keepNext/>
        <w:keepLines/>
        <w:spacing w:before="40"/>
        <w:outlineLvl w:val="1"/>
      </w:pPr>
    </w:p>
    <w:p w14:paraId="364F35D3" w14:textId="6C706657" w:rsidR="005A5C6D" w:rsidRDefault="00C31001" w:rsidP="00FF58AD">
      <w:bookmarkStart w:id="67" w:name="_Hlk86132741"/>
      <w:bookmarkStart w:id="68" w:name="_Hlk86132788"/>
      <w:bookmarkStart w:id="69" w:name="_Hlk86134012"/>
      <w:r>
        <w:t xml:space="preserve">One of the key objectives of this project was to seek </w:t>
      </w:r>
      <w:r w:rsidR="00573F0C">
        <w:t xml:space="preserve">significant industry feedback and perceptions concerning their understanding of the current traceability system and the potential role that genomics may play in </w:t>
      </w:r>
      <w:r w:rsidR="00772DA1">
        <w:t>red meat traceability</w:t>
      </w:r>
      <w:r w:rsidR="00F66C4C">
        <w:t xml:space="preserve">. </w:t>
      </w:r>
      <w:r w:rsidR="00772DA1">
        <w:t xml:space="preserve"> </w:t>
      </w:r>
      <w:bookmarkStart w:id="70" w:name="_Hlk86133672"/>
      <w:bookmarkEnd w:id="67"/>
      <w:r w:rsidR="00FF58AD">
        <w:t>Th</w:t>
      </w:r>
      <w:r w:rsidR="00854454">
        <w:t xml:space="preserve">is was </w:t>
      </w:r>
      <w:r w:rsidR="00FF58AD">
        <w:t xml:space="preserve">comprised of </w:t>
      </w:r>
      <w:r w:rsidR="007B05CE">
        <w:t>two phases</w:t>
      </w:r>
      <w:r w:rsidR="00A22D5D">
        <w:t>,</w:t>
      </w:r>
      <w:r w:rsidR="007B05CE">
        <w:t xml:space="preserve"> being </w:t>
      </w:r>
      <w:r w:rsidR="00FF58AD">
        <w:t xml:space="preserve">an online survey (through Survey Monkey®) and targeted one-on-one interviews. The survey </w:t>
      </w:r>
      <w:r w:rsidR="00B9588E">
        <w:t>methodology is detailed in Appendix 1</w:t>
      </w:r>
      <w:r w:rsidR="006E3BAF">
        <w:t xml:space="preserve"> and </w:t>
      </w:r>
      <w:r w:rsidR="00FF58AD">
        <w:t xml:space="preserve">was used to gather a broad range of opinions </w:t>
      </w:r>
      <w:r w:rsidR="007B05CE">
        <w:t xml:space="preserve">from </w:t>
      </w:r>
      <w:r w:rsidR="007E28D7">
        <w:t xml:space="preserve">various </w:t>
      </w:r>
      <w:r w:rsidR="007B05CE">
        <w:t>industry stakeholders</w:t>
      </w:r>
      <w:r w:rsidR="005A5C6D">
        <w:t xml:space="preserve">, </w:t>
      </w:r>
      <w:r w:rsidR="00B9588E">
        <w:t>eliciting 100 responses</w:t>
      </w:r>
      <w:r w:rsidR="00FF58AD">
        <w:t xml:space="preserve">. </w:t>
      </w:r>
      <w:r w:rsidR="007B05CE">
        <w:t xml:space="preserve"> </w:t>
      </w:r>
    </w:p>
    <w:bookmarkEnd w:id="68"/>
    <w:p w14:paraId="17D0BC0B" w14:textId="77777777" w:rsidR="005A5C6D" w:rsidRDefault="005A5C6D" w:rsidP="00FF58AD"/>
    <w:p w14:paraId="77A2F458" w14:textId="073A4487" w:rsidR="001E74BA" w:rsidRDefault="00FF58AD" w:rsidP="00FF58AD">
      <w:bookmarkStart w:id="71" w:name="_Hlk86133742"/>
      <w:r>
        <w:t xml:space="preserve">A smaller number </w:t>
      </w:r>
      <w:r w:rsidR="009F4FEC">
        <w:t>(20+)</w:t>
      </w:r>
      <w:r w:rsidR="001E74BA">
        <w:t xml:space="preserve"> </w:t>
      </w:r>
      <w:r>
        <w:t xml:space="preserve">of targeted one-on-one interviews were then used to </w:t>
      </w:r>
      <w:r w:rsidR="007B05CE">
        <w:t xml:space="preserve">explore </w:t>
      </w:r>
      <w:r w:rsidR="00A61E9D">
        <w:t>some issues in greater depth</w:t>
      </w:r>
      <w:r w:rsidR="00781570">
        <w:t>.  These</w:t>
      </w:r>
      <w:r w:rsidR="00781570" w:rsidRPr="00781570">
        <w:t xml:space="preserve"> </w:t>
      </w:r>
      <w:r w:rsidR="00781570">
        <w:t xml:space="preserve">included </w:t>
      </w:r>
      <w:r w:rsidR="00781570" w:rsidRPr="00781570">
        <w:t xml:space="preserve">known genomic technology providers, key service providers (breed societies) and significant stakeholders such as stud breeders, feedlots, </w:t>
      </w:r>
      <w:proofErr w:type="gramStart"/>
      <w:r w:rsidR="00781570" w:rsidRPr="00781570">
        <w:t>agents</w:t>
      </w:r>
      <w:proofErr w:type="gramEnd"/>
      <w:r w:rsidR="00781570" w:rsidRPr="00781570">
        <w:t xml:space="preserve"> and processors</w:t>
      </w:r>
      <w:r w:rsidR="005738B9">
        <w:t xml:space="preserve">.  The </w:t>
      </w:r>
      <w:r w:rsidR="00CB5FBE">
        <w:t>main aims were to</w:t>
      </w:r>
      <w:r w:rsidR="001E74BA">
        <w:t xml:space="preserve">: </w:t>
      </w:r>
    </w:p>
    <w:p w14:paraId="23913448" w14:textId="6962BD81" w:rsidR="001E74BA" w:rsidRDefault="001C3CB4" w:rsidP="008F1A2A">
      <w:pPr>
        <w:ind w:left="720"/>
      </w:pPr>
      <w:r>
        <w:t xml:space="preserve">a) further </w:t>
      </w:r>
      <w:r w:rsidR="00FF58AD">
        <w:t xml:space="preserve">explore how </w:t>
      </w:r>
      <w:r w:rsidR="00963242">
        <w:t xml:space="preserve">genomic technologies may </w:t>
      </w:r>
      <w:r w:rsidR="00FF58AD">
        <w:t>influence</w:t>
      </w:r>
      <w:r w:rsidR="00963242">
        <w:t xml:space="preserve"> </w:t>
      </w:r>
      <w:proofErr w:type="gramStart"/>
      <w:r w:rsidR="00963242">
        <w:t>traceability</w:t>
      </w:r>
      <w:r w:rsidR="001E74BA">
        <w:t>;</w:t>
      </w:r>
      <w:proofErr w:type="gramEnd"/>
    </w:p>
    <w:p w14:paraId="7F6C10EE" w14:textId="23D2ABDF" w:rsidR="001E74BA" w:rsidRDefault="0047472C" w:rsidP="008F1A2A">
      <w:pPr>
        <w:ind w:left="720"/>
      </w:pPr>
      <w:r>
        <w:t>b)</w:t>
      </w:r>
      <w:r w:rsidR="00FF58AD">
        <w:t xml:space="preserve"> </w:t>
      </w:r>
      <w:r w:rsidR="00895A11">
        <w:t>better</w:t>
      </w:r>
      <w:r w:rsidR="00244695">
        <w:t xml:space="preserve"> </w:t>
      </w:r>
      <w:r w:rsidR="00BD7EE9">
        <w:t>understand</w:t>
      </w:r>
      <w:r w:rsidR="00244695">
        <w:t xml:space="preserve"> potential </w:t>
      </w:r>
      <w:r w:rsidR="00FF58AD">
        <w:t xml:space="preserve">barriers to </w:t>
      </w:r>
      <w:r w:rsidR="00963242">
        <w:t>adoption and utilisation</w:t>
      </w:r>
      <w:r w:rsidR="001E74BA">
        <w:t>;</w:t>
      </w:r>
      <w:r w:rsidR="00FF58AD">
        <w:t xml:space="preserve"> and </w:t>
      </w:r>
    </w:p>
    <w:p w14:paraId="3DCAA40C" w14:textId="41DC6C84" w:rsidR="00FF58AD" w:rsidRDefault="0047472C" w:rsidP="008F1A2A">
      <w:pPr>
        <w:ind w:left="720"/>
      </w:pPr>
      <w:r>
        <w:t xml:space="preserve">c) </w:t>
      </w:r>
      <w:r w:rsidR="00FF58AD">
        <w:t xml:space="preserve">identify future </w:t>
      </w:r>
      <w:r w:rsidR="00963242">
        <w:t>possibilities that genomic technologies may offer</w:t>
      </w:r>
      <w:r w:rsidR="00244695">
        <w:t>.</w:t>
      </w:r>
      <w:r w:rsidR="00963242">
        <w:t xml:space="preserve"> </w:t>
      </w:r>
    </w:p>
    <w:bookmarkEnd w:id="69"/>
    <w:bookmarkEnd w:id="70"/>
    <w:bookmarkEnd w:id="71"/>
    <w:p w14:paraId="22044717" w14:textId="77777777" w:rsidR="007B0688" w:rsidRDefault="007B0688" w:rsidP="007B0688">
      <w:pPr>
        <w:pStyle w:val="Heading3"/>
        <w:rPr>
          <w:b w:val="0"/>
          <w:bCs/>
        </w:rPr>
      </w:pPr>
    </w:p>
    <w:p w14:paraId="1927F1F5" w14:textId="65834601" w:rsidR="00FF58AD" w:rsidRPr="007B0688" w:rsidRDefault="007B0688" w:rsidP="00577199">
      <w:pPr>
        <w:pStyle w:val="Heading2"/>
      </w:pPr>
      <w:bookmarkStart w:id="72" w:name="_Toc95983391"/>
      <w:r w:rsidRPr="00A910D1">
        <w:t xml:space="preserve">Online </w:t>
      </w:r>
      <w:r w:rsidR="00C20C7C" w:rsidRPr="00A910D1">
        <w:t>survey questionnaire</w:t>
      </w:r>
      <w:bookmarkEnd w:id="72"/>
      <w:r w:rsidR="00C20C7C" w:rsidRPr="00A910D1">
        <w:t xml:space="preserve"> </w:t>
      </w:r>
    </w:p>
    <w:p w14:paraId="2C7A0B1D" w14:textId="77777777" w:rsidR="00963242" w:rsidRDefault="00963242" w:rsidP="00FF58AD"/>
    <w:p w14:paraId="61091978" w14:textId="69177A81" w:rsidR="00FF58AD" w:rsidRDefault="00FF58AD" w:rsidP="00FF58AD">
      <w:r>
        <w:t>The primary</w:t>
      </w:r>
      <w:r w:rsidR="009F4FEC">
        <w:t xml:space="preserve"> objective</w:t>
      </w:r>
      <w:r>
        <w:t xml:space="preserve"> and outcome of the online survey was to </w:t>
      </w:r>
      <w:r w:rsidR="007B0688">
        <w:t xml:space="preserve">obtain </w:t>
      </w:r>
      <w:r w:rsidR="002B1CCC">
        <w:t xml:space="preserve">feedback and opinions on a range of questions relating </w:t>
      </w:r>
      <w:r w:rsidR="009B6012">
        <w:t xml:space="preserve">to </w:t>
      </w:r>
      <w:r w:rsidR="00003397">
        <w:t>utilisation</w:t>
      </w:r>
      <w:r w:rsidR="001706D0">
        <w:t xml:space="preserve"> of the current system, awareness and utilisation of genomic and DNA technologies, opportunities for genomics in traceability and </w:t>
      </w:r>
      <w:r w:rsidR="00F705D9">
        <w:t>barriers that may occur.</w:t>
      </w:r>
      <w:r w:rsidR="00E57950">
        <w:t xml:space="preserve"> The survey responses provide</w:t>
      </w:r>
      <w:r w:rsidR="009F4FEC">
        <w:t>d</w:t>
      </w:r>
      <w:r w:rsidR="00E57950">
        <w:t xml:space="preserve"> both qualitative and </w:t>
      </w:r>
      <w:r w:rsidR="00B71556">
        <w:t>quantitative</w:t>
      </w:r>
      <w:r w:rsidR="00E57950">
        <w:t xml:space="preserve"> </w:t>
      </w:r>
      <w:r w:rsidR="00B71556">
        <w:t xml:space="preserve">information. The qualitative information </w:t>
      </w:r>
      <w:r w:rsidR="00C86FFC">
        <w:t>h</w:t>
      </w:r>
      <w:r w:rsidR="00AC6CEF">
        <w:t>as</w:t>
      </w:r>
      <w:r w:rsidR="00B71556">
        <w:t xml:space="preserve"> been aggregated into thematic areas within a mind map construct to allow visualisation of the information. The </w:t>
      </w:r>
      <w:r w:rsidR="00672582">
        <w:t xml:space="preserve">quantitative information </w:t>
      </w:r>
      <w:r w:rsidR="00F67994">
        <w:t>was analysed</w:t>
      </w:r>
      <w:r w:rsidR="00672582">
        <w:t xml:space="preserve"> within various sub-cohorts and is presented in a series of graphs.</w:t>
      </w:r>
    </w:p>
    <w:p w14:paraId="1C623E21" w14:textId="77777777" w:rsidR="00F705D9" w:rsidRDefault="00F705D9" w:rsidP="00FF58AD"/>
    <w:p w14:paraId="7FF641CA" w14:textId="689366E1" w:rsidR="005709EF" w:rsidRPr="00DB2FF7" w:rsidRDefault="00E57950" w:rsidP="00577199">
      <w:pPr>
        <w:pStyle w:val="Heading3"/>
      </w:pPr>
      <w:bookmarkStart w:id="73" w:name="_Toc95983392"/>
      <w:r w:rsidRPr="00DB2FF7">
        <w:t>E</w:t>
      </w:r>
      <w:r w:rsidR="005709EF" w:rsidRPr="00DB2FF7">
        <w:t xml:space="preserve">xpectations, </w:t>
      </w:r>
      <w:proofErr w:type="gramStart"/>
      <w:r w:rsidR="005709EF" w:rsidRPr="00DB2FF7">
        <w:t>features</w:t>
      </w:r>
      <w:proofErr w:type="gramEnd"/>
      <w:r w:rsidR="005709EF" w:rsidRPr="00DB2FF7">
        <w:t xml:space="preserve"> and benefits of the current </w:t>
      </w:r>
      <w:r w:rsidRPr="00DB2FF7">
        <w:t xml:space="preserve">traceability </w:t>
      </w:r>
      <w:r w:rsidR="005709EF" w:rsidRPr="00DB2FF7">
        <w:t>system</w:t>
      </w:r>
      <w:bookmarkEnd w:id="73"/>
      <w:r w:rsidR="005709EF" w:rsidRPr="00DB2FF7">
        <w:t xml:space="preserve"> </w:t>
      </w:r>
    </w:p>
    <w:p w14:paraId="2546DF5D" w14:textId="77777777" w:rsidR="00672582" w:rsidRDefault="00672582" w:rsidP="00672582"/>
    <w:p w14:paraId="386198C4" w14:textId="77777777" w:rsidR="008D0D42" w:rsidRDefault="00ED3AA1" w:rsidP="00AC60D0">
      <w:pPr>
        <w:keepNext/>
        <w:keepLines/>
        <w:widowControl w:val="0"/>
      </w:pPr>
      <w:r w:rsidRPr="00A7769C">
        <w:lastRenderedPageBreak/>
        <w:t xml:space="preserve">Red meat stakeholders identified a range of features and benefits that they expect to obtain from the current NLIS </w:t>
      </w:r>
      <w:r w:rsidR="00591ED5" w:rsidRPr="00A7769C">
        <w:t xml:space="preserve">lifetime </w:t>
      </w:r>
      <w:r w:rsidRPr="00A7769C">
        <w:t xml:space="preserve">traceability system. </w:t>
      </w:r>
      <w:r w:rsidR="00EC4ABF">
        <w:t xml:space="preserve"> </w:t>
      </w:r>
      <w:r w:rsidR="00EC4ABF">
        <w:fldChar w:fldCharType="begin"/>
      </w:r>
      <w:r w:rsidR="00EC4ABF">
        <w:instrText xml:space="preserve"> REF _Ref87705502 \h </w:instrText>
      </w:r>
      <w:r w:rsidR="00EC4ABF">
        <w:fldChar w:fldCharType="separate"/>
      </w:r>
      <w:r w:rsidR="008D0D42" w:rsidRPr="00D9436D">
        <w:t xml:space="preserve"> </w:t>
      </w:r>
      <w:r w:rsidR="009A5F60">
        <w:rPr>
          <w:noProof/>
        </w:rPr>
        <w:pict w14:anchorId="21794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85.7pt;height:425.15pt;mso-width-percent:0;mso-height-percent:0;mso-width-percent:0;mso-height-percent:0">
            <v:imagedata r:id="rId29" o:title=""/>
          </v:shape>
        </w:pict>
      </w:r>
    </w:p>
    <w:p w14:paraId="61BB000E" w14:textId="75D09A64" w:rsidR="00513671" w:rsidRDefault="008D0D42" w:rsidP="00A7769C">
      <w:r>
        <w:t xml:space="preserve">Figure </w:t>
      </w:r>
      <w:r>
        <w:rPr>
          <w:noProof/>
        </w:rPr>
        <w:t>6</w:t>
      </w:r>
      <w:r w:rsidR="00EC4ABF">
        <w:fldChar w:fldCharType="end"/>
      </w:r>
      <w:r w:rsidR="00EC4ABF">
        <w:t xml:space="preserve"> </w:t>
      </w:r>
      <w:r w:rsidR="00513671">
        <w:t>depicts</w:t>
      </w:r>
      <w:r w:rsidR="00ED3AA1" w:rsidRPr="00A7769C">
        <w:t xml:space="preserve"> a thematic analysis of the responses</w:t>
      </w:r>
      <w:r w:rsidR="009708BF">
        <w:t>.</w:t>
      </w:r>
    </w:p>
    <w:p w14:paraId="604F0340" w14:textId="77777777" w:rsidR="00080D87" w:rsidRDefault="00080D87" w:rsidP="00A7769C">
      <w:pPr>
        <w:sectPr w:rsidR="00080D87" w:rsidSect="004F712D">
          <w:pgSz w:w="11906" w:h="16838"/>
          <w:pgMar w:top="1440" w:right="1440" w:bottom="1440" w:left="1440" w:header="709" w:footer="709" w:gutter="0"/>
          <w:cols w:space="708"/>
          <w:titlePg/>
          <w:docGrid w:linePitch="360"/>
        </w:sectPr>
      </w:pPr>
    </w:p>
    <w:p w14:paraId="4216E304" w14:textId="0B6BD2C9" w:rsidR="0011571D" w:rsidRDefault="00D9436D" w:rsidP="00AC60D0">
      <w:pPr>
        <w:keepNext/>
        <w:keepLines/>
        <w:widowControl w:val="0"/>
      </w:pPr>
      <w:bookmarkStart w:id="74" w:name="_Ref82510015"/>
      <w:bookmarkStart w:id="75" w:name="_Ref87705502"/>
      <w:bookmarkStart w:id="76" w:name="_Ref87705493"/>
      <w:r w:rsidRPr="00D9436D">
        <w:lastRenderedPageBreak/>
        <w:t xml:space="preserve"> </w:t>
      </w:r>
      <w:r w:rsidR="009A5F60">
        <w:rPr>
          <w:noProof/>
        </w:rPr>
        <w:object w:dxaOrig="27210" w:dyaOrig="16876" w14:anchorId="00040F89">
          <v:shape id="_x0000_i1026" type="#_x0000_t75" alt="" style="width:685.7pt;height:425.15pt;mso-width-percent:0;mso-height-percent:0;mso-width-percent:0;mso-height-percent:0" o:ole="">
            <v:imagedata r:id="rId29" o:title=""/>
          </v:shape>
          <o:OLEObject Type="Embed" ProgID="MindMapper.Document" ShapeID="_x0000_i1026" DrawAspect="Content" ObjectID="_1710843645" r:id="rId30"/>
        </w:object>
      </w:r>
    </w:p>
    <w:p w14:paraId="760E27AF" w14:textId="1C1F41C2" w:rsidR="00080D87" w:rsidRDefault="00D9436D" w:rsidP="00AC60D0">
      <w:pPr>
        <w:pStyle w:val="Caption"/>
        <w:widowControl w:val="0"/>
      </w:pPr>
      <w:bookmarkStart w:id="77" w:name="_Toc95983452"/>
      <w:r>
        <w:t xml:space="preserve">Figure </w:t>
      </w:r>
      <w:r>
        <w:fldChar w:fldCharType="begin"/>
      </w:r>
      <w:r>
        <w:instrText>SEQ Figure \* ARABIC</w:instrText>
      </w:r>
      <w:r>
        <w:fldChar w:fldCharType="separate"/>
      </w:r>
      <w:r w:rsidR="008D0D42">
        <w:rPr>
          <w:noProof/>
        </w:rPr>
        <w:t>6</w:t>
      </w:r>
      <w:r>
        <w:fldChar w:fldCharType="end"/>
      </w:r>
      <w:bookmarkEnd w:id="74"/>
      <w:bookmarkEnd w:id="75"/>
      <w:r>
        <w:t>. Thematic analysis of the key features, functions and benefits that red meat stakeholders receive from the current traceability system via NLIS</w:t>
      </w:r>
      <w:bookmarkEnd w:id="76"/>
      <w:bookmarkEnd w:id="77"/>
    </w:p>
    <w:p w14:paraId="523C9307" w14:textId="7F157A9F" w:rsidR="00D9436D" w:rsidRDefault="00D9436D" w:rsidP="00672582">
      <w:pPr>
        <w:sectPr w:rsidR="00D9436D" w:rsidSect="00AC60D0">
          <w:pgSz w:w="16838" w:h="11906" w:orient="landscape"/>
          <w:pgMar w:top="993" w:right="1440" w:bottom="993" w:left="1247" w:header="709" w:footer="709" w:gutter="0"/>
          <w:cols w:space="708"/>
          <w:titlePg/>
          <w:docGrid w:linePitch="360"/>
        </w:sectPr>
      </w:pPr>
    </w:p>
    <w:p w14:paraId="3E5551D7" w14:textId="0F574EA0" w:rsidR="00B25DF7" w:rsidRPr="00A7769C" w:rsidRDefault="00B25DF7" w:rsidP="00B25DF7">
      <w:r w:rsidRPr="00A7769C">
        <w:lastRenderedPageBreak/>
        <w:t xml:space="preserve">As expected, there was a strong connection between lifetime traceability, carcase feedback (performance) and on farm management and decision making. That connection highlighted </w:t>
      </w:r>
      <w:r>
        <w:t xml:space="preserve">the importance of </w:t>
      </w:r>
      <w:r w:rsidRPr="00A7769C">
        <w:t xml:space="preserve">data collection and the ability to link a </w:t>
      </w:r>
      <w:r w:rsidR="00AC6CEF">
        <w:t xml:space="preserve">unique </w:t>
      </w:r>
      <w:r w:rsidRPr="00A7769C">
        <w:t xml:space="preserve">NLIS </w:t>
      </w:r>
      <w:r w:rsidR="00AC6CEF">
        <w:t>identifier (</w:t>
      </w:r>
      <w:r w:rsidRPr="00A7769C">
        <w:t>record</w:t>
      </w:r>
      <w:r w:rsidR="00AC6CEF">
        <w:t xml:space="preserve">; </w:t>
      </w:r>
      <w:r w:rsidRPr="00A7769C">
        <w:t>animal) with data collected either on farm o</w:t>
      </w:r>
      <w:r w:rsidR="00361996">
        <w:t>r</w:t>
      </w:r>
      <w:r w:rsidRPr="00A7769C">
        <w:t xml:space="preserve"> further down the supply chain.</w:t>
      </w:r>
      <w:r w:rsidR="00E9163E">
        <w:t xml:space="preserve">  </w:t>
      </w:r>
      <w:r w:rsidRPr="00A7769C">
        <w:t>Specifically, data from MSA and AUS</w:t>
      </w:r>
      <w:r w:rsidR="00FD7C2C">
        <w:t>-</w:t>
      </w:r>
      <w:r w:rsidRPr="00A7769C">
        <w:t xml:space="preserve">MEAT carcase feedback was </w:t>
      </w:r>
      <w:r>
        <w:t xml:space="preserve">frequently </w:t>
      </w:r>
      <w:r w:rsidRPr="00A7769C">
        <w:t xml:space="preserve">mentioned. </w:t>
      </w:r>
      <w:r w:rsidR="00E9163E">
        <w:t xml:space="preserve"> </w:t>
      </w:r>
      <w:r w:rsidRPr="00A7769C">
        <w:t>From the responses</w:t>
      </w:r>
      <w:r w:rsidR="00E9163E">
        <w:t>,</w:t>
      </w:r>
      <w:r w:rsidRPr="00A7769C">
        <w:t xml:space="preserve"> it is evident that </w:t>
      </w:r>
      <w:r w:rsidR="00AC6CEF">
        <w:t xml:space="preserve">such </w:t>
      </w:r>
      <w:r w:rsidRPr="00A7769C">
        <w:t xml:space="preserve">carcase feedback is an important ancillary benefit which is, in the main, </w:t>
      </w:r>
      <w:r>
        <w:t xml:space="preserve">also seen as a </w:t>
      </w:r>
      <w:r w:rsidR="00AC6CEF">
        <w:t>‘</w:t>
      </w:r>
      <w:r w:rsidR="00F67994">
        <w:t>key ancillary benefit’</w:t>
      </w:r>
      <w:r w:rsidRPr="00A7769C">
        <w:t xml:space="preserve"> from the national traceability system. </w:t>
      </w:r>
    </w:p>
    <w:p w14:paraId="6A318802" w14:textId="77777777" w:rsidR="00B25DF7" w:rsidRDefault="00B25DF7" w:rsidP="00B25DF7"/>
    <w:p w14:paraId="093BABF1" w14:textId="0F5654FD" w:rsidR="00B25DF7" w:rsidRDefault="00B25DF7" w:rsidP="00B25DF7">
      <w:r>
        <w:t xml:space="preserve">Furthermore, there was a strong connection </w:t>
      </w:r>
      <w:r w:rsidR="00A5660D">
        <w:t xml:space="preserve">of </w:t>
      </w:r>
      <w:r>
        <w:t xml:space="preserve">product assurance, </w:t>
      </w:r>
      <w:proofErr w:type="gramStart"/>
      <w:r>
        <w:t>compliance</w:t>
      </w:r>
      <w:proofErr w:type="gramEnd"/>
      <w:r>
        <w:t xml:space="preserve"> and accreditation </w:t>
      </w:r>
      <w:r w:rsidR="00A5660D">
        <w:t xml:space="preserve">with </w:t>
      </w:r>
      <w:r>
        <w:t xml:space="preserve">access to markets (particularly export markets). There was an additional connection </w:t>
      </w:r>
      <w:r w:rsidR="005A5603">
        <w:t xml:space="preserve">identified with </w:t>
      </w:r>
      <w:r>
        <w:t xml:space="preserve">whole of industry biosecurity, residue tracking and risks of disease. Most producers and lot feeders identified the current traceability system as key to market access.  </w:t>
      </w:r>
    </w:p>
    <w:p w14:paraId="513FEFA7" w14:textId="77777777" w:rsidR="00B25DF7" w:rsidRDefault="00B25DF7" w:rsidP="00B25DF7"/>
    <w:p w14:paraId="1CD9AEDD" w14:textId="23701AD5" w:rsidR="00B25DF7" w:rsidRDefault="00B25DF7" w:rsidP="00B25DF7">
      <w:r>
        <w:t>A small proportion of respondents failed to identify benefits and had quite negative opinions on the current NLIS.  That sentiment is often observed in industry commentary</w:t>
      </w:r>
      <w:r w:rsidR="00AC6CEF">
        <w:t xml:space="preserve">, </w:t>
      </w:r>
      <w:proofErr w:type="gramStart"/>
      <w:r w:rsidR="00AC6CEF">
        <w:t>but in reality</w:t>
      </w:r>
      <w:proofErr w:type="gramEnd"/>
      <w:r w:rsidR="00AC6CEF">
        <w:t xml:space="preserve"> </w:t>
      </w:r>
      <w:r w:rsidR="00AD763A">
        <w:t>(</w:t>
      </w:r>
      <w:r w:rsidR="002817B3">
        <w:t>from</w:t>
      </w:r>
      <w:r w:rsidR="00AD763A">
        <w:t xml:space="preserve"> our experience and backed by the number of LPA registered users) </w:t>
      </w:r>
      <w:r w:rsidR="00AC6CEF">
        <w:t xml:space="preserve">is </w:t>
      </w:r>
      <w:r w:rsidR="00370424">
        <w:t xml:space="preserve">likely to </w:t>
      </w:r>
      <w:r w:rsidR="001A3094">
        <w:t xml:space="preserve">reflect the view of </w:t>
      </w:r>
      <w:r w:rsidR="00AC6CEF">
        <w:t>only a very small percentage of the overall industry</w:t>
      </w:r>
      <w:r w:rsidR="005A5603">
        <w:t>.</w:t>
      </w:r>
      <w:r>
        <w:t xml:space="preserve"> </w:t>
      </w:r>
    </w:p>
    <w:p w14:paraId="4918542D" w14:textId="77777777" w:rsidR="00B25DF7" w:rsidRDefault="00B25DF7" w:rsidP="00591ED5"/>
    <w:p w14:paraId="6008A67B" w14:textId="571EC5B6" w:rsidR="00591ED5" w:rsidRDefault="00591ED5" w:rsidP="00591ED5">
      <w:r>
        <w:t xml:space="preserve">When prompted to categorise or identify the additional benefits from a defined sets of themes that are linked to lifetime traceability via NLIS, beef and sheep stakeholders </w:t>
      </w:r>
      <w:r w:rsidR="008B225F">
        <w:t xml:space="preserve">both </w:t>
      </w:r>
      <w:r>
        <w:t>identified food safety, product integrity and animal health and welfare as the most prominent benefits</w:t>
      </w:r>
      <w:r w:rsidR="008C21DB">
        <w:t xml:space="preserve"> (</w:t>
      </w:r>
      <w:r w:rsidR="00F131F4">
        <w:fldChar w:fldCharType="begin"/>
      </w:r>
      <w:r w:rsidR="00F131F4">
        <w:instrText xml:space="preserve"> REF _Ref87705749 \h </w:instrText>
      </w:r>
      <w:r w:rsidR="00F131F4">
        <w:fldChar w:fldCharType="separate"/>
      </w:r>
      <w:r w:rsidR="008D0D42">
        <w:t xml:space="preserve">Figure </w:t>
      </w:r>
      <w:r w:rsidR="008D0D42">
        <w:rPr>
          <w:noProof/>
        </w:rPr>
        <w:t>7</w:t>
      </w:r>
      <w:r w:rsidR="00F131F4">
        <w:fldChar w:fldCharType="end"/>
      </w:r>
      <w:r w:rsidR="001D194C">
        <w:t>)</w:t>
      </w:r>
      <w:r>
        <w:t xml:space="preserve">. Carcase benchmarking </w:t>
      </w:r>
      <w:r w:rsidR="00095688">
        <w:t>and provenance</w:t>
      </w:r>
      <w:r>
        <w:t xml:space="preserve"> rated higher for beef than sheep</w:t>
      </w:r>
      <w:r w:rsidR="00BC482F">
        <w:t>,</w:t>
      </w:r>
      <w:r>
        <w:t xml:space="preserve"> which potentially reflects the</w:t>
      </w:r>
      <w:r w:rsidR="00095688">
        <w:t xml:space="preserve"> impact of the</w:t>
      </w:r>
      <w:r>
        <w:t xml:space="preserve"> </w:t>
      </w:r>
      <w:r w:rsidR="00095688">
        <w:t xml:space="preserve">MSA </w:t>
      </w:r>
      <w:r w:rsidR="006D0DBB">
        <w:t>program,</w:t>
      </w:r>
      <w:r w:rsidR="00095688">
        <w:t xml:space="preserve"> and the number of beef brands linked to quality and breed. </w:t>
      </w:r>
    </w:p>
    <w:p w14:paraId="66C94FD4" w14:textId="77777777" w:rsidR="00BC482F" w:rsidRDefault="00BC482F" w:rsidP="00591ED5"/>
    <w:p w14:paraId="46E79E3D" w14:textId="66D9DC94" w:rsidR="00591ED5" w:rsidRDefault="002D3464" w:rsidP="00591ED5">
      <w:pPr>
        <w:jc w:val="center"/>
      </w:pPr>
      <w:r>
        <w:rPr>
          <w:noProof/>
        </w:rPr>
        <w:drawing>
          <wp:inline distT="0" distB="0" distL="0" distR="0" wp14:anchorId="5DAD2EE1" wp14:editId="7E88F2DC">
            <wp:extent cx="5170170" cy="38773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0170" cy="3877310"/>
                    </a:xfrm>
                    <a:prstGeom prst="rect">
                      <a:avLst/>
                    </a:prstGeom>
                    <a:noFill/>
                  </pic:spPr>
                </pic:pic>
              </a:graphicData>
            </a:graphic>
          </wp:inline>
        </w:drawing>
      </w:r>
    </w:p>
    <w:p w14:paraId="1B3FFA40" w14:textId="76B67C9E" w:rsidR="001D194C" w:rsidRDefault="001D194C" w:rsidP="00475E28">
      <w:pPr>
        <w:pStyle w:val="Caption"/>
      </w:pPr>
      <w:bookmarkStart w:id="78" w:name="_Ref87705749"/>
      <w:bookmarkStart w:id="79" w:name="_Toc95983453"/>
      <w:r>
        <w:t xml:space="preserve">Figure </w:t>
      </w:r>
      <w:r>
        <w:fldChar w:fldCharType="begin"/>
      </w:r>
      <w:r>
        <w:instrText>SEQ Figure \* ARABIC</w:instrText>
      </w:r>
      <w:r>
        <w:fldChar w:fldCharType="separate"/>
      </w:r>
      <w:r w:rsidR="008D0D42">
        <w:rPr>
          <w:noProof/>
        </w:rPr>
        <w:t>7</w:t>
      </w:r>
      <w:r>
        <w:fldChar w:fldCharType="end"/>
      </w:r>
      <w:bookmarkEnd w:id="78"/>
      <w:r>
        <w:t xml:space="preserve">. Additional benefits </w:t>
      </w:r>
      <w:r w:rsidR="00F131F4">
        <w:t>linked to NLIS tags</w:t>
      </w:r>
      <w:bookmarkEnd w:id="79"/>
    </w:p>
    <w:p w14:paraId="3EAE7708" w14:textId="77777777" w:rsidR="00095688" w:rsidRDefault="00095688" w:rsidP="00591ED5">
      <w:pPr>
        <w:jc w:val="center"/>
      </w:pPr>
    </w:p>
    <w:p w14:paraId="461944D3" w14:textId="6336B4D1" w:rsidR="00095688" w:rsidRDefault="00095688" w:rsidP="00A54CDC">
      <w:r>
        <w:t>In general, respondents from the production sector identified additional benefits with the same frequency as</w:t>
      </w:r>
      <w:r w:rsidR="00B34542">
        <w:t xml:space="preserve"> those from</w:t>
      </w:r>
      <w:r>
        <w:t xml:space="preserve"> the processing sector</w:t>
      </w:r>
      <w:r w:rsidR="00137A37">
        <w:t xml:space="preserve"> (</w:t>
      </w:r>
      <w:r w:rsidR="00D11FB1">
        <w:fldChar w:fldCharType="begin"/>
      </w:r>
      <w:r w:rsidR="00D11FB1">
        <w:instrText xml:space="preserve"> REF _Ref87705886 \h </w:instrText>
      </w:r>
      <w:r w:rsidR="00D11FB1">
        <w:fldChar w:fldCharType="separate"/>
      </w:r>
      <w:r w:rsidR="008D0D42" w:rsidRPr="00450307">
        <w:t xml:space="preserve">Figure </w:t>
      </w:r>
      <w:r w:rsidR="008D0D42">
        <w:rPr>
          <w:noProof/>
        </w:rPr>
        <w:t>8</w:t>
      </w:r>
      <w:r w:rsidR="00D11FB1">
        <w:fldChar w:fldCharType="end"/>
      </w:r>
      <w:r w:rsidR="00D11FB1">
        <w:t>)</w:t>
      </w:r>
      <w:r w:rsidR="00B34542">
        <w:t>;</w:t>
      </w:r>
      <w:r w:rsidR="00BE2C67">
        <w:t xml:space="preserve"> </w:t>
      </w:r>
      <w:r w:rsidR="00AD763A">
        <w:t>however,</w:t>
      </w:r>
      <w:r w:rsidR="00BE2C67">
        <w:t xml:space="preserve"> processors identified a higher </w:t>
      </w:r>
      <w:r w:rsidR="00BE2C67">
        <w:lastRenderedPageBreak/>
        <w:t>proportion of the</w:t>
      </w:r>
      <w:r w:rsidR="00AC6CEF">
        <w:t xml:space="preserve"> suggested</w:t>
      </w:r>
      <w:r w:rsidR="00BE2C67">
        <w:t xml:space="preserve"> themes more often</w:t>
      </w:r>
      <w:r w:rsidR="00B34542">
        <w:t xml:space="preserve">, </w:t>
      </w:r>
      <w:r w:rsidR="00070999">
        <w:t>except for</w:t>
      </w:r>
      <w:r w:rsidR="005F0EB3">
        <w:t xml:space="preserve"> </w:t>
      </w:r>
      <w:r w:rsidR="00BE2C67">
        <w:t>prov</w:t>
      </w:r>
      <w:r w:rsidR="002976F6">
        <w:t>enan</w:t>
      </w:r>
      <w:r w:rsidR="00BE2C67">
        <w:t>ce. Interestingly</w:t>
      </w:r>
      <w:r w:rsidR="00B46681">
        <w:t xml:space="preserve">, the benefits of </w:t>
      </w:r>
      <w:r w:rsidR="00BE2C67">
        <w:t>biosecurity</w:t>
      </w:r>
      <w:r w:rsidR="00B46681">
        <w:t xml:space="preserve"> ranked last amongst those identified</w:t>
      </w:r>
      <w:r w:rsidR="00070999">
        <w:t xml:space="preserve"> by survey respondents</w:t>
      </w:r>
      <w:r w:rsidR="00B46681">
        <w:t>.</w:t>
      </w:r>
    </w:p>
    <w:p w14:paraId="724E6C55" w14:textId="77777777" w:rsidR="00F974C1" w:rsidRDefault="00F974C1" w:rsidP="00A54CDC"/>
    <w:p w14:paraId="5272211A" w14:textId="7328737E" w:rsidR="00095688" w:rsidRDefault="002D3464" w:rsidP="00095688">
      <w:pPr>
        <w:jc w:val="center"/>
      </w:pPr>
      <w:r>
        <w:rPr>
          <w:noProof/>
        </w:rPr>
        <w:drawing>
          <wp:inline distT="0" distB="0" distL="0" distR="0" wp14:anchorId="76837CE8" wp14:editId="4E2817DE">
            <wp:extent cx="5170170" cy="38773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0170" cy="3877310"/>
                    </a:xfrm>
                    <a:prstGeom prst="rect">
                      <a:avLst/>
                    </a:prstGeom>
                    <a:noFill/>
                  </pic:spPr>
                </pic:pic>
              </a:graphicData>
            </a:graphic>
          </wp:inline>
        </w:drawing>
      </w:r>
    </w:p>
    <w:p w14:paraId="1C2C6EB4" w14:textId="2F0959B1" w:rsidR="00D732EC" w:rsidRPr="00450307" w:rsidRDefault="00D732EC" w:rsidP="00475E28">
      <w:pPr>
        <w:pStyle w:val="Caption"/>
      </w:pPr>
      <w:bookmarkStart w:id="80" w:name="_Ref87705886"/>
      <w:bookmarkStart w:id="81" w:name="_Toc95983454"/>
      <w:r w:rsidRPr="00450307">
        <w:t xml:space="preserve">Figure </w:t>
      </w:r>
      <w:r>
        <w:fldChar w:fldCharType="begin"/>
      </w:r>
      <w:r>
        <w:instrText>SEQ Figure \* ARABIC</w:instrText>
      </w:r>
      <w:r>
        <w:fldChar w:fldCharType="separate"/>
      </w:r>
      <w:r w:rsidR="008D0D42">
        <w:rPr>
          <w:noProof/>
        </w:rPr>
        <w:t>8</w:t>
      </w:r>
      <w:r>
        <w:fldChar w:fldCharType="end"/>
      </w:r>
      <w:bookmarkEnd w:id="80"/>
      <w:r w:rsidRPr="00450307">
        <w:t>. Additional benefits linked to NLIS tags</w:t>
      </w:r>
      <w:r w:rsidR="00137A37" w:rsidRPr="00450307">
        <w:t xml:space="preserve"> (producers and processors)</w:t>
      </w:r>
      <w:bookmarkEnd w:id="81"/>
    </w:p>
    <w:p w14:paraId="7667C12B" w14:textId="77777777" w:rsidR="00D732EC" w:rsidRDefault="00D732EC" w:rsidP="00095688">
      <w:pPr>
        <w:jc w:val="center"/>
      </w:pPr>
    </w:p>
    <w:p w14:paraId="7F6CC319" w14:textId="2A4638C9" w:rsidR="00F05B9D" w:rsidRDefault="00F05B9D" w:rsidP="00F05B9D">
      <w:r>
        <w:t xml:space="preserve">There was an interesting </w:t>
      </w:r>
      <w:r w:rsidR="00FA0BAC">
        <w:t>but not unexpected</w:t>
      </w:r>
      <w:r>
        <w:t xml:space="preserve"> </w:t>
      </w:r>
      <w:r w:rsidR="00FA0BAC">
        <w:t>response to the</w:t>
      </w:r>
      <w:r>
        <w:t xml:space="preserve"> timeframe</w:t>
      </w:r>
      <w:r w:rsidR="00FA0BAC">
        <w:t>s</w:t>
      </w:r>
      <w:r>
        <w:t xml:space="preserve"> required to verify lifetime traceability. </w:t>
      </w:r>
      <w:r w:rsidR="00FA0BAC">
        <w:t>P</w:t>
      </w:r>
      <w:r>
        <w:t>rocessors indicated either real time (4</w:t>
      </w:r>
      <w:r w:rsidR="00FA0BAC">
        <w:t>4</w:t>
      </w:r>
      <w:r>
        <w:t xml:space="preserve">%) or within a </w:t>
      </w:r>
      <w:r w:rsidR="00FA0BAC">
        <w:t>24-hour</w:t>
      </w:r>
      <w:r>
        <w:t xml:space="preserve"> timeframe (4</w:t>
      </w:r>
      <w:r w:rsidR="00FA0BAC">
        <w:t>5</w:t>
      </w:r>
      <w:r>
        <w:t>%; 8</w:t>
      </w:r>
      <w:r w:rsidR="00FA0BAC">
        <w:t>9</w:t>
      </w:r>
      <w:r>
        <w:t xml:space="preserve">% </w:t>
      </w:r>
      <w:r w:rsidR="00C60C16">
        <w:t>cumulative</w:t>
      </w:r>
      <w:r>
        <w:t>)</w:t>
      </w:r>
      <w:r w:rsidR="00FA0BAC">
        <w:t xml:space="preserve">, with 100% </w:t>
      </w:r>
      <w:r w:rsidR="00AC6CEF">
        <w:t>verification (</w:t>
      </w:r>
      <w:r w:rsidR="00C60C16">
        <w:t>cumulative</w:t>
      </w:r>
      <w:r w:rsidR="00AC6CEF">
        <w:t>)</w:t>
      </w:r>
      <w:r w:rsidR="00C60C16">
        <w:t xml:space="preserve"> </w:t>
      </w:r>
      <w:r w:rsidR="00FA0BAC">
        <w:t xml:space="preserve">required within a week. Production sector respondents also had </w:t>
      </w:r>
      <w:r w:rsidR="007446B7">
        <w:t xml:space="preserve">a </w:t>
      </w:r>
      <w:r w:rsidR="00FA0BAC">
        <w:t xml:space="preserve">relatively short timeframe </w:t>
      </w:r>
      <w:r w:rsidR="007446B7">
        <w:t xml:space="preserve">requirement </w:t>
      </w:r>
      <w:r w:rsidR="00FA0BAC">
        <w:t xml:space="preserve">with 38% real time, </w:t>
      </w:r>
      <w:r w:rsidR="00C60C16">
        <w:t>38%</w:t>
      </w:r>
      <w:r w:rsidR="00AC6CEF">
        <w:t xml:space="preserve"> within 24 hours</w:t>
      </w:r>
      <w:r w:rsidR="00C60C16">
        <w:t xml:space="preserve"> (68% cumulative) and 80% cumulative within a week. </w:t>
      </w:r>
      <w:r w:rsidR="007469E8">
        <w:t>This response has some very important implications for the application of genomics in lifetime traceability</w:t>
      </w:r>
      <w:r w:rsidR="00AC6CEF">
        <w:t xml:space="preserve">, which </w:t>
      </w:r>
      <w:r w:rsidR="003E33FF">
        <w:t xml:space="preserve">with current technology </w:t>
      </w:r>
      <w:r w:rsidR="00AC6CEF">
        <w:t xml:space="preserve">will not be able to satisfy the real time aspiration and will </w:t>
      </w:r>
      <w:r w:rsidR="003E33FF">
        <w:t>require</w:t>
      </w:r>
      <w:r w:rsidR="00AC6CEF">
        <w:t xml:space="preserve"> sophisticated systems to meet the 24 hour and 1 week expectation.</w:t>
      </w:r>
      <w:r w:rsidR="007469E8">
        <w:t xml:space="preserve"> </w:t>
      </w:r>
    </w:p>
    <w:p w14:paraId="3E0173C8" w14:textId="77777777" w:rsidR="00A54CDC" w:rsidRPr="00591ED5" w:rsidRDefault="00A54CDC" w:rsidP="00F05B9D"/>
    <w:p w14:paraId="718FF946" w14:textId="0432BDCA" w:rsidR="005709EF" w:rsidRDefault="005709EF" w:rsidP="00DB2FF7">
      <w:pPr>
        <w:pStyle w:val="Heading4"/>
      </w:pPr>
      <w:r w:rsidRPr="00DB2FF7">
        <w:t>Loss of Lifetime traceability in current system</w:t>
      </w:r>
    </w:p>
    <w:p w14:paraId="29A7A981" w14:textId="77777777" w:rsidR="00A54CDC" w:rsidRPr="00A54CDC" w:rsidRDefault="00A54CDC" w:rsidP="00A54CDC"/>
    <w:p w14:paraId="6C97CEB7" w14:textId="11738E4F" w:rsidR="00DB2FF7" w:rsidRDefault="002C3875" w:rsidP="00DB2FF7">
      <w:bookmarkStart w:id="82" w:name="tag_losses"/>
      <w:bookmarkEnd w:id="82"/>
      <w:r>
        <w:t>A</w:t>
      </w:r>
      <w:r w:rsidR="00DB2FF7">
        <w:t>ccurately assess</w:t>
      </w:r>
      <w:r>
        <w:t>ing</w:t>
      </w:r>
      <w:r w:rsidR="00DB2FF7">
        <w:t xml:space="preserve"> the business case for incorporation of genomic technologies into the current and future </w:t>
      </w:r>
      <w:r w:rsidR="00DB2FF7" w:rsidRPr="00BF15C1">
        <w:t xml:space="preserve">traceability system requires some understanding of the loss (perceived and real) of NLIS tags across industry. </w:t>
      </w:r>
      <w:r w:rsidR="00B15A42" w:rsidRPr="00BF15C1">
        <w:t>Over a five-year period, purchases of p</w:t>
      </w:r>
      <w:r w:rsidR="00287DE7" w:rsidRPr="00BF15C1">
        <w:t xml:space="preserve">ost-breeder tags </w:t>
      </w:r>
      <w:r w:rsidR="00B15A42" w:rsidRPr="00BF15C1">
        <w:t>ha</w:t>
      </w:r>
      <w:r w:rsidR="007A6B0F" w:rsidRPr="00BF15C1">
        <w:t>ve</w:t>
      </w:r>
      <w:r w:rsidR="00B15A42" w:rsidRPr="00BF15C1">
        <w:t xml:space="preserve"> represented 3% </w:t>
      </w:r>
      <w:r w:rsidR="007A6B0F" w:rsidRPr="00BF15C1">
        <w:t xml:space="preserve">of total </w:t>
      </w:r>
      <w:r w:rsidR="00FC1CC6" w:rsidRPr="00BF15C1">
        <w:t xml:space="preserve">NLIS </w:t>
      </w:r>
      <w:r w:rsidR="007A6B0F" w:rsidRPr="00BF15C1">
        <w:t xml:space="preserve">tag purchases </w:t>
      </w:r>
      <w:r w:rsidR="00FC1CC6" w:rsidRPr="00BF15C1">
        <w:t>in beef</w:t>
      </w:r>
      <w:r w:rsidR="00FC1CC6" w:rsidRPr="00BF15C1">
        <w:rPr>
          <w:rStyle w:val="FootnoteReference"/>
        </w:rPr>
        <w:footnoteReference w:id="53"/>
      </w:r>
      <w:r w:rsidR="00A542F0" w:rsidRPr="00BF15C1">
        <w:t>, suggesting that this has been the annual incidence of tag losses</w:t>
      </w:r>
      <w:r w:rsidRPr="00BF15C1">
        <w:t>;</w:t>
      </w:r>
      <w:r w:rsidR="00DB2FF7" w:rsidRPr="00BF15C1">
        <w:t xml:space="preserve"> </w:t>
      </w:r>
      <w:r w:rsidR="00070999" w:rsidRPr="00BF15C1">
        <w:t>however,</w:t>
      </w:r>
      <w:r w:rsidR="00DB2FF7" w:rsidRPr="00BF15C1">
        <w:t xml:space="preserve"> </w:t>
      </w:r>
      <w:r w:rsidR="00AE4A77" w:rsidRPr="00BF15C1">
        <w:t xml:space="preserve">there is </w:t>
      </w:r>
      <w:r w:rsidRPr="00BF15C1">
        <w:t xml:space="preserve">ample </w:t>
      </w:r>
      <w:r w:rsidR="00AE4A77" w:rsidRPr="00BF15C1">
        <w:t>anecdotal evidence to suggest that tag loss may be higher</w:t>
      </w:r>
      <w:r w:rsidR="002D4354" w:rsidRPr="00BF15C1">
        <w:t xml:space="preserve"> in many instances</w:t>
      </w:r>
      <w:r w:rsidR="00AE4A77" w:rsidRPr="00BF15C1">
        <w:t xml:space="preserve">.  Respondents to </w:t>
      </w:r>
      <w:r w:rsidR="001B59CE" w:rsidRPr="00BF15C1">
        <w:t xml:space="preserve">our </w:t>
      </w:r>
      <w:r w:rsidR="00AE4A77" w:rsidRPr="00BF15C1">
        <w:t xml:space="preserve">survey generally </w:t>
      </w:r>
      <w:r w:rsidR="001B59CE" w:rsidRPr="00BF15C1">
        <w:t xml:space="preserve">reported </w:t>
      </w:r>
      <w:r w:rsidR="00AE4A77" w:rsidRPr="00BF15C1">
        <w:t>low rates of tag loss</w:t>
      </w:r>
      <w:r w:rsidR="001B59CE" w:rsidRPr="00BF15C1">
        <w:t>,</w:t>
      </w:r>
      <w:r w:rsidR="00AE4A77" w:rsidRPr="00BF15C1">
        <w:t xml:space="preserve"> with 84% indicating less than 5% in the beef sector and 93% less than 5% in the</w:t>
      </w:r>
      <w:r w:rsidR="00AE4A77">
        <w:t xml:space="preserve"> sheep sector. Of note, 8% of the beef sector respondents (1 producer and two processors) indicated loss </w:t>
      </w:r>
      <w:r w:rsidR="00357436">
        <w:t xml:space="preserve">rates </w:t>
      </w:r>
      <w:r w:rsidR="00AE4A77">
        <w:t>of between 5-10%</w:t>
      </w:r>
      <w:r w:rsidR="00357436">
        <w:t>;</w:t>
      </w:r>
      <w:r w:rsidR="00AE4A77">
        <w:t xml:space="preserve"> and 5% (one producer, one beef seedstock) indicated above 10% tag loss (both of </w:t>
      </w:r>
      <w:r w:rsidR="00357436">
        <w:t xml:space="preserve">whom </w:t>
      </w:r>
      <w:r w:rsidR="00AE4A77">
        <w:t>were in Northern Australia). In contrast only one sheep producer observed tag loss</w:t>
      </w:r>
      <w:r w:rsidR="00CB3917">
        <w:t>es as high as</w:t>
      </w:r>
      <w:r w:rsidR="00AE4A77">
        <w:t xml:space="preserve"> 5-10% (see</w:t>
      </w:r>
      <w:r w:rsidR="00D11FB1">
        <w:t xml:space="preserve"> </w:t>
      </w:r>
      <w:r w:rsidR="00D11FB1">
        <w:fldChar w:fldCharType="begin"/>
      </w:r>
      <w:r w:rsidR="00D11FB1">
        <w:instrText xml:space="preserve"> REF _Ref83300208 \h </w:instrText>
      </w:r>
      <w:r w:rsidR="00D11FB1">
        <w:fldChar w:fldCharType="separate"/>
      </w:r>
      <w:r w:rsidR="008D0D42">
        <w:t xml:space="preserve">Figure </w:t>
      </w:r>
      <w:r w:rsidR="008D0D42">
        <w:rPr>
          <w:noProof/>
        </w:rPr>
        <w:t>9</w:t>
      </w:r>
      <w:r w:rsidR="00D11FB1">
        <w:fldChar w:fldCharType="end"/>
      </w:r>
      <w:r w:rsidR="00296B71">
        <w:t>)</w:t>
      </w:r>
      <w:r w:rsidR="00AE4A77">
        <w:t>.</w:t>
      </w:r>
    </w:p>
    <w:p w14:paraId="590D6837" w14:textId="0B0F114E" w:rsidR="00AE4A77" w:rsidRDefault="00296B71" w:rsidP="001D5A12">
      <w:pPr>
        <w:jc w:val="center"/>
      </w:pPr>
      <w:r>
        <w:rPr>
          <w:noProof/>
        </w:rPr>
        <w:lastRenderedPageBreak/>
        <w:drawing>
          <wp:inline distT="0" distB="0" distL="0" distR="0" wp14:anchorId="01BAA74A" wp14:editId="55071074">
            <wp:extent cx="5175885" cy="2944495"/>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5885" cy="2944495"/>
                    </a:xfrm>
                    <a:prstGeom prst="rect">
                      <a:avLst/>
                    </a:prstGeom>
                    <a:noFill/>
                  </pic:spPr>
                </pic:pic>
              </a:graphicData>
            </a:graphic>
          </wp:inline>
        </w:drawing>
      </w:r>
    </w:p>
    <w:p w14:paraId="6404F3C0" w14:textId="7548085F" w:rsidR="00296B71" w:rsidRDefault="00296B71" w:rsidP="00475E28">
      <w:pPr>
        <w:pStyle w:val="Caption"/>
      </w:pPr>
      <w:bookmarkStart w:id="83" w:name="_Ref83300208"/>
      <w:bookmarkStart w:id="84" w:name="_Toc95983455"/>
      <w:r>
        <w:t xml:space="preserve">Figure </w:t>
      </w:r>
      <w:r>
        <w:fldChar w:fldCharType="begin"/>
      </w:r>
      <w:r>
        <w:instrText>SEQ Figure \* ARABIC</w:instrText>
      </w:r>
      <w:r>
        <w:fldChar w:fldCharType="separate"/>
      </w:r>
      <w:r w:rsidR="008D0D42">
        <w:rPr>
          <w:noProof/>
        </w:rPr>
        <w:t>9</w:t>
      </w:r>
      <w:r>
        <w:fldChar w:fldCharType="end"/>
      </w:r>
      <w:bookmarkEnd w:id="83"/>
      <w:r>
        <w:t>. Current loss of lifetime traceability with NLIS tags</w:t>
      </w:r>
      <w:bookmarkEnd w:id="84"/>
    </w:p>
    <w:p w14:paraId="197C62B4" w14:textId="77777777" w:rsidR="00731133" w:rsidRDefault="00731133" w:rsidP="00DB2FF7"/>
    <w:p w14:paraId="7B71C1E8" w14:textId="4E21932B" w:rsidR="00AE4A77" w:rsidRDefault="00296B71" w:rsidP="00DB2FF7">
      <w:r>
        <w:t>When asked to estimate the costs</w:t>
      </w:r>
      <w:r w:rsidR="00AC6CEF">
        <w:t xml:space="preserve"> (loss of value)</w:t>
      </w:r>
      <w:r>
        <w:t xml:space="preserve"> associated with the loss of the NLIS tags and therefore lifetime traceability in cattle, there was an unexpected</w:t>
      </w:r>
      <w:r w:rsidR="006B6DBE">
        <w:t>ly</w:t>
      </w:r>
      <w:r>
        <w:t xml:space="preserve"> wide range from </w:t>
      </w:r>
      <w:r w:rsidR="00F85EAE">
        <w:t>less than $5 per head (39%) to greater than $50 per head (27%) f</w:t>
      </w:r>
      <w:r w:rsidR="00AC6CEF">
        <w:t>or</w:t>
      </w:r>
      <w:r w:rsidR="00F85EAE">
        <w:t xml:space="preserve"> those respondents from the beef produc</w:t>
      </w:r>
      <w:r w:rsidR="00732A29">
        <w:t xml:space="preserve">tion sectors (seedstock, producers and lot feeders; see </w:t>
      </w:r>
      <w:r w:rsidR="00ED094A">
        <w:fldChar w:fldCharType="begin"/>
      </w:r>
      <w:r w:rsidR="00ED094A">
        <w:instrText xml:space="preserve"> REF _Ref83303197 \h </w:instrText>
      </w:r>
      <w:r w:rsidR="00ED094A">
        <w:fldChar w:fldCharType="separate"/>
      </w:r>
      <w:r w:rsidR="008D0D42">
        <w:t xml:space="preserve">Figure </w:t>
      </w:r>
      <w:r w:rsidR="008D0D42">
        <w:rPr>
          <w:noProof/>
        </w:rPr>
        <w:t>10</w:t>
      </w:r>
      <w:r w:rsidR="00ED094A">
        <w:fldChar w:fldCharType="end"/>
      </w:r>
      <w:r w:rsidR="00732A29">
        <w:t xml:space="preserve">).  Processors also indicated significant variation in the costs, with 25% indicating a $5-10 loss and 63% a </w:t>
      </w:r>
      <w:r w:rsidR="006B6DBE">
        <w:t xml:space="preserve">cost </w:t>
      </w:r>
      <w:r w:rsidR="00732A29">
        <w:t>greater than $50.</w:t>
      </w:r>
    </w:p>
    <w:p w14:paraId="4FAD0EE5" w14:textId="77777777" w:rsidR="00CB3917" w:rsidRDefault="00CB3917" w:rsidP="00DB2FF7"/>
    <w:p w14:paraId="4D2862E0" w14:textId="2165F75B" w:rsidR="001D5A12" w:rsidRDefault="001D5A12" w:rsidP="001D5A12">
      <w:pPr>
        <w:jc w:val="center"/>
      </w:pPr>
      <w:r>
        <w:rPr>
          <w:noProof/>
        </w:rPr>
        <w:drawing>
          <wp:inline distT="0" distB="0" distL="0" distR="0" wp14:anchorId="5FCF1893" wp14:editId="26EEBA49">
            <wp:extent cx="5175885" cy="3706495"/>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885" cy="3706495"/>
                    </a:xfrm>
                    <a:prstGeom prst="rect">
                      <a:avLst/>
                    </a:prstGeom>
                    <a:noFill/>
                  </pic:spPr>
                </pic:pic>
              </a:graphicData>
            </a:graphic>
          </wp:inline>
        </w:drawing>
      </w:r>
    </w:p>
    <w:p w14:paraId="2E43A9FE" w14:textId="40D1DB49" w:rsidR="00ED094A" w:rsidRDefault="00ED094A" w:rsidP="00475E28">
      <w:pPr>
        <w:pStyle w:val="Caption"/>
      </w:pPr>
      <w:bookmarkStart w:id="85" w:name="_Ref83303197"/>
      <w:bookmarkStart w:id="86" w:name="_Toc95983456"/>
      <w:r>
        <w:t xml:space="preserve">Figure </w:t>
      </w:r>
      <w:r>
        <w:fldChar w:fldCharType="begin"/>
      </w:r>
      <w:r>
        <w:instrText>SEQ Figure \* ARABIC</w:instrText>
      </w:r>
      <w:r>
        <w:fldChar w:fldCharType="separate"/>
      </w:r>
      <w:r w:rsidR="008D0D42">
        <w:rPr>
          <w:noProof/>
        </w:rPr>
        <w:t>10</w:t>
      </w:r>
      <w:r>
        <w:fldChar w:fldCharType="end"/>
      </w:r>
      <w:bookmarkEnd w:id="85"/>
      <w:r>
        <w:t>. Estimate</w:t>
      </w:r>
      <w:r w:rsidR="00D255CD">
        <w:t>s</w:t>
      </w:r>
      <w:r>
        <w:t xml:space="preserve"> of current costs associated with loss of NLIS tag for cattle</w:t>
      </w:r>
      <w:bookmarkEnd w:id="86"/>
      <w:r>
        <w:t xml:space="preserve"> </w:t>
      </w:r>
    </w:p>
    <w:p w14:paraId="2C6A8461" w14:textId="77777777" w:rsidR="00731133" w:rsidRDefault="00731133" w:rsidP="00DB2FF7"/>
    <w:p w14:paraId="34F68F68" w14:textId="34E97C5E" w:rsidR="00732A29" w:rsidRDefault="00732A29" w:rsidP="00DB2FF7">
      <w:r>
        <w:t>As expected, the costs associated with loss of NLIS tags for sheep or lambs was generally lower</w:t>
      </w:r>
      <w:r w:rsidR="00247473">
        <w:t xml:space="preserve"> (</w:t>
      </w:r>
      <w:r w:rsidR="009E4E33">
        <w:fldChar w:fldCharType="begin"/>
      </w:r>
      <w:r w:rsidR="009E4E33">
        <w:instrText xml:space="preserve"> REF _Ref87706086 \h </w:instrText>
      </w:r>
      <w:r w:rsidR="009E4E33">
        <w:fldChar w:fldCharType="separate"/>
      </w:r>
      <w:r w:rsidR="008D0D42">
        <w:t xml:space="preserve">Figure </w:t>
      </w:r>
      <w:r w:rsidR="008D0D42">
        <w:rPr>
          <w:noProof/>
        </w:rPr>
        <w:t>11</w:t>
      </w:r>
      <w:r w:rsidR="009E4E33">
        <w:fldChar w:fldCharType="end"/>
      </w:r>
      <w:r w:rsidR="00247473">
        <w:t>)</w:t>
      </w:r>
      <w:r>
        <w:t xml:space="preserve">, with 47% of the production sector indicating a loss of less than $5, however 9% did </w:t>
      </w:r>
      <w:r>
        <w:lastRenderedPageBreak/>
        <w:t xml:space="preserve">indicate a loss of $50 or greater (seedstock). There was a high other comment response rate which were generally associated with either zero or negligible losses. Sheep </w:t>
      </w:r>
      <w:r w:rsidR="00ED094A">
        <w:t>processors</w:t>
      </w:r>
      <w:r>
        <w:t xml:space="preserve"> again showed significant variation with 29% indicating a </w:t>
      </w:r>
      <w:r w:rsidR="006B6DBE">
        <w:t xml:space="preserve">loss </w:t>
      </w:r>
      <w:r>
        <w:t xml:space="preserve">less than $5 and 29% indicating a </w:t>
      </w:r>
      <w:r w:rsidR="006B6DBE">
        <w:t xml:space="preserve">loss </w:t>
      </w:r>
      <w:r w:rsidR="00ED094A">
        <w:t xml:space="preserve">greater than $50 per carcase. </w:t>
      </w:r>
    </w:p>
    <w:p w14:paraId="3AF9634B" w14:textId="0C63070C" w:rsidR="0092733F" w:rsidRDefault="0092733F" w:rsidP="00DB2FF7"/>
    <w:p w14:paraId="1A239E9C" w14:textId="54F5F530" w:rsidR="00ED094A" w:rsidRDefault="00BF15C1" w:rsidP="001D5A12">
      <w:pPr>
        <w:jc w:val="center"/>
      </w:pPr>
      <w:r>
        <w:rPr>
          <w:noProof/>
        </w:rPr>
        <w:drawing>
          <wp:inline distT="0" distB="0" distL="0" distR="0" wp14:anchorId="2D39E258" wp14:editId="20AD1772">
            <wp:extent cx="5170170" cy="3895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0170" cy="3895725"/>
                    </a:xfrm>
                    <a:prstGeom prst="rect">
                      <a:avLst/>
                    </a:prstGeom>
                    <a:noFill/>
                  </pic:spPr>
                </pic:pic>
              </a:graphicData>
            </a:graphic>
          </wp:inline>
        </w:drawing>
      </w:r>
    </w:p>
    <w:p w14:paraId="37343494" w14:textId="7ECF90EA" w:rsidR="00ED094A" w:rsidRDefault="00ED094A" w:rsidP="00475E28">
      <w:pPr>
        <w:pStyle w:val="Caption"/>
      </w:pPr>
      <w:bookmarkStart w:id="87" w:name="_Ref87706086"/>
      <w:bookmarkStart w:id="88" w:name="_Toc95983457"/>
      <w:r>
        <w:t xml:space="preserve">Figure </w:t>
      </w:r>
      <w:r>
        <w:fldChar w:fldCharType="begin"/>
      </w:r>
      <w:r>
        <w:instrText>SEQ Figure \* ARABIC</w:instrText>
      </w:r>
      <w:r>
        <w:fldChar w:fldCharType="separate"/>
      </w:r>
      <w:r w:rsidR="008D0D42">
        <w:rPr>
          <w:noProof/>
        </w:rPr>
        <w:t>11</w:t>
      </w:r>
      <w:r>
        <w:fldChar w:fldCharType="end"/>
      </w:r>
      <w:bookmarkEnd w:id="87"/>
      <w:r>
        <w:t>. Estimate</w:t>
      </w:r>
      <w:r w:rsidR="00D255CD">
        <w:t>s</w:t>
      </w:r>
      <w:r>
        <w:t xml:space="preserve"> of current costs associated with loss of NLIS tag for sheep or lambs</w:t>
      </w:r>
      <w:bookmarkEnd w:id="88"/>
    </w:p>
    <w:p w14:paraId="41F75A6A" w14:textId="495465A8" w:rsidR="0092733F" w:rsidRDefault="0092733F" w:rsidP="0092733F"/>
    <w:p w14:paraId="48DDA65D" w14:textId="77777777" w:rsidR="008D0D42" w:rsidRDefault="0092733F" w:rsidP="008D0D42">
      <w:r>
        <w:t xml:space="preserve">A thematic analysis of the responses to an </w:t>
      </w:r>
      <w:r w:rsidR="003A7359">
        <w:t>open-ended</w:t>
      </w:r>
      <w:r>
        <w:t xml:space="preserve"> question on what people do with animals or carcases that have lost tags is shown in</w:t>
      </w:r>
      <w:r w:rsidR="003A7359">
        <w:fldChar w:fldCharType="begin"/>
      </w:r>
      <w:r w:rsidR="003A7359">
        <w:instrText xml:space="preserve"> REF _Ref83303709 \h </w:instrText>
      </w:r>
      <w:r w:rsidR="00F974C1">
        <w:instrText xml:space="preserve"> \* MERGEFORMAT </w:instrText>
      </w:r>
      <w:r w:rsidR="003A7359">
        <w:fldChar w:fldCharType="separate"/>
      </w:r>
    </w:p>
    <w:p w14:paraId="45CCAD01" w14:textId="22B55681" w:rsidR="0092733F" w:rsidRDefault="008D0D42" w:rsidP="00074818">
      <w:r>
        <w:t xml:space="preserve">Figure </w:t>
      </w:r>
      <w:r>
        <w:rPr>
          <w:noProof/>
        </w:rPr>
        <w:t>12</w:t>
      </w:r>
      <w:r w:rsidR="003A7359">
        <w:fldChar w:fldCharType="end"/>
      </w:r>
      <w:r w:rsidR="0092733F">
        <w:t>. There was a strong theme of simply replacing the tag</w:t>
      </w:r>
      <w:r w:rsidR="006F0343">
        <w:t>;</w:t>
      </w:r>
      <w:r w:rsidR="0092733F">
        <w:t xml:space="preserve"> </w:t>
      </w:r>
      <w:r w:rsidR="00070999">
        <w:t>however,</w:t>
      </w:r>
      <w:r w:rsidR="0092733F">
        <w:t xml:space="preserve"> there were some variations in how those tags were replaced as indicated in the commentary. The other strong theme that emerged (both for producers and processors) was that animals without lifetime traceability are usually directed to a less discerning market, with again some variations in approaches used </w:t>
      </w:r>
      <w:r w:rsidR="00E2522B">
        <w:t>(</w:t>
      </w:r>
      <w:r w:rsidR="0092733F">
        <w:t>as shown</w:t>
      </w:r>
      <w:r w:rsidR="00E2522B">
        <w:t>)</w:t>
      </w:r>
      <w:r w:rsidR="0092733F">
        <w:t xml:space="preserve">. </w:t>
      </w:r>
      <w:r w:rsidR="00E2522B">
        <w:t>A</w:t>
      </w:r>
      <w:r w:rsidR="0092733F">
        <w:t xml:space="preserve"> small </w:t>
      </w:r>
      <w:r w:rsidR="003A7359">
        <w:t>proportion of respon</w:t>
      </w:r>
      <w:r w:rsidR="00E2522B">
        <w:t>dents</w:t>
      </w:r>
      <w:r w:rsidR="003A7359">
        <w:t xml:space="preserve"> indicated that either nothing is done or there is little impact from the loss a tag. </w:t>
      </w:r>
    </w:p>
    <w:p w14:paraId="5A4436A3" w14:textId="77777777" w:rsidR="00080D87" w:rsidRDefault="00080D87" w:rsidP="00074818">
      <w:pPr>
        <w:sectPr w:rsidR="00080D87" w:rsidSect="00593907">
          <w:pgSz w:w="11906" w:h="16838"/>
          <w:pgMar w:top="1440" w:right="1440" w:bottom="1440" w:left="1440" w:header="709" w:footer="709" w:gutter="0"/>
          <w:cols w:space="708"/>
          <w:titlePg/>
          <w:docGrid w:linePitch="360"/>
        </w:sectPr>
      </w:pPr>
    </w:p>
    <w:p w14:paraId="0DAA5324" w14:textId="77777777" w:rsidR="00080D87" w:rsidRPr="0092733F" w:rsidRDefault="00080D87" w:rsidP="00074818"/>
    <w:p w14:paraId="41740005" w14:textId="07BF463B" w:rsidR="00ED094A" w:rsidRDefault="0065521A" w:rsidP="00ED094A">
      <w:r>
        <w:rPr>
          <w:noProof/>
        </w:rPr>
        <w:drawing>
          <wp:inline distT="0" distB="0" distL="0" distR="0" wp14:anchorId="4FF6086B" wp14:editId="107F9864">
            <wp:extent cx="9673154" cy="4667250"/>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713048" cy="4686499"/>
                    </a:xfrm>
                    <a:prstGeom prst="rect">
                      <a:avLst/>
                    </a:prstGeom>
                  </pic:spPr>
                </pic:pic>
              </a:graphicData>
            </a:graphic>
          </wp:inline>
        </w:drawing>
      </w:r>
    </w:p>
    <w:p w14:paraId="0ED13D98" w14:textId="77777777" w:rsidR="00183DC1" w:rsidRDefault="00183DC1" w:rsidP="00475E28">
      <w:pPr>
        <w:pStyle w:val="Caption"/>
      </w:pPr>
      <w:bookmarkStart w:id="89" w:name="_Ref83303709"/>
    </w:p>
    <w:p w14:paraId="384B0D4D" w14:textId="732F6723" w:rsidR="003A7359" w:rsidRPr="00ED094A" w:rsidRDefault="003A7359" w:rsidP="00475E28">
      <w:pPr>
        <w:pStyle w:val="Caption"/>
      </w:pPr>
      <w:bookmarkStart w:id="90" w:name="_Toc95983458"/>
      <w:r>
        <w:t xml:space="preserve">Figure </w:t>
      </w:r>
      <w:r>
        <w:fldChar w:fldCharType="begin"/>
      </w:r>
      <w:r>
        <w:instrText>SEQ Figure \* ARABIC</w:instrText>
      </w:r>
      <w:r>
        <w:fldChar w:fldCharType="separate"/>
      </w:r>
      <w:r w:rsidR="008D0D42">
        <w:rPr>
          <w:noProof/>
        </w:rPr>
        <w:t>12</w:t>
      </w:r>
      <w:r>
        <w:fldChar w:fldCharType="end"/>
      </w:r>
      <w:bookmarkEnd w:id="89"/>
      <w:r>
        <w:t>. Thematic analysis of approaches and responses to loss of lifetime traceability</w:t>
      </w:r>
      <w:bookmarkEnd w:id="90"/>
      <w:r>
        <w:t xml:space="preserve">  </w:t>
      </w:r>
    </w:p>
    <w:p w14:paraId="05F102A8" w14:textId="77777777" w:rsidR="00080D87" w:rsidRDefault="00080D87" w:rsidP="005709EF">
      <w:pPr>
        <w:sectPr w:rsidR="00080D87" w:rsidSect="00080D87">
          <w:pgSz w:w="16838" w:h="11906" w:orient="landscape"/>
          <w:pgMar w:top="1440" w:right="1440" w:bottom="1440" w:left="1440" w:header="709" w:footer="709" w:gutter="0"/>
          <w:cols w:space="708"/>
          <w:titlePg/>
          <w:docGrid w:linePitch="360"/>
        </w:sectPr>
      </w:pPr>
    </w:p>
    <w:p w14:paraId="19D6220F" w14:textId="77777777" w:rsidR="002B4F33" w:rsidRDefault="002B4F33" w:rsidP="005709EF"/>
    <w:p w14:paraId="54E340A6" w14:textId="39575077" w:rsidR="00212CD6" w:rsidRDefault="00212CD6" w:rsidP="005709EF">
      <w:r>
        <w:t xml:space="preserve">Responses to the question on the costs of establishing and maintaining lifetime traceability for cattle provide two important </w:t>
      </w:r>
      <w:r w:rsidR="004B2A95">
        <w:t xml:space="preserve">pieces </w:t>
      </w:r>
      <w:r>
        <w:t>of information</w:t>
      </w:r>
      <w:r w:rsidR="00996AB0">
        <w:t xml:space="preserve"> (</w:t>
      </w:r>
      <w:r w:rsidR="00996AB0">
        <w:fldChar w:fldCharType="begin"/>
      </w:r>
      <w:r w:rsidR="00996AB0">
        <w:instrText xml:space="preserve"> REF _Ref87706165 \h </w:instrText>
      </w:r>
      <w:r w:rsidR="00996AB0">
        <w:fldChar w:fldCharType="separate"/>
      </w:r>
      <w:r w:rsidR="008D0D42" w:rsidRPr="00345128">
        <w:t xml:space="preserve">Figure </w:t>
      </w:r>
      <w:r w:rsidR="008D0D42">
        <w:rPr>
          <w:noProof/>
        </w:rPr>
        <w:t>13</w:t>
      </w:r>
      <w:r w:rsidR="00996AB0">
        <w:fldChar w:fldCharType="end"/>
      </w:r>
      <w:r w:rsidR="00996AB0">
        <w:t>)</w:t>
      </w:r>
      <w:r>
        <w:t xml:space="preserve">. The </w:t>
      </w:r>
      <w:r w:rsidR="004B2A95">
        <w:t xml:space="preserve">first </w:t>
      </w:r>
      <w:r>
        <w:t xml:space="preserve">is the estimate of costs over and above the purchase price of NLIS </w:t>
      </w:r>
      <w:r w:rsidR="00DD0A90">
        <w:t>electronic identification (</w:t>
      </w:r>
      <w:r>
        <w:t>EID</w:t>
      </w:r>
      <w:r w:rsidR="00DD0A90">
        <w:t>)</w:t>
      </w:r>
      <w:r>
        <w:t xml:space="preserve"> tags ($3-5)</w:t>
      </w:r>
      <w:r w:rsidR="004B2A95">
        <w:t>,</w:t>
      </w:r>
      <w:r>
        <w:t xml:space="preserve"> which are usually associated with labour and software</w:t>
      </w:r>
      <w:r w:rsidR="004B2A95">
        <w:t>;</w:t>
      </w:r>
      <w:r>
        <w:t xml:space="preserve"> and the </w:t>
      </w:r>
      <w:r w:rsidR="004B2A95">
        <w:t xml:space="preserve">second </w:t>
      </w:r>
      <w:r>
        <w:t xml:space="preserve">being the magnitude </w:t>
      </w:r>
      <w:r w:rsidR="00AC6CEF">
        <w:t xml:space="preserve">of expense </w:t>
      </w:r>
      <w:r>
        <w:t>that people are committing to achieving lifetime traceability.  As with previous questions</w:t>
      </w:r>
      <w:r w:rsidR="00FD6C47">
        <w:t>,</w:t>
      </w:r>
      <w:r>
        <w:t xml:space="preserve"> there was significant variation in the estimated costs from 27% of </w:t>
      </w:r>
      <w:r w:rsidR="00FD6C47">
        <w:t xml:space="preserve">beef </w:t>
      </w:r>
      <w:r>
        <w:t>production sector participants indicating less than $5</w:t>
      </w:r>
      <w:r w:rsidR="009D2DED">
        <w:t>,</w:t>
      </w:r>
      <w:r>
        <w:t xml:space="preserve"> to </w:t>
      </w:r>
      <w:r w:rsidR="008A7D08">
        <w:t>11% indicating greater than $20 per head (which were not all seedstock).  Processors also indicated a wide variation from 17% at less than $5</w:t>
      </w:r>
      <w:r w:rsidR="00CC3A49">
        <w:t>,</w:t>
      </w:r>
      <w:r w:rsidR="008A7D08">
        <w:t xml:space="preserve"> to 17% being greater than $20</w:t>
      </w:r>
      <w:r w:rsidR="00CC3A49">
        <w:t>,</w:t>
      </w:r>
      <w:r w:rsidR="008A7D08">
        <w:t xml:space="preserve"> with 50% at $5-10. </w:t>
      </w:r>
      <w:r>
        <w:t xml:space="preserve"> </w:t>
      </w:r>
    </w:p>
    <w:p w14:paraId="24AE57E7" w14:textId="77777777" w:rsidR="006B2E50" w:rsidRDefault="006B2E50" w:rsidP="005709EF"/>
    <w:p w14:paraId="0E7C5213" w14:textId="3B6CC0DB" w:rsidR="008A7D08" w:rsidRDefault="008A7D08" w:rsidP="001D5A12">
      <w:pPr>
        <w:keepNext/>
        <w:keepLines/>
        <w:jc w:val="center"/>
      </w:pPr>
      <w:r>
        <w:rPr>
          <w:noProof/>
        </w:rPr>
        <w:drawing>
          <wp:inline distT="0" distB="0" distL="0" distR="0" wp14:anchorId="7ECA8556" wp14:editId="4521399F">
            <wp:extent cx="5175885" cy="332232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5885" cy="3322320"/>
                    </a:xfrm>
                    <a:prstGeom prst="rect">
                      <a:avLst/>
                    </a:prstGeom>
                    <a:noFill/>
                  </pic:spPr>
                </pic:pic>
              </a:graphicData>
            </a:graphic>
          </wp:inline>
        </w:drawing>
      </w:r>
    </w:p>
    <w:p w14:paraId="290E3CC8" w14:textId="08702C7D" w:rsidR="008A7D08" w:rsidRPr="00345128" w:rsidRDefault="008A7D08" w:rsidP="00475E28">
      <w:pPr>
        <w:pStyle w:val="Caption"/>
      </w:pPr>
      <w:bookmarkStart w:id="91" w:name="_Ref87706165"/>
      <w:bookmarkStart w:id="92" w:name="_Toc95983459"/>
      <w:bookmarkStart w:id="93" w:name="_Hlk83304670"/>
      <w:r w:rsidRPr="00345128">
        <w:t xml:space="preserve">Figure </w:t>
      </w:r>
      <w:r>
        <w:fldChar w:fldCharType="begin"/>
      </w:r>
      <w:r>
        <w:instrText>SEQ Figure \* ARABIC</w:instrText>
      </w:r>
      <w:r>
        <w:fldChar w:fldCharType="separate"/>
      </w:r>
      <w:r w:rsidR="008D0D42">
        <w:rPr>
          <w:noProof/>
        </w:rPr>
        <w:t>13</w:t>
      </w:r>
      <w:r>
        <w:fldChar w:fldCharType="end"/>
      </w:r>
      <w:bookmarkEnd w:id="91"/>
      <w:r w:rsidRPr="00345128">
        <w:t>. Estimated costs of establishing and maintaining lifetime traceability in cattle</w:t>
      </w:r>
      <w:bookmarkEnd w:id="92"/>
      <w:r w:rsidRPr="00345128">
        <w:t xml:space="preserve"> </w:t>
      </w:r>
    </w:p>
    <w:bookmarkEnd w:id="93"/>
    <w:p w14:paraId="740BD871" w14:textId="77777777" w:rsidR="00577199" w:rsidRDefault="00577199" w:rsidP="005709EF"/>
    <w:p w14:paraId="15DA8B77" w14:textId="1D421B4D" w:rsidR="008A7D08" w:rsidRDefault="008A7D08" w:rsidP="005709EF">
      <w:r>
        <w:t xml:space="preserve">In contrast, 83% of </w:t>
      </w:r>
      <w:r w:rsidR="00CC3A49">
        <w:t xml:space="preserve">respondents in </w:t>
      </w:r>
      <w:r w:rsidR="00E16426">
        <w:t xml:space="preserve">the </w:t>
      </w:r>
      <w:r>
        <w:t xml:space="preserve">sheep production sector indicated a </w:t>
      </w:r>
      <w:r w:rsidR="00E16426">
        <w:t xml:space="preserve">cost of </w:t>
      </w:r>
      <w:r>
        <w:t>less than $5 for establishing and maintaining lifetime traceability in sheep and lambs</w:t>
      </w:r>
      <w:r w:rsidR="00656377">
        <w:t xml:space="preserve"> with the current NLIS system</w:t>
      </w:r>
      <w:r>
        <w:t xml:space="preserve">.  Processors also generally reported a lower cost for sheep, but one processor did indicate a &gt;$20 cost which was associated with a detailed hook-tracking and feedback system (see </w:t>
      </w:r>
      <w:r>
        <w:fldChar w:fldCharType="begin"/>
      </w:r>
      <w:r>
        <w:instrText xml:space="preserve"> REF _Ref83304750 \h </w:instrText>
      </w:r>
      <w:r>
        <w:fldChar w:fldCharType="separate"/>
      </w:r>
      <w:r w:rsidR="008D0D42">
        <w:t xml:space="preserve">Figure </w:t>
      </w:r>
      <w:r w:rsidR="008D0D42">
        <w:rPr>
          <w:noProof/>
        </w:rPr>
        <w:t>14</w:t>
      </w:r>
      <w:r>
        <w:fldChar w:fldCharType="end"/>
      </w:r>
      <w:r>
        <w:t>)</w:t>
      </w:r>
      <w:r w:rsidR="007E02DD">
        <w:t>.</w:t>
      </w:r>
    </w:p>
    <w:p w14:paraId="00DE8098" w14:textId="77777777" w:rsidR="00345128" w:rsidRDefault="00345128" w:rsidP="005709EF"/>
    <w:p w14:paraId="5410B98E" w14:textId="0952B182" w:rsidR="008A7D08" w:rsidRDefault="008A7D08" w:rsidP="001D5A12">
      <w:pPr>
        <w:jc w:val="center"/>
      </w:pPr>
      <w:r>
        <w:rPr>
          <w:noProof/>
        </w:rPr>
        <w:lastRenderedPageBreak/>
        <w:drawing>
          <wp:inline distT="0" distB="0" distL="0" distR="0" wp14:anchorId="798F18F2" wp14:editId="65AC0C7A">
            <wp:extent cx="5175885" cy="3328670"/>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5885" cy="3328670"/>
                    </a:xfrm>
                    <a:prstGeom prst="rect">
                      <a:avLst/>
                    </a:prstGeom>
                    <a:noFill/>
                  </pic:spPr>
                </pic:pic>
              </a:graphicData>
            </a:graphic>
          </wp:inline>
        </w:drawing>
      </w:r>
    </w:p>
    <w:p w14:paraId="44708691" w14:textId="6986198E" w:rsidR="008A7D08" w:rsidRDefault="008A7D08" w:rsidP="00475E28">
      <w:pPr>
        <w:pStyle w:val="Caption"/>
      </w:pPr>
      <w:bookmarkStart w:id="94" w:name="_Ref83304750"/>
      <w:bookmarkStart w:id="95" w:name="_Toc95983460"/>
      <w:r>
        <w:t xml:space="preserve">Figure </w:t>
      </w:r>
      <w:r>
        <w:fldChar w:fldCharType="begin"/>
      </w:r>
      <w:r>
        <w:instrText>SEQ Figure \* ARABIC</w:instrText>
      </w:r>
      <w:r>
        <w:fldChar w:fldCharType="separate"/>
      </w:r>
      <w:r w:rsidR="008D0D42">
        <w:rPr>
          <w:noProof/>
        </w:rPr>
        <w:t>14</w:t>
      </w:r>
      <w:r>
        <w:fldChar w:fldCharType="end"/>
      </w:r>
      <w:bookmarkEnd w:id="94"/>
      <w:r>
        <w:t xml:space="preserve">. </w:t>
      </w:r>
      <w:r w:rsidRPr="008A7D08">
        <w:t xml:space="preserve">Estimated costs of establishing and maintaining lifetime traceability in </w:t>
      </w:r>
      <w:r>
        <w:t>sheep</w:t>
      </w:r>
      <w:bookmarkEnd w:id="95"/>
    </w:p>
    <w:p w14:paraId="7B5B1B4E" w14:textId="77777777" w:rsidR="002B4F33" w:rsidRPr="00E43C66" w:rsidRDefault="002B4F33" w:rsidP="008A7D08">
      <w:pPr>
        <w:rPr>
          <w:sz w:val="16"/>
          <w:szCs w:val="16"/>
        </w:rPr>
      </w:pPr>
    </w:p>
    <w:p w14:paraId="3465DC2A" w14:textId="638CED3E" w:rsidR="008A7D08" w:rsidRDefault="008A7D08" w:rsidP="008A7D08">
      <w:r>
        <w:t xml:space="preserve">There were very similar approaches or additional steps (methods) used in protecting or ensuring lifetime traceability. Management and or/ dual tags </w:t>
      </w:r>
      <w:r w:rsidR="00344676">
        <w:t xml:space="preserve">are widely used </w:t>
      </w:r>
      <w:r w:rsidR="00FD6C47">
        <w:t xml:space="preserve">by </w:t>
      </w:r>
      <w:r w:rsidR="00344676">
        <w:t xml:space="preserve">both beef seedstock and </w:t>
      </w:r>
      <w:r w:rsidR="00FD6C47">
        <w:t xml:space="preserve">beef </w:t>
      </w:r>
      <w:r w:rsidR="00344676">
        <w:t xml:space="preserve">producers, with </w:t>
      </w:r>
      <w:r w:rsidR="00361981">
        <w:t>some</w:t>
      </w:r>
      <w:r w:rsidR="00344676">
        <w:t xml:space="preserve"> use of tattooing</w:t>
      </w:r>
      <w:r w:rsidR="00361981">
        <w:t>, freeze branding</w:t>
      </w:r>
      <w:r w:rsidR="00344676">
        <w:t xml:space="preserve"> </w:t>
      </w:r>
      <w:r w:rsidR="00705836">
        <w:t xml:space="preserve">(of animal identity) </w:t>
      </w:r>
      <w:r w:rsidR="00344676">
        <w:t>and DNA sampl</w:t>
      </w:r>
      <w:r w:rsidR="00361981">
        <w:t>ing</w:t>
      </w:r>
      <w:r w:rsidR="00344676">
        <w:t xml:space="preserve"> in the seedstock sector. </w:t>
      </w:r>
      <w:r w:rsidR="00E43C66" w:rsidRPr="00E43C66">
        <w:t xml:space="preserve">Some producers </w:t>
      </w:r>
      <w:r w:rsidR="00E43C66">
        <w:t xml:space="preserve">also </w:t>
      </w:r>
      <w:r w:rsidR="00E43C66" w:rsidRPr="00E43C66">
        <w:t>use additional tags that include both PIC and NLIS number.</w:t>
      </w:r>
      <w:r w:rsidR="00E43C66">
        <w:t xml:space="preserve">  </w:t>
      </w:r>
      <w:r w:rsidR="00DA77A2">
        <w:t>Of interest, no respondent from these sectors indicated that they use genotyping</w:t>
      </w:r>
      <w:r w:rsidR="00705836">
        <w:t xml:space="preserve"> specifically</w:t>
      </w:r>
      <w:r w:rsidR="00DA77A2">
        <w:t xml:space="preserve"> to protect lifetime traceability. The beef lot feeders indicated very similar practices to beef producer</w:t>
      </w:r>
      <w:r w:rsidR="00C70981">
        <w:t>s</w:t>
      </w:r>
      <w:r w:rsidR="00DA77A2">
        <w:t xml:space="preserve"> in the use of management and or dual tags (see </w:t>
      </w:r>
      <w:r w:rsidR="00C70148">
        <w:fldChar w:fldCharType="begin"/>
      </w:r>
      <w:r w:rsidR="00C70148">
        <w:instrText xml:space="preserve"> REF _Ref83371141 \h </w:instrText>
      </w:r>
      <w:r w:rsidR="00C70148">
        <w:fldChar w:fldCharType="separate"/>
      </w:r>
      <w:r w:rsidR="008D0D42">
        <w:t xml:space="preserve">Figure </w:t>
      </w:r>
      <w:r w:rsidR="008D0D42">
        <w:rPr>
          <w:noProof/>
        </w:rPr>
        <w:t>15</w:t>
      </w:r>
      <w:r w:rsidR="00C70148">
        <w:fldChar w:fldCharType="end"/>
      </w:r>
      <w:r w:rsidR="00FD6C47">
        <w:t>)</w:t>
      </w:r>
      <w:r w:rsidR="00C70981">
        <w:t>.</w:t>
      </w:r>
      <w:r w:rsidR="00DA77A2">
        <w:t xml:space="preserve">  In contrast, sheep producers</w:t>
      </w:r>
      <w:r w:rsidR="00C70148">
        <w:t xml:space="preserve"> (</w:t>
      </w:r>
      <w:r w:rsidR="00C70148">
        <w:fldChar w:fldCharType="begin"/>
      </w:r>
      <w:r w:rsidR="00C70148">
        <w:instrText xml:space="preserve"> REF _Ref83371155 \h </w:instrText>
      </w:r>
      <w:r w:rsidR="00C70148">
        <w:fldChar w:fldCharType="separate"/>
      </w:r>
      <w:r w:rsidR="008D0D42">
        <w:t xml:space="preserve">Figure </w:t>
      </w:r>
      <w:r w:rsidR="008D0D42">
        <w:rPr>
          <w:noProof/>
        </w:rPr>
        <w:t>16</w:t>
      </w:r>
      <w:r w:rsidR="00C70148">
        <w:fldChar w:fldCharType="end"/>
      </w:r>
      <w:r w:rsidR="00C70148">
        <w:t>)</w:t>
      </w:r>
      <w:r w:rsidR="00DA77A2">
        <w:t xml:space="preserve"> generally indicated lower rates of protecting lifetime traceability which would be primarily linked to the current mob-based tracking system. </w:t>
      </w:r>
    </w:p>
    <w:p w14:paraId="71BF8A33" w14:textId="77777777" w:rsidR="006B2E50" w:rsidRPr="00E43C66" w:rsidRDefault="006B2E50" w:rsidP="008A7D08">
      <w:pPr>
        <w:rPr>
          <w:sz w:val="16"/>
          <w:szCs w:val="16"/>
        </w:rPr>
      </w:pPr>
    </w:p>
    <w:p w14:paraId="26021EB7" w14:textId="0CFD3858" w:rsidR="00344676" w:rsidRDefault="00B05703" w:rsidP="00183DC1">
      <w:pPr>
        <w:keepNext/>
        <w:keepLines/>
        <w:jc w:val="center"/>
      </w:pPr>
      <w:r>
        <w:rPr>
          <w:noProof/>
        </w:rPr>
        <w:drawing>
          <wp:inline distT="0" distB="0" distL="0" distR="0" wp14:anchorId="44DD5FC8" wp14:editId="1A54E161">
            <wp:extent cx="4733442" cy="324864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93" cy="3255132"/>
                    </a:xfrm>
                    <a:prstGeom prst="rect">
                      <a:avLst/>
                    </a:prstGeom>
                    <a:noFill/>
                  </pic:spPr>
                </pic:pic>
              </a:graphicData>
            </a:graphic>
          </wp:inline>
        </w:drawing>
      </w:r>
    </w:p>
    <w:p w14:paraId="3EE95D2C" w14:textId="31B1F8B0" w:rsidR="00DA77A2" w:rsidRDefault="00DA77A2" w:rsidP="00475E28">
      <w:pPr>
        <w:pStyle w:val="Caption"/>
      </w:pPr>
      <w:bookmarkStart w:id="96" w:name="_Ref83371141"/>
      <w:bookmarkStart w:id="97" w:name="_Toc95983461"/>
      <w:r>
        <w:t xml:space="preserve">Figure </w:t>
      </w:r>
      <w:r>
        <w:fldChar w:fldCharType="begin"/>
      </w:r>
      <w:r>
        <w:instrText>SEQ Figure \* ARABIC</w:instrText>
      </w:r>
      <w:r>
        <w:fldChar w:fldCharType="separate"/>
      </w:r>
      <w:r w:rsidR="008D0D42">
        <w:rPr>
          <w:noProof/>
        </w:rPr>
        <w:t>15</w:t>
      </w:r>
      <w:r>
        <w:fldChar w:fldCharType="end"/>
      </w:r>
      <w:bookmarkEnd w:id="96"/>
      <w:r>
        <w:t xml:space="preserve">. </w:t>
      </w:r>
      <w:bookmarkStart w:id="98" w:name="_Hlk83371099"/>
      <w:r>
        <w:t>Practices used in the beef production sectors to ensure lifetime traceability</w:t>
      </w:r>
      <w:bookmarkEnd w:id="97"/>
      <w:r>
        <w:t xml:space="preserve"> </w:t>
      </w:r>
      <w:bookmarkEnd w:id="98"/>
    </w:p>
    <w:p w14:paraId="52E8B42D" w14:textId="77777777" w:rsidR="002B4F33" w:rsidRPr="002B4F33" w:rsidRDefault="002B4F33" w:rsidP="00C83D90"/>
    <w:p w14:paraId="5D7727F6" w14:textId="662137AD" w:rsidR="00DA77A2" w:rsidRDefault="00B05703" w:rsidP="003633D7">
      <w:pPr>
        <w:jc w:val="center"/>
      </w:pPr>
      <w:r>
        <w:rPr>
          <w:noProof/>
        </w:rPr>
        <w:lastRenderedPageBreak/>
        <w:drawing>
          <wp:inline distT="0" distB="0" distL="0" distR="0" wp14:anchorId="175D7813" wp14:editId="72F61E60">
            <wp:extent cx="5585288" cy="3829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0295" cy="3832483"/>
                    </a:xfrm>
                    <a:prstGeom prst="rect">
                      <a:avLst/>
                    </a:prstGeom>
                    <a:noFill/>
                  </pic:spPr>
                </pic:pic>
              </a:graphicData>
            </a:graphic>
          </wp:inline>
        </w:drawing>
      </w:r>
    </w:p>
    <w:p w14:paraId="03620932" w14:textId="6B236391" w:rsidR="00DA77A2" w:rsidRDefault="00DA77A2" w:rsidP="00475E28">
      <w:pPr>
        <w:pStyle w:val="Caption"/>
      </w:pPr>
      <w:bookmarkStart w:id="99" w:name="_Ref83371155"/>
      <w:bookmarkStart w:id="100" w:name="_Toc95983462"/>
      <w:r>
        <w:t xml:space="preserve">Figure </w:t>
      </w:r>
      <w:r>
        <w:fldChar w:fldCharType="begin"/>
      </w:r>
      <w:r>
        <w:instrText>SEQ Figure \* ARABIC</w:instrText>
      </w:r>
      <w:r>
        <w:fldChar w:fldCharType="separate"/>
      </w:r>
      <w:r w:rsidR="008D0D42">
        <w:rPr>
          <w:noProof/>
        </w:rPr>
        <w:t>16</w:t>
      </w:r>
      <w:r>
        <w:fldChar w:fldCharType="end"/>
      </w:r>
      <w:bookmarkEnd w:id="99"/>
      <w:r>
        <w:t xml:space="preserve">. </w:t>
      </w:r>
      <w:r w:rsidRPr="00DA77A2">
        <w:t xml:space="preserve">Practices used </w:t>
      </w:r>
      <w:r>
        <w:t xml:space="preserve">by sheep </w:t>
      </w:r>
      <w:r w:rsidRPr="00DA77A2">
        <w:t>produc</w:t>
      </w:r>
      <w:r>
        <w:t>ers</w:t>
      </w:r>
      <w:r w:rsidRPr="00DA77A2">
        <w:t xml:space="preserve"> to ensure lifetime traceability</w:t>
      </w:r>
      <w:bookmarkEnd w:id="100"/>
    </w:p>
    <w:p w14:paraId="073716A5" w14:textId="676C63EC" w:rsidR="00C70148" w:rsidRDefault="00C70148" w:rsidP="00C70148"/>
    <w:p w14:paraId="4442467A" w14:textId="7545D368" w:rsidR="00C70148" w:rsidRDefault="00C70148" w:rsidP="00C70148">
      <w:r>
        <w:t>When asked to contrast the key differences between the two species in terms of lifetime traceability there were some very clear themes that emerged. These included:</w:t>
      </w:r>
    </w:p>
    <w:p w14:paraId="28EB3873" w14:textId="12ADA7D9" w:rsidR="00C70148" w:rsidRDefault="00C70148" w:rsidP="00374617">
      <w:pPr>
        <w:pStyle w:val="ListParagraph"/>
        <w:numPr>
          <w:ilvl w:val="0"/>
          <w:numId w:val="4"/>
        </w:numPr>
      </w:pPr>
      <w:r>
        <w:t xml:space="preserve">More market demand for lifetime traceability </w:t>
      </w:r>
    </w:p>
    <w:p w14:paraId="12CC2097" w14:textId="22E7927B" w:rsidR="00C70148" w:rsidRDefault="00C70148" w:rsidP="00374617">
      <w:pPr>
        <w:pStyle w:val="ListParagraph"/>
        <w:numPr>
          <w:ilvl w:val="0"/>
          <w:numId w:val="4"/>
        </w:numPr>
      </w:pPr>
      <w:r>
        <w:t>EID and individual management for cattle vs mob-based for sheep</w:t>
      </w:r>
    </w:p>
    <w:p w14:paraId="78B302CA" w14:textId="6D3C6680" w:rsidR="00C70148" w:rsidRDefault="00C70148" w:rsidP="00374617">
      <w:pPr>
        <w:pStyle w:val="ListParagraph"/>
        <w:numPr>
          <w:ilvl w:val="0"/>
          <w:numId w:val="4"/>
        </w:numPr>
      </w:pPr>
      <w:r>
        <w:t>Linkage to carcase and animal health feedback for cattle vs mob-based feedback for sheep, summarised as more value add in cattle than sheep</w:t>
      </w:r>
    </w:p>
    <w:p w14:paraId="77B378CA" w14:textId="102CA18F" w:rsidR="00C70148" w:rsidRDefault="00C70148" w:rsidP="00374617">
      <w:pPr>
        <w:pStyle w:val="ListParagraph"/>
        <w:numPr>
          <w:ilvl w:val="0"/>
          <w:numId w:val="4"/>
        </w:numPr>
      </w:pPr>
      <w:r>
        <w:t>Perception that the cattle system is far more robust and accurate when compared to sheep</w:t>
      </w:r>
    </w:p>
    <w:p w14:paraId="3FAC0A7F" w14:textId="3314DA73" w:rsidR="00C70148" w:rsidRDefault="00C70148" w:rsidP="00374617">
      <w:pPr>
        <w:pStyle w:val="ListParagraph"/>
        <w:numPr>
          <w:ilvl w:val="0"/>
          <w:numId w:val="4"/>
        </w:numPr>
      </w:pPr>
      <w:r>
        <w:t xml:space="preserve">Belief that </w:t>
      </w:r>
      <w:r w:rsidR="00E95FD8">
        <w:t xml:space="preserve">traceability </w:t>
      </w:r>
      <w:r>
        <w:t>is more important in cattle compared to sheep</w:t>
      </w:r>
    </w:p>
    <w:p w14:paraId="3B54C961" w14:textId="3EBE5618" w:rsidR="00C70148" w:rsidRDefault="00C70148" w:rsidP="00C70148">
      <w:pPr>
        <w:pStyle w:val="ListParagraph"/>
        <w:ind w:left="0"/>
      </w:pPr>
    </w:p>
    <w:p w14:paraId="26F9B7FA" w14:textId="5F359A4A" w:rsidR="00C70148" w:rsidRDefault="00C70148" w:rsidP="00C70148">
      <w:pPr>
        <w:pStyle w:val="ListParagraph"/>
        <w:ind w:left="0"/>
      </w:pPr>
      <w:r>
        <w:t xml:space="preserve">These observations are important as </w:t>
      </w:r>
      <w:r w:rsidR="00E95FD8">
        <w:t xml:space="preserve">they </w:t>
      </w:r>
      <w:r>
        <w:t xml:space="preserve">tend to indicate that cattle industry participants </w:t>
      </w:r>
      <w:r w:rsidR="000A0AF0">
        <w:t xml:space="preserve">are </w:t>
      </w:r>
      <w:r>
        <w:t xml:space="preserve">generally more aware of the value of lifetime traceability and see more tangible </w:t>
      </w:r>
      <w:r w:rsidR="000A0AF0">
        <w:t>value-</w:t>
      </w:r>
      <w:r>
        <w:t>add than sheep</w:t>
      </w:r>
      <w:r w:rsidR="00FD6C47">
        <w:t xml:space="preserve"> industry </w:t>
      </w:r>
      <w:r w:rsidR="000A0AF0">
        <w:t>participants</w:t>
      </w:r>
      <w:r>
        <w:t>, which is primarily a function of individual animal identification as opposed to mob</w:t>
      </w:r>
      <w:r w:rsidR="000A0AF0">
        <w:t>-</w:t>
      </w:r>
      <w:r>
        <w:t>based traceability that exists within the current sheep system.</w:t>
      </w:r>
    </w:p>
    <w:p w14:paraId="44A55E81" w14:textId="77777777" w:rsidR="00C70148" w:rsidRPr="00074818" w:rsidRDefault="00C70148" w:rsidP="000576AC">
      <w:pPr>
        <w:pStyle w:val="ListParagraph"/>
        <w:ind w:left="0"/>
      </w:pPr>
    </w:p>
    <w:p w14:paraId="5C37A956" w14:textId="2F6AD7FA" w:rsidR="005709EF" w:rsidRDefault="005709EF" w:rsidP="007D228F">
      <w:pPr>
        <w:pStyle w:val="Heading4"/>
      </w:pPr>
      <w:r w:rsidRPr="007D228F">
        <w:t xml:space="preserve">Genomic technologies and traceability </w:t>
      </w:r>
    </w:p>
    <w:p w14:paraId="054F1524" w14:textId="77777777" w:rsidR="001E463E" w:rsidRDefault="001E463E" w:rsidP="007D228F"/>
    <w:p w14:paraId="4302343A" w14:textId="104DAAC1" w:rsidR="007D228F" w:rsidRDefault="005C76AD" w:rsidP="007D228F">
      <w:r>
        <w:t xml:space="preserve">Importantly, </w:t>
      </w:r>
      <w:r w:rsidR="007D228F">
        <w:t xml:space="preserve">this survey </w:t>
      </w:r>
      <w:r>
        <w:t xml:space="preserve">revealed </w:t>
      </w:r>
      <w:r w:rsidR="007D228F">
        <w:t xml:space="preserve">the awareness, application, </w:t>
      </w:r>
      <w:proofErr w:type="gramStart"/>
      <w:r w:rsidR="007D228F">
        <w:t>barriers</w:t>
      </w:r>
      <w:proofErr w:type="gramEnd"/>
      <w:r w:rsidR="007D228F">
        <w:t xml:space="preserve"> and preparedness to pay for genomic technologies in both the beef and </w:t>
      </w:r>
      <w:proofErr w:type="spellStart"/>
      <w:r w:rsidR="007D228F">
        <w:t>sheepmeat</w:t>
      </w:r>
      <w:proofErr w:type="spellEnd"/>
      <w:r w:rsidR="007D228F">
        <w:t xml:space="preserve"> industries. These data provide </w:t>
      </w:r>
      <w:r w:rsidR="00CA1A42">
        <w:t>an indication</w:t>
      </w:r>
      <w:r w:rsidR="007D228F">
        <w:t xml:space="preserve"> of how receptive both industries may be towards implementation of genomic technologies for lifetime traceability</w:t>
      </w:r>
      <w:r w:rsidR="00CA1A42">
        <w:t>;</w:t>
      </w:r>
      <w:r w:rsidR="007D228F">
        <w:t xml:space="preserve"> and notably what price points may have to be reached for such technologies to be an attractive value proposition. The </w:t>
      </w:r>
      <w:r w:rsidR="00CA1A42">
        <w:t xml:space="preserve">responses </w:t>
      </w:r>
      <w:r w:rsidR="007D228F">
        <w:t>also provide some insights into key difference</w:t>
      </w:r>
      <w:r w:rsidR="00736419">
        <w:t>s</w:t>
      </w:r>
      <w:r w:rsidR="007D228F">
        <w:t xml:space="preserve"> between the beef and sheep industries. </w:t>
      </w:r>
    </w:p>
    <w:p w14:paraId="4561F63D" w14:textId="5EAA23AF" w:rsidR="007D228F" w:rsidRDefault="007D228F" w:rsidP="007D228F"/>
    <w:p w14:paraId="4027CEFC" w14:textId="75204A03" w:rsidR="007D228F" w:rsidRDefault="007D228F" w:rsidP="007D228F">
      <w:r>
        <w:t xml:space="preserve">As expected, </w:t>
      </w:r>
      <w:r w:rsidR="00736419">
        <w:t xml:space="preserve">current </w:t>
      </w:r>
      <w:r>
        <w:t>application</w:t>
      </w:r>
      <w:r w:rsidR="00736419">
        <w:t>s</w:t>
      </w:r>
      <w:r>
        <w:t xml:space="preserve"> of genomic technologies </w:t>
      </w:r>
      <w:r w:rsidR="00736419">
        <w:t>are</w:t>
      </w:r>
      <w:r>
        <w:t xml:space="preserve"> </w:t>
      </w:r>
      <w:r w:rsidR="00586D0D">
        <w:t xml:space="preserve">most frequent </w:t>
      </w:r>
      <w:r>
        <w:t>in seedstock selection and related parentage identification for breeding. Application was higher in the beef industry compared to the sheep industry</w:t>
      </w:r>
      <w:r w:rsidR="00234355">
        <w:t xml:space="preserve"> (see </w:t>
      </w:r>
      <w:r w:rsidR="00B8352E">
        <w:t>Figure 10)</w:t>
      </w:r>
      <w:r>
        <w:t xml:space="preserve">. There was moderate application of </w:t>
      </w:r>
      <w:r w:rsidR="00234355">
        <w:t>genomics for commercial animal performance</w:t>
      </w:r>
      <w:r w:rsidR="00586D0D">
        <w:t>,</w:t>
      </w:r>
      <w:r w:rsidR="00234355">
        <w:t xml:space="preserve"> which reflects the emergence of new </w:t>
      </w:r>
      <w:r w:rsidR="00586D0D">
        <w:t>genomic-</w:t>
      </w:r>
      <w:r w:rsidR="00234355">
        <w:t xml:space="preserve">based selection </w:t>
      </w:r>
      <w:r w:rsidR="00234355">
        <w:lastRenderedPageBreak/>
        <w:t>tools such as Heifer Select</w:t>
      </w:r>
      <w:r w:rsidR="00B017E2">
        <w:t>™</w:t>
      </w:r>
      <w:r w:rsidR="00234355">
        <w:rPr>
          <w:rStyle w:val="FootnoteReference"/>
        </w:rPr>
        <w:footnoteReference w:id="54"/>
      </w:r>
      <w:r w:rsidR="00234355">
        <w:t xml:space="preserve"> and Flock Profiling</w:t>
      </w:r>
      <w:r w:rsidR="00234355">
        <w:rPr>
          <w:rStyle w:val="FootnoteReference"/>
        </w:rPr>
        <w:footnoteReference w:id="55"/>
      </w:r>
      <w:r w:rsidR="00234355">
        <w:t xml:space="preserve">. </w:t>
      </w:r>
      <w:r w:rsidR="00D47884">
        <w:t xml:space="preserve">Some respondents </w:t>
      </w:r>
      <w:r w:rsidR="00C621CD">
        <w:t>have had experience in t</w:t>
      </w:r>
      <w:r w:rsidR="00234355">
        <w:t xml:space="preserve">esting for genetic diseases or adverse genetic conditions, but generally these are now included in seedstock genotyping services offered by breed societies. </w:t>
      </w:r>
      <w:r w:rsidR="000555E7">
        <w:t>Notably,</w:t>
      </w:r>
      <w:r w:rsidR="00234355">
        <w:t xml:space="preserve"> there was one supply chain that indicated that they are using genomics to back a beef brand</w:t>
      </w:r>
      <w:r w:rsidR="000555E7">
        <w:t>.</w:t>
      </w:r>
      <w:r w:rsidR="00234355">
        <w:t xml:space="preserve"> </w:t>
      </w:r>
    </w:p>
    <w:p w14:paraId="52E91C5D" w14:textId="77777777" w:rsidR="00B017E2" w:rsidRDefault="00B017E2" w:rsidP="007D228F"/>
    <w:p w14:paraId="0CA851B0" w14:textId="48735759" w:rsidR="00234355" w:rsidRDefault="0059556B" w:rsidP="001D5A12">
      <w:pPr>
        <w:keepNext/>
        <w:keepLines/>
        <w:jc w:val="center"/>
      </w:pPr>
      <w:r>
        <w:rPr>
          <w:noProof/>
        </w:rPr>
        <w:drawing>
          <wp:inline distT="0" distB="0" distL="0" distR="0" wp14:anchorId="628001B6" wp14:editId="10F95660">
            <wp:extent cx="5170170" cy="36760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0170" cy="3676015"/>
                    </a:xfrm>
                    <a:prstGeom prst="rect">
                      <a:avLst/>
                    </a:prstGeom>
                    <a:noFill/>
                  </pic:spPr>
                </pic:pic>
              </a:graphicData>
            </a:graphic>
          </wp:inline>
        </w:drawing>
      </w:r>
    </w:p>
    <w:p w14:paraId="0A7AEFFD" w14:textId="1F739240" w:rsidR="00234355" w:rsidRDefault="00234355" w:rsidP="00475E28">
      <w:pPr>
        <w:pStyle w:val="Caption"/>
      </w:pPr>
      <w:bookmarkStart w:id="101" w:name="_Toc95983463"/>
      <w:r>
        <w:t xml:space="preserve">Figure </w:t>
      </w:r>
      <w:r>
        <w:fldChar w:fldCharType="begin"/>
      </w:r>
      <w:r>
        <w:instrText>SEQ Figure \* ARABIC</w:instrText>
      </w:r>
      <w:r>
        <w:fldChar w:fldCharType="separate"/>
      </w:r>
      <w:r w:rsidR="008D0D42">
        <w:rPr>
          <w:noProof/>
        </w:rPr>
        <w:t>17</w:t>
      </w:r>
      <w:r>
        <w:fldChar w:fldCharType="end"/>
      </w:r>
      <w:r>
        <w:t>. Types of applications of genomic technologies identified by beef and sheep industry participants</w:t>
      </w:r>
      <w:bookmarkEnd w:id="101"/>
    </w:p>
    <w:p w14:paraId="4DA8540E" w14:textId="77777777" w:rsidR="00063A61" w:rsidRPr="00063A61" w:rsidRDefault="00063A61" w:rsidP="00C03AB4"/>
    <w:p w14:paraId="29D4979C" w14:textId="15C5E843" w:rsidR="00234355" w:rsidRDefault="00234355" w:rsidP="007D228F">
      <w:r>
        <w:t>Not surprisingly, service providers and researchers had strong awareness and experience of genomics in both seedstock and commercial selection.</w:t>
      </w:r>
      <w:r w:rsidR="00086CAC">
        <w:t xml:space="preserve"> </w:t>
      </w:r>
      <w:r>
        <w:t xml:space="preserve"> </w:t>
      </w:r>
      <w:r w:rsidR="0026464E">
        <w:t xml:space="preserve">It is highly likely that the service providers in this survey are strongly linked either to genomic companies or to beef breed </w:t>
      </w:r>
      <w:r w:rsidR="007E2F45">
        <w:t>societies.</w:t>
      </w:r>
      <w:r w:rsidR="00086CAC">
        <w:t xml:space="preserve"> </w:t>
      </w:r>
      <w:r w:rsidR="007E2F45">
        <w:t xml:space="preserve"> Another</w:t>
      </w:r>
      <w:r w:rsidR="0026464E">
        <w:t xml:space="preserve"> </w:t>
      </w:r>
      <w:r w:rsidR="00E61BEE">
        <w:t xml:space="preserve">important </w:t>
      </w:r>
      <w:r w:rsidR="0026464E">
        <w:t xml:space="preserve">observation was that four processors indicated that they </w:t>
      </w:r>
      <w:r w:rsidR="00E61BEE">
        <w:t xml:space="preserve">have </w:t>
      </w:r>
      <w:r w:rsidR="0026464E">
        <w:t>had experiences in seedstock and commercial selection using genomics</w:t>
      </w:r>
      <w:r w:rsidR="00E61BEE">
        <w:t>,</w:t>
      </w:r>
      <w:r w:rsidR="0026464E">
        <w:t xml:space="preserve"> which potentially reflects the vertical supply chain structures that those processors are engaged with.</w:t>
      </w:r>
    </w:p>
    <w:p w14:paraId="2B888F1E" w14:textId="77777777" w:rsidR="00234355" w:rsidRDefault="00234355" w:rsidP="007D228F"/>
    <w:p w14:paraId="0AA3C69F" w14:textId="62696C8D" w:rsidR="0026464E" w:rsidRDefault="0059556B" w:rsidP="00475E28">
      <w:pPr>
        <w:pStyle w:val="Caption"/>
      </w:pPr>
      <w:r>
        <w:rPr>
          <w:noProof/>
        </w:rPr>
        <w:lastRenderedPageBreak/>
        <w:drawing>
          <wp:inline distT="0" distB="0" distL="0" distR="0" wp14:anchorId="0145B8D8" wp14:editId="5CA5DF03">
            <wp:extent cx="5175885" cy="36760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5885" cy="3676015"/>
                    </a:xfrm>
                    <a:prstGeom prst="rect">
                      <a:avLst/>
                    </a:prstGeom>
                    <a:noFill/>
                  </pic:spPr>
                </pic:pic>
              </a:graphicData>
            </a:graphic>
          </wp:inline>
        </w:drawing>
      </w:r>
    </w:p>
    <w:p w14:paraId="7C98E2F4" w14:textId="474546B6" w:rsidR="0026464E" w:rsidRDefault="0026464E" w:rsidP="00475E28">
      <w:pPr>
        <w:pStyle w:val="Caption"/>
      </w:pPr>
      <w:bookmarkStart w:id="102" w:name="_Toc95983464"/>
      <w:r>
        <w:t xml:space="preserve">Figure </w:t>
      </w:r>
      <w:r>
        <w:fldChar w:fldCharType="begin"/>
      </w:r>
      <w:r>
        <w:instrText>SEQ Figure \* ARABIC</w:instrText>
      </w:r>
      <w:r>
        <w:fldChar w:fldCharType="separate"/>
      </w:r>
      <w:r w:rsidR="008D0D42">
        <w:rPr>
          <w:noProof/>
        </w:rPr>
        <w:t>18</w:t>
      </w:r>
      <w:r>
        <w:fldChar w:fldCharType="end"/>
      </w:r>
      <w:r>
        <w:t>.</w:t>
      </w:r>
      <w:r w:rsidRPr="0026464E">
        <w:t xml:space="preserve"> Types of applications of genomic technologies identified by beef and sheep industry</w:t>
      </w:r>
      <w:r>
        <w:t xml:space="preserve"> service providers and researchers</w:t>
      </w:r>
      <w:bookmarkEnd w:id="102"/>
    </w:p>
    <w:p w14:paraId="6FD121EF" w14:textId="77777777" w:rsidR="00192A25" w:rsidRPr="00192A25" w:rsidRDefault="00192A25" w:rsidP="00C83D90"/>
    <w:p w14:paraId="3A5620D7" w14:textId="394EFFD1" w:rsidR="00AE2720" w:rsidRPr="00AE2720" w:rsidRDefault="00AE2720" w:rsidP="00AE2720">
      <w:r>
        <w:t xml:space="preserve">Given the current experiences with genomic technologies, </w:t>
      </w:r>
      <w:r w:rsidR="00FD6C47">
        <w:t>it was notable</w:t>
      </w:r>
      <w:r>
        <w:t xml:space="preserve"> that only </w:t>
      </w:r>
      <w:r w:rsidR="0046455B">
        <w:t xml:space="preserve">around </w:t>
      </w:r>
      <w:r>
        <w:t xml:space="preserve">60% of the </w:t>
      </w:r>
      <w:r w:rsidR="0046455B">
        <w:t xml:space="preserve">respondents in both industries </w:t>
      </w:r>
      <w:r w:rsidR="00D003BF">
        <w:t xml:space="preserve">expressed an interest in using </w:t>
      </w:r>
      <w:r>
        <w:t xml:space="preserve">genomic tools for lifetime traceability. Thirty percent </w:t>
      </w:r>
      <w:r w:rsidR="00FB51DC">
        <w:t xml:space="preserve">in </w:t>
      </w:r>
      <w:r>
        <w:t xml:space="preserve">both industries </w:t>
      </w:r>
      <w:r w:rsidR="00D003BF">
        <w:t xml:space="preserve">were </w:t>
      </w:r>
      <w:r>
        <w:t xml:space="preserve">unsure and 10% stated no interest (see </w:t>
      </w:r>
      <w:r w:rsidR="006B5589">
        <w:fldChar w:fldCharType="begin"/>
      </w:r>
      <w:r w:rsidR="006B5589">
        <w:instrText xml:space="preserve"> REF _Ref83376485 \h </w:instrText>
      </w:r>
      <w:r w:rsidR="006B5589">
        <w:fldChar w:fldCharType="separate"/>
      </w:r>
      <w:r w:rsidR="008D0D42">
        <w:t xml:space="preserve">Figure </w:t>
      </w:r>
      <w:r w:rsidR="008D0D42">
        <w:rPr>
          <w:noProof/>
        </w:rPr>
        <w:t>19</w:t>
      </w:r>
      <w:r w:rsidR="006B5589">
        <w:fldChar w:fldCharType="end"/>
      </w:r>
      <w:r w:rsidR="006B5589">
        <w:t xml:space="preserve">). </w:t>
      </w:r>
      <w:r w:rsidR="008777EA">
        <w:t>Notably, l</w:t>
      </w:r>
      <w:r w:rsidR="006B5589">
        <w:t>ot feeders were more interested than producers</w:t>
      </w:r>
      <w:r w:rsidR="008777EA">
        <w:t>,</w:t>
      </w:r>
      <w:r w:rsidR="006B5589">
        <w:t xml:space="preserve"> with 85% indicating that they would be interested and 15% </w:t>
      </w:r>
      <w:r w:rsidR="008777EA">
        <w:t>un</w:t>
      </w:r>
      <w:r w:rsidR="006B5589">
        <w:t xml:space="preserve">sure. There was some difference between producers and processors in </w:t>
      </w:r>
      <w:r w:rsidR="008777EA">
        <w:t xml:space="preserve">their levels of </w:t>
      </w:r>
      <w:r w:rsidR="006B5589">
        <w:t xml:space="preserve">interest, with no processor indicating that they would not be interested and a third indicating they are still unsure at this stage. </w:t>
      </w:r>
    </w:p>
    <w:p w14:paraId="6B51C24A" w14:textId="30EC932E" w:rsidR="0026464E" w:rsidRDefault="0026464E" w:rsidP="007D228F"/>
    <w:p w14:paraId="7ED72446" w14:textId="3FE67158" w:rsidR="0026464E" w:rsidRDefault="0026464E" w:rsidP="00070999">
      <w:pPr>
        <w:keepNext/>
        <w:keepLines/>
        <w:jc w:val="center"/>
      </w:pPr>
      <w:r>
        <w:rPr>
          <w:noProof/>
        </w:rPr>
        <w:lastRenderedPageBreak/>
        <w:drawing>
          <wp:inline distT="0" distB="0" distL="0" distR="0" wp14:anchorId="3CDFABC7" wp14:editId="67FD46AA">
            <wp:extent cx="5175885" cy="306070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5885" cy="3060700"/>
                    </a:xfrm>
                    <a:prstGeom prst="rect">
                      <a:avLst/>
                    </a:prstGeom>
                    <a:noFill/>
                  </pic:spPr>
                </pic:pic>
              </a:graphicData>
            </a:graphic>
          </wp:inline>
        </w:drawing>
      </w:r>
    </w:p>
    <w:p w14:paraId="0697049B" w14:textId="668AF419" w:rsidR="006B5589" w:rsidRDefault="006B5589" w:rsidP="00475E28">
      <w:pPr>
        <w:pStyle w:val="Caption"/>
      </w:pPr>
      <w:bookmarkStart w:id="103" w:name="_Ref83376485"/>
      <w:bookmarkStart w:id="104" w:name="_Toc95983465"/>
      <w:r>
        <w:t xml:space="preserve">Figure </w:t>
      </w:r>
      <w:r>
        <w:fldChar w:fldCharType="begin"/>
      </w:r>
      <w:r>
        <w:instrText>SEQ Figure \* ARABIC</w:instrText>
      </w:r>
      <w:r>
        <w:fldChar w:fldCharType="separate"/>
      </w:r>
      <w:r w:rsidR="008D0D42">
        <w:rPr>
          <w:noProof/>
        </w:rPr>
        <w:t>19</w:t>
      </w:r>
      <w:r>
        <w:fldChar w:fldCharType="end"/>
      </w:r>
      <w:bookmarkEnd w:id="103"/>
      <w:r>
        <w:t>. Interest in use of genomics for lifetime traceability</w:t>
      </w:r>
      <w:bookmarkEnd w:id="104"/>
    </w:p>
    <w:p w14:paraId="13A4FC71" w14:textId="77777777" w:rsidR="00192A25" w:rsidRPr="00192A25" w:rsidRDefault="00192A25" w:rsidP="00C83D90"/>
    <w:p w14:paraId="16A35C27" w14:textId="369FEB1F" w:rsidR="00C86E91" w:rsidRDefault="006B5589" w:rsidP="007D228F">
      <w:r>
        <w:t xml:space="preserve">There was a consistent </w:t>
      </w:r>
      <w:r w:rsidR="00C86E91">
        <w:t xml:space="preserve">moderate response to the </w:t>
      </w:r>
      <w:r w:rsidR="00261F24">
        <w:t xml:space="preserve">directed question (prompted answers from list) on </w:t>
      </w:r>
      <w:r w:rsidR="00C86E91">
        <w:t xml:space="preserve">additional benefits that </w:t>
      </w:r>
      <w:r w:rsidR="00261F24">
        <w:t>beef,</w:t>
      </w:r>
      <w:r w:rsidR="00C86E91">
        <w:t xml:space="preserve"> and sheep industry participants would require</w:t>
      </w:r>
      <w:r w:rsidR="00FD6C47">
        <w:t xml:space="preserve"> (expect)</w:t>
      </w:r>
      <w:r w:rsidR="00C86E91">
        <w:t xml:space="preserve"> from genomic lifetime traceability</w:t>
      </w:r>
      <w:r w:rsidR="00261F24">
        <w:t xml:space="preserve">.  There were </w:t>
      </w:r>
      <w:r w:rsidR="00C86E91">
        <w:t>no obvious differences between sheep and beef</w:t>
      </w:r>
      <w:r w:rsidR="00E973AD">
        <w:t xml:space="preserve"> industry participants (see </w:t>
      </w:r>
      <w:r w:rsidR="00E973AD">
        <w:fldChar w:fldCharType="begin"/>
      </w:r>
      <w:r w:rsidR="00E973AD">
        <w:instrText xml:space="preserve"> REF _Ref95378050 \h </w:instrText>
      </w:r>
      <w:r w:rsidR="00E973AD">
        <w:fldChar w:fldCharType="separate"/>
      </w:r>
      <w:r w:rsidR="008D0D42">
        <w:t xml:space="preserve">Figure </w:t>
      </w:r>
      <w:r w:rsidR="008D0D42">
        <w:rPr>
          <w:noProof/>
        </w:rPr>
        <w:t>20</w:t>
      </w:r>
      <w:r w:rsidR="00E973AD">
        <w:fldChar w:fldCharType="end"/>
      </w:r>
      <w:r w:rsidR="00E973AD">
        <w:t>)</w:t>
      </w:r>
      <w:r w:rsidR="00FD6C47">
        <w:t xml:space="preserve">, </w:t>
      </w:r>
      <w:r w:rsidR="00C004AE">
        <w:t xml:space="preserve">except </w:t>
      </w:r>
      <w:r w:rsidR="00C86E91">
        <w:t>for animal health and welfare prediction</w:t>
      </w:r>
      <w:r w:rsidR="00C004AE">
        <w:t>,</w:t>
      </w:r>
      <w:r w:rsidR="00C86E91">
        <w:t xml:space="preserve"> which were higher in sheep and parentage / inbreeding which were higher in beef. </w:t>
      </w:r>
    </w:p>
    <w:p w14:paraId="72E00255" w14:textId="77777777" w:rsidR="00192A25" w:rsidRDefault="00192A25" w:rsidP="007D228F"/>
    <w:p w14:paraId="282587E8" w14:textId="35F05C06" w:rsidR="006B5589" w:rsidRDefault="00EE2392" w:rsidP="001D5A12">
      <w:pPr>
        <w:keepNext/>
        <w:keepLines/>
        <w:jc w:val="center"/>
      </w:pPr>
      <w:r>
        <w:rPr>
          <w:noProof/>
        </w:rPr>
        <w:drawing>
          <wp:inline distT="0" distB="0" distL="0" distR="0" wp14:anchorId="15526BCF" wp14:editId="3A6BEA55">
            <wp:extent cx="5170170" cy="38773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0170" cy="3877310"/>
                    </a:xfrm>
                    <a:prstGeom prst="rect">
                      <a:avLst/>
                    </a:prstGeom>
                    <a:noFill/>
                  </pic:spPr>
                </pic:pic>
              </a:graphicData>
            </a:graphic>
          </wp:inline>
        </w:drawing>
      </w:r>
    </w:p>
    <w:p w14:paraId="610722E1" w14:textId="4894564E" w:rsidR="00C86E91" w:rsidRPr="007D228F" w:rsidRDefault="00C86E91" w:rsidP="00475E28">
      <w:pPr>
        <w:pStyle w:val="Caption"/>
      </w:pPr>
      <w:bookmarkStart w:id="105" w:name="_Ref95378050"/>
      <w:bookmarkStart w:id="106" w:name="_Toc95983466"/>
      <w:r>
        <w:t xml:space="preserve">Figure </w:t>
      </w:r>
      <w:r>
        <w:fldChar w:fldCharType="begin"/>
      </w:r>
      <w:r>
        <w:instrText>SEQ Figure \* ARABIC</w:instrText>
      </w:r>
      <w:r>
        <w:fldChar w:fldCharType="separate"/>
      </w:r>
      <w:r w:rsidR="008D0D42">
        <w:rPr>
          <w:noProof/>
        </w:rPr>
        <w:t>20</w:t>
      </w:r>
      <w:r>
        <w:fldChar w:fldCharType="end"/>
      </w:r>
      <w:bookmarkEnd w:id="105"/>
      <w:r>
        <w:t>. Additional benefits required from lifetime genomic traceability</w:t>
      </w:r>
      <w:r w:rsidR="00847DC7">
        <w:t>,</w:t>
      </w:r>
      <w:r>
        <w:t xml:space="preserve"> </w:t>
      </w:r>
      <w:r w:rsidR="00327ABF">
        <w:t>classified</w:t>
      </w:r>
      <w:r>
        <w:t xml:space="preserve"> by beef </w:t>
      </w:r>
      <w:r w:rsidR="00847DC7">
        <w:t>vs.</w:t>
      </w:r>
      <w:r>
        <w:t xml:space="preserve"> sheep industry participants</w:t>
      </w:r>
      <w:bookmarkEnd w:id="106"/>
      <w:r>
        <w:t xml:space="preserve"> </w:t>
      </w:r>
    </w:p>
    <w:p w14:paraId="263E9307" w14:textId="77777777" w:rsidR="001336F7" w:rsidRDefault="001336F7" w:rsidP="00C86E91"/>
    <w:p w14:paraId="5A3A1B3F" w14:textId="385B3A20" w:rsidR="00C86E91" w:rsidRDefault="00C86E91" w:rsidP="00C86E91">
      <w:r>
        <w:lastRenderedPageBreak/>
        <w:t xml:space="preserve">As expected, producers tended to be more focussed on breeding outcomes, whereas processors were more focussed on commercial prediction of performance, </w:t>
      </w:r>
      <w:proofErr w:type="gramStart"/>
      <w:r>
        <w:t>health</w:t>
      </w:r>
      <w:proofErr w:type="gramEnd"/>
      <w:r>
        <w:t xml:space="preserve"> and welfare. Interestingly</w:t>
      </w:r>
      <w:r w:rsidR="00E61D79">
        <w:t>,</w:t>
      </w:r>
      <w:r>
        <w:t xml:space="preserve"> as shown in </w:t>
      </w:r>
      <w:r>
        <w:fldChar w:fldCharType="begin"/>
      </w:r>
      <w:r>
        <w:instrText xml:space="preserve"> REF _Ref83378115 \h </w:instrText>
      </w:r>
      <w:r>
        <w:fldChar w:fldCharType="separate"/>
      </w:r>
      <w:r w:rsidR="008D0D42">
        <w:t xml:space="preserve">Figure </w:t>
      </w:r>
      <w:r w:rsidR="008D0D42">
        <w:rPr>
          <w:noProof/>
        </w:rPr>
        <w:t>21</w:t>
      </w:r>
      <w:r>
        <w:fldChar w:fldCharType="end"/>
      </w:r>
      <w:r w:rsidR="00FD6C47">
        <w:t>,</w:t>
      </w:r>
      <w:r>
        <w:t xml:space="preserve"> a higher proportion of processors saw benefits from poll /horn testing and breed characterisation</w:t>
      </w:r>
      <w:r w:rsidR="00FD6C47">
        <w:t xml:space="preserve"> (which are linked to welfare and brand provenance claims)</w:t>
      </w:r>
      <w:r>
        <w:t xml:space="preserve">. </w:t>
      </w:r>
    </w:p>
    <w:p w14:paraId="05F33DE4" w14:textId="77777777" w:rsidR="00192A25" w:rsidRDefault="00192A25" w:rsidP="00C86E91"/>
    <w:p w14:paraId="699D0E81" w14:textId="74208564" w:rsidR="00C86E91" w:rsidRDefault="00C86E91" w:rsidP="00070999">
      <w:pPr>
        <w:jc w:val="center"/>
      </w:pPr>
      <w:r>
        <w:rPr>
          <w:noProof/>
        </w:rPr>
        <w:drawing>
          <wp:inline distT="0" distB="0" distL="0" distR="0" wp14:anchorId="0F5DD30A" wp14:editId="48CD2D34">
            <wp:extent cx="5170170" cy="38773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0170" cy="3877310"/>
                    </a:xfrm>
                    <a:prstGeom prst="rect">
                      <a:avLst/>
                    </a:prstGeom>
                    <a:noFill/>
                  </pic:spPr>
                </pic:pic>
              </a:graphicData>
            </a:graphic>
          </wp:inline>
        </w:drawing>
      </w:r>
    </w:p>
    <w:p w14:paraId="1EAA3D93" w14:textId="31FDDD56" w:rsidR="00C86E91" w:rsidRDefault="00C86E91" w:rsidP="00475E28">
      <w:pPr>
        <w:pStyle w:val="Caption"/>
      </w:pPr>
      <w:bookmarkStart w:id="107" w:name="_Ref83378115"/>
      <w:bookmarkStart w:id="108" w:name="_Toc95983467"/>
      <w:r>
        <w:t xml:space="preserve">Figure </w:t>
      </w:r>
      <w:r>
        <w:fldChar w:fldCharType="begin"/>
      </w:r>
      <w:r>
        <w:instrText>SEQ Figure \* ARABIC</w:instrText>
      </w:r>
      <w:r>
        <w:fldChar w:fldCharType="separate"/>
      </w:r>
      <w:r w:rsidR="008D0D42">
        <w:rPr>
          <w:noProof/>
        </w:rPr>
        <w:t>21</w:t>
      </w:r>
      <w:r>
        <w:fldChar w:fldCharType="end"/>
      </w:r>
      <w:bookmarkEnd w:id="107"/>
      <w:r>
        <w:t xml:space="preserve">. </w:t>
      </w:r>
      <w:r w:rsidRPr="00C86E91">
        <w:t>Additional benefits required from lifetime genomic traceability</w:t>
      </w:r>
      <w:r w:rsidR="00847DC7">
        <w:t xml:space="preserve">, classified by </w:t>
      </w:r>
      <w:r>
        <w:t xml:space="preserve">producers </w:t>
      </w:r>
      <w:r w:rsidR="00847DC7" w:rsidRPr="00847DC7">
        <w:t>vs.</w:t>
      </w:r>
      <w:r>
        <w:t xml:space="preserve"> processors</w:t>
      </w:r>
      <w:bookmarkEnd w:id="108"/>
    </w:p>
    <w:p w14:paraId="33E86492" w14:textId="77777777" w:rsidR="00192A25" w:rsidRPr="00192A25" w:rsidRDefault="00192A25" w:rsidP="00C83D90"/>
    <w:p w14:paraId="010B73E5" w14:textId="77777777" w:rsidR="008D0D42" w:rsidRPr="008D0D42" w:rsidRDefault="00261F24" w:rsidP="008D0D42">
      <w:pPr>
        <w:rPr>
          <w:rFonts w:ascii="Arial" w:eastAsiaTheme="minorEastAsia" w:hAnsi="Arial"/>
          <w:bCs/>
          <w:i/>
          <w:color w:val="404040" w:themeColor="text1" w:themeTint="BF"/>
          <w:szCs w:val="20"/>
        </w:rPr>
      </w:pPr>
      <w:r>
        <w:t xml:space="preserve">When </w:t>
      </w:r>
      <w:r w:rsidR="003409FC">
        <w:t xml:space="preserve">participants </w:t>
      </w:r>
      <w:r>
        <w:t xml:space="preserve">were asked to nominate other </w:t>
      </w:r>
      <w:r w:rsidR="003409FC">
        <w:t xml:space="preserve">potential </w:t>
      </w:r>
      <w:r>
        <w:t>benefit</w:t>
      </w:r>
      <w:r w:rsidR="003409FC">
        <w:t>s</w:t>
      </w:r>
      <w:r>
        <w:t xml:space="preserve"> from genomic lifetime traceability</w:t>
      </w:r>
      <w:r w:rsidR="004964C4">
        <w:t xml:space="preserve">, </w:t>
      </w:r>
      <w:r w:rsidR="00A14308">
        <w:t xml:space="preserve">there was </w:t>
      </w:r>
      <w:r w:rsidR="004964C4">
        <w:t>a very strong theme of linking carcase data with genomic data to improve prediction of performance. Th</w:t>
      </w:r>
      <w:r w:rsidR="00FD6C47">
        <w:t xml:space="preserve">at </w:t>
      </w:r>
      <w:r w:rsidR="004964C4">
        <w:t>theme</w:t>
      </w:r>
      <w:r w:rsidR="00163A35">
        <w:t xml:space="preserve"> was</w:t>
      </w:r>
      <w:r w:rsidR="004964C4">
        <w:t xml:space="preserve"> </w:t>
      </w:r>
      <w:r w:rsidR="00A14308">
        <w:t xml:space="preserve">also </w:t>
      </w:r>
      <w:r w:rsidR="004964C4">
        <w:t xml:space="preserve">linked to other areas of new attributes (breed and animal health) and better selection. Supporting supply chain activities was another </w:t>
      </w:r>
      <w:r w:rsidR="00163A35">
        <w:t xml:space="preserve">identified </w:t>
      </w:r>
      <w:r w:rsidR="004964C4">
        <w:t xml:space="preserve">theme, with provenance and brand security key </w:t>
      </w:r>
      <w:r w:rsidR="00163A35">
        <w:t>expectations</w:t>
      </w:r>
      <w:r w:rsidR="004964C4">
        <w:t xml:space="preserve">. A small but </w:t>
      </w:r>
      <w:r w:rsidR="00A13841">
        <w:t>important</w:t>
      </w:r>
      <w:r w:rsidR="004964C4">
        <w:t xml:space="preserve"> theme was ability to detect and defer theft (see</w:t>
      </w:r>
      <w:r w:rsidR="004964C4">
        <w:rPr>
          <w:rFonts w:ascii="Arial" w:eastAsiaTheme="minorEastAsia" w:hAnsi="Arial"/>
          <w:bCs/>
          <w:i/>
          <w:color w:val="404040" w:themeColor="text1" w:themeTint="BF"/>
          <w:szCs w:val="20"/>
        </w:rPr>
        <w:fldChar w:fldCharType="begin"/>
      </w:r>
      <w:r w:rsidR="004964C4">
        <w:instrText xml:space="preserve"> REF _Ref83386474 \h </w:instrText>
      </w:r>
      <w:r w:rsidR="006B2E50">
        <w:instrText xml:space="preserve"> \* MERGEFORMAT </w:instrText>
      </w:r>
      <w:r w:rsidR="004964C4">
        <w:rPr>
          <w:rFonts w:ascii="Arial" w:eastAsiaTheme="minorEastAsia" w:hAnsi="Arial"/>
          <w:bCs/>
          <w:i/>
          <w:color w:val="404040" w:themeColor="text1" w:themeTint="BF"/>
          <w:szCs w:val="20"/>
        </w:rPr>
      </w:r>
      <w:r w:rsidR="004964C4">
        <w:rPr>
          <w:rFonts w:ascii="Arial" w:eastAsiaTheme="minorEastAsia" w:hAnsi="Arial"/>
          <w:bCs/>
          <w:i/>
          <w:color w:val="404040" w:themeColor="text1" w:themeTint="BF"/>
          <w:szCs w:val="20"/>
        </w:rPr>
        <w:fldChar w:fldCharType="separate"/>
      </w:r>
    </w:p>
    <w:p w14:paraId="0A05FEF6" w14:textId="0A385F78" w:rsidR="00080D87" w:rsidRDefault="008D0D42" w:rsidP="006B2E50">
      <w:pPr>
        <w:sectPr w:rsidR="00080D87" w:rsidSect="00593907">
          <w:pgSz w:w="11906" w:h="16838"/>
          <w:pgMar w:top="1440" w:right="1440" w:bottom="1440" w:left="1440" w:header="709" w:footer="709" w:gutter="0"/>
          <w:cols w:space="708"/>
          <w:titlePg/>
          <w:docGrid w:linePitch="360"/>
        </w:sectPr>
      </w:pPr>
      <w:r>
        <w:t>Figure</w:t>
      </w:r>
      <w:r>
        <w:rPr>
          <w:noProof/>
        </w:rPr>
        <w:t xml:space="preserve"> 22</w:t>
      </w:r>
      <w:r w:rsidR="004964C4">
        <w:fldChar w:fldCharType="end"/>
      </w:r>
      <w:r w:rsidR="004964C4">
        <w:t>).</w:t>
      </w:r>
    </w:p>
    <w:p w14:paraId="7158B8E3" w14:textId="7CC26F04" w:rsidR="00A53E2C" w:rsidRDefault="00A53E2C" w:rsidP="00A53E2C"/>
    <w:p w14:paraId="168224C6" w14:textId="302A806D" w:rsidR="004964C4" w:rsidRDefault="0065521A" w:rsidP="00070999">
      <w:pPr>
        <w:jc w:val="center"/>
      </w:pPr>
      <w:r>
        <w:rPr>
          <w:noProof/>
        </w:rPr>
        <w:drawing>
          <wp:inline distT="0" distB="0" distL="0" distR="0" wp14:anchorId="698D9C2E" wp14:editId="23A7E04A">
            <wp:extent cx="9517896" cy="320040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51370" cy="3211656"/>
                    </a:xfrm>
                    <a:prstGeom prst="rect">
                      <a:avLst/>
                    </a:prstGeom>
                  </pic:spPr>
                </pic:pic>
              </a:graphicData>
            </a:graphic>
          </wp:inline>
        </w:drawing>
      </w:r>
    </w:p>
    <w:p w14:paraId="05686ABC" w14:textId="77777777" w:rsidR="00952FB6" w:rsidRDefault="00952FB6" w:rsidP="00475E28">
      <w:pPr>
        <w:pStyle w:val="Caption"/>
      </w:pPr>
      <w:bookmarkStart w:id="109" w:name="_Ref83386474"/>
    </w:p>
    <w:p w14:paraId="190B1039" w14:textId="7BC83431" w:rsidR="004964C4" w:rsidRDefault="004964C4" w:rsidP="00475E28">
      <w:pPr>
        <w:pStyle w:val="Caption"/>
      </w:pPr>
      <w:bookmarkStart w:id="110" w:name="_Toc95983468"/>
      <w:r>
        <w:t xml:space="preserve">Figure </w:t>
      </w:r>
      <w:r>
        <w:fldChar w:fldCharType="begin"/>
      </w:r>
      <w:r>
        <w:instrText>SEQ Figure \* ARABIC</w:instrText>
      </w:r>
      <w:r>
        <w:fldChar w:fldCharType="separate"/>
      </w:r>
      <w:r w:rsidR="008D0D42">
        <w:rPr>
          <w:noProof/>
        </w:rPr>
        <w:t>22</w:t>
      </w:r>
      <w:r>
        <w:fldChar w:fldCharType="end"/>
      </w:r>
      <w:bookmarkEnd w:id="109"/>
      <w:r>
        <w:t>. Mind map of themes related to additional benefits sought from genomic lifetime traceability</w:t>
      </w:r>
      <w:bookmarkEnd w:id="110"/>
      <w:r>
        <w:t xml:space="preserve"> </w:t>
      </w:r>
    </w:p>
    <w:p w14:paraId="2312D38C" w14:textId="77777777" w:rsidR="00080D87" w:rsidRDefault="00080D87" w:rsidP="00C83D90">
      <w:pPr>
        <w:sectPr w:rsidR="00080D87" w:rsidSect="00080D87">
          <w:pgSz w:w="16838" w:h="11906" w:orient="landscape"/>
          <w:pgMar w:top="1440" w:right="1440" w:bottom="1440" w:left="1440" w:header="709" w:footer="709" w:gutter="0"/>
          <w:cols w:space="708"/>
          <w:titlePg/>
          <w:docGrid w:linePitch="360"/>
        </w:sectPr>
      </w:pPr>
    </w:p>
    <w:p w14:paraId="6873AD0F" w14:textId="77777777" w:rsidR="00192A25" w:rsidRPr="00192A25" w:rsidRDefault="00192A25" w:rsidP="00C83D90"/>
    <w:p w14:paraId="17EEA666" w14:textId="11A14856" w:rsidR="00163A35" w:rsidRDefault="00163A35" w:rsidP="00163A35">
      <w:r>
        <w:t>When asked to consider barriers to adopting lifetime genomic traceability</w:t>
      </w:r>
      <w:r w:rsidR="005B4E7D">
        <w:t>,</w:t>
      </w:r>
      <w:r>
        <w:t xml:space="preserve"> there was a very strong response</w:t>
      </w:r>
      <w:r w:rsidR="005B4E7D">
        <w:t>, consistent</w:t>
      </w:r>
      <w:r>
        <w:t xml:space="preserve"> across the beef and sheep sectors (see </w:t>
      </w:r>
      <w:r w:rsidR="00CD4757">
        <w:fldChar w:fldCharType="begin"/>
      </w:r>
      <w:r w:rsidR="00CD4757">
        <w:instrText xml:space="preserve"> REF _Ref83648622 \h </w:instrText>
      </w:r>
      <w:r w:rsidR="00CD4757">
        <w:fldChar w:fldCharType="separate"/>
      </w:r>
      <w:r w:rsidR="008D0D42">
        <w:t xml:space="preserve">Figure </w:t>
      </w:r>
      <w:r w:rsidR="008D0D42">
        <w:rPr>
          <w:noProof/>
        </w:rPr>
        <w:t>23</w:t>
      </w:r>
      <w:r w:rsidR="00CD4757">
        <w:fldChar w:fldCharType="end"/>
      </w:r>
      <w:r>
        <w:t xml:space="preserve">). </w:t>
      </w:r>
      <w:r w:rsidR="00CD4757">
        <w:t xml:space="preserve">In general, the production sector identified more barriers </w:t>
      </w:r>
      <w:r w:rsidR="00EC23CF">
        <w:t xml:space="preserve">and </w:t>
      </w:r>
      <w:r w:rsidR="00CD4757">
        <w:t xml:space="preserve">at a greater frequency </w:t>
      </w:r>
      <w:r w:rsidR="003C3983">
        <w:t>than</w:t>
      </w:r>
      <w:r w:rsidR="00CD4757">
        <w:t xml:space="preserve"> processors</w:t>
      </w:r>
      <w:r w:rsidR="00CD2B28">
        <w:t xml:space="preserve">, consistent </w:t>
      </w:r>
      <w:r w:rsidR="00CD4757">
        <w:t xml:space="preserve">between the seedstock sector, </w:t>
      </w:r>
      <w:proofErr w:type="gramStart"/>
      <w:r w:rsidR="00CD4757">
        <w:t>producers</w:t>
      </w:r>
      <w:proofErr w:type="gramEnd"/>
      <w:r w:rsidR="00CD4757">
        <w:t xml:space="preserve"> and lot feeders.  Cost dominated responses from the production sector and was the most frequently identified barrier for processors (although lower in magnitude).  </w:t>
      </w:r>
      <w:r w:rsidR="009A2FD6">
        <w:t>The effort required for c</w:t>
      </w:r>
      <w:r w:rsidR="00CD4757">
        <w:t>ollection</w:t>
      </w:r>
      <w:r w:rsidR="00CA6C63">
        <w:t xml:space="preserve"> and the continuing need of </w:t>
      </w:r>
      <w:r w:rsidR="00CD4757">
        <w:t>other forms of identification</w:t>
      </w:r>
      <w:r w:rsidR="000E0C84">
        <w:t>, visually</w:t>
      </w:r>
      <w:r w:rsidR="00CD4757">
        <w:t xml:space="preserve"> and for tracking</w:t>
      </w:r>
      <w:r w:rsidR="000E0C84">
        <w:t>,</w:t>
      </w:r>
      <w:r w:rsidR="00CD4757">
        <w:t xml:space="preserve"> were other </w:t>
      </w:r>
      <w:r w:rsidR="00CD2B28">
        <w:t xml:space="preserve">notable </w:t>
      </w:r>
      <w:r w:rsidR="00CD4757">
        <w:t>barriers.</w:t>
      </w:r>
    </w:p>
    <w:p w14:paraId="28A1E6F9" w14:textId="77777777" w:rsidR="00CD4757" w:rsidRDefault="00CD4757" w:rsidP="00163A35"/>
    <w:p w14:paraId="5F3A3F50" w14:textId="0D891372" w:rsidR="00163A35" w:rsidRDefault="005510C1" w:rsidP="00070999">
      <w:pPr>
        <w:jc w:val="center"/>
      </w:pPr>
      <w:r>
        <w:rPr>
          <w:noProof/>
        </w:rPr>
        <w:drawing>
          <wp:inline distT="0" distB="0" distL="0" distR="0" wp14:anchorId="18783A00" wp14:editId="00003195">
            <wp:extent cx="5408295" cy="370516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2114" cy="3707783"/>
                    </a:xfrm>
                    <a:prstGeom prst="rect">
                      <a:avLst/>
                    </a:prstGeom>
                    <a:noFill/>
                  </pic:spPr>
                </pic:pic>
              </a:graphicData>
            </a:graphic>
          </wp:inline>
        </w:drawing>
      </w:r>
    </w:p>
    <w:p w14:paraId="454D8308" w14:textId="26B704B3" w:rsidR="00CD4757" w:rsidRDefault="00CD4757" w:rsidP="00475E28">
      <w:pPr>
        <w:pStyle w:val="Caption"/>
      </w:pPr>
      <w:bookmarkStart w:id="111" w:name="_Ref83648622"/>
      <w:bookmarkStart w:id="112" w:name="_Toc95983469"/>
      <w:r>
        <w:t xml:space="preserve">Figure </w:t>
      </w:r>
      <w:r>
        <w:fldChar w:fldCharType="begin"/>
      </w:r>
      <w:r>
        <w:instrText>SEQ Figure \* ARABIC</w:instrText>
      </w:r>
      <w:r>
        <w:fldChar w:fldCharType="separate"/>
      </w:r>
      <w:r w:rsidR="008D0D42">
        <w:rPr>
          <w:noProof/>
        </w:rPr>
        <w:t>23</w:t>
      </w:r>
      <w:r>
        <w:fldChar w:fldCharType="end"/>
      </w:r>
      <w:bookmarkEnd w:id="111"/>
      <w:r>
        <w:t>. Identified barriers to adoption of genomic lifetime traceability</w:t>
      </w:r>
      <w:bookmarkEnd w:id="112"/>
      <w:r>
        <w:t xml:space="preserve"> </w:t>
      </w:r>
    </w:p>
    <w:p w14:paraId="0EE517BB" w14:textId="77777777" w:rsidR="00192A25" w:rsidRPr="00192A25" w:rsidRDefault="00192A25" w:rsidP="00C83D90"/>
    <w:p w14:paraId="6287D054" w14:textId="77777777" w:rsidR="008D0D42" w:rsidRDefault="000E0C84" w:rsidP="00475E28">
      <w:pPr>
        <w:pStyle w:val="Caption"/>
      </w:pPr>
      <w:r>
        <w:t>S</w:t>
      </w:r>
      <w:r w:rsidR="00CD4757">
        <w:t xml:space="preserve">urvey participants were </w:t>
      </w:r>
      <w:r>
        <w:t xml:space="preserve">then </w:t>
      </w:r>
      <w:r w:rsidR="00CD4757">
        <w:t xml:space="preserve">asked what concerns that they would have with genomic data and ownership. This question prompted an expansive and extensive set of responses, often with more </w:t>
      </w:r>
      <w:r w:rsidR="007E2F45">
        <w:t xml:space="preserve">than several concerns identified by an individual. Those concerns have been grouped into major themes and are shown in </w:t>
      </w:r>
      <w:r w:rsidR="007E2F45">
        <w:fldChar w:fldCharType="begin"/>
      </w:r>
      <w:r w:rsidR="007E2F45">
        <w:instrText xml:space="preserve"> REF _Ref83649292 \h </w:instrText>
      </w:r>
      <w:r w:rsidR="007E2F45">
        <w:fldChar w:fldCharType="separate"/>
      </w:r>
    </w:p>
    <w:p w14:paraId="7A544807" w14:textId="0D07ADA7" w:rsidR="00080D87" w:rsidRDefault="008D0D42" w:rsidP="00CD4757">
      <w:pPr>
        <w:sectPr w:rsidR="00080D87" w:rsidSect="00593907">
          <w:pgSz w:w="11906" w:h="16838"/>
          <w:pgMar w:top="1440" w:right="1440" w:bottom="1440" w:left="1440" w:header="709" w:footer="709" w:gutter="0"/>
          <w:cols w:space="708"/>
          <w:titlePg/>
          <w:docGrid w:linePitch="360"/>
        </w:sectPr>
      </w:pPr>
      <w:r>
        <w:t xml:space="preserve">Figure </w:t>
      </w:r>
      <w:r>
        <w:rPr>
          <w:noProof/>
        </w:rPr>
        <w:t>24</w:t>
      </w:r>
      <w:r w:rsidR="007E2F45">
        <w:fldChar w:fldCharType="end"/>
      </w:r>
      <w:r w:rsidR="007E2F45">
        <w:t xml:space="preserve">. Direct ownership of data was seen as important, with several comments indicating that the person </w:t>
      </w:r>
      <w:r w:rsidR="00740299">
        <w:t>paying</w:t>
      </w:r>
      <w:r w:rsidR="007E2F45">
        <w:t xml:space="preserve"> for the data should have ownership rights. This belief is consistent with the attitudes to data ownership across many agricultural industries</w:t>
      </w:r>
      <w:r w:rsidR="00164B19">
        <w:rPr>
          <w:rStyle w:val="FootnoteReference"/>
        </w:rPr>
        <w:footnoteReference w:id="56"/>
      </w:r>
      <w:r w:rsidR="00164B19">
        <w:t xml:space="preserve"> and is the subject of several current cross-sectoral initiatives.</w:t>
      </w:r>
    </w:p>
    <w:p w14:paraId="75A6A2BB" w14:textId="4CF27366" w:rsidR="00740299" w:rsidRDefault="00740299" w:rsidP="00CD4757"/>
    <w:p w14:paraId="738DF36C" w14:textId="356EC7C3" w:rsidR="00CD4757" w:rsidRDefault="00375D63" w:rsidP="00070999">
      <w:pPr>
        <w:keepNext/>
        <w:keepLines/>
        <w:jc w:val="center"/>
      </w:pPr>
      <w:r>
        <w:rPr>
          <w:noProof/>
        </w:rPr>
        <w:drawing>
          <wp:inline distT="0" distB="0" distL="0" distR="0" wp14:anchorId="75F243E7" wp14:editId="25D7FDE0">
            <wp:extent cx="9388475" cy="3705225"/>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9478110" cy="3740600"/>
                    </a:xfrm>
                    <a:prstGeom prst="rect">
                      <a:avLst/>
                    </a:prstGeom>
                  </pic:spPr>
                </pic:pic>
              </a:graphicData>
            </a:graphic>
          </wp:inline>
        </w:drawing>
      </w:r>
    </w:p>
    <w:p w14:paraId="4A0A8A65" w14:textId="77777777" w:rsidR="00952FB6" w:rsidRDefault="00952FB6" w:rsidP="00475E28">
      <w:pPr>
        <w:pStyle w:val="Caption"/>
      </w:pPr>
      <w:bookmarkStart w:id="113" w:name="_Ref83649292"/>
    </w:p>
    <w:p w14:paraId="70B24F44" w14:textId="55A6255F" w:rsidR="008E0B2A" w:rsidRDefault="007E2F45" w:rsidP="00475E28">
      <w:pPr>
        <w:pStyle w:val="Caption"/>
      </w:pPr>
      <w:bookmarkStart w:id="114" w:name="_Toc95983470"/>
      <w:r>
        <w:t xml:space="preserve">Figure </w:t>
      </w:r>
      <w:r>
        <w:fldChar w:fldCharType="begin"/>
      </w:r>
      <w:r>
        <w:instrText>SEQ Figure \* ARABIC</w:instrText>
      </w:r>
      <w:r>
        <w:fldChar w:fldCharType="separate"/>
      </w:r>
      <w:r w:rsidR="008D0D42">
        <w:rPr>
          <w:noProof/>
        </w:rPr>
        <w:t>24</w:t>
      </w:r>
      <w:r>
        <w:fldChar w:fldCharType="end"/>
      </w:r>
      <w:bookmarkEnd w:id="113"/>
      <w:r>
        <w:t>. Thematic analysis of concerns to genomic data use and ownership</w:t>
      </w:r>
      <w:bookmarkEnd w:id="114"/>
      <w:r>
        <w:t xml:space="preserve"> </w:t>
      </w:r>
    </w:p>
    <w:p w14:paraId="0E5C29E2" w14:textId="77777777" w:rsidR="00080D87" w:rsidRDefault="00080D87" w:rsidP="00C83D90">
      <w:pPr>
        <w:sectPr w:rsidR="00080D87" w:rsidSect="00080D87">
          <w:pgSz w:w="16838" w:h="11906" w:orient="landscape"/>
          <w:pgMar w:top="1440" w:right="1440" w:bottom="1440" w:left="1440" w:header="709" w:footer="709" w:gutter="0"/>
          <w:cols w:space="708"/>
          <w:titlePg/>
          <w:docGrid w:linePitch="360"/>
        </w:sectPr>
      </w:pPr>
    </w:p>
    <w:p w14:paraId="60C3DDA8" w14:textId="77777777" w:rsidR="00192A25" w:rsidRPr="00192A25" w:rsidRDefault="00192A25" w:rsidP="00C83D90"/>
    <w:p w14:paraId="1C6F8AD3" w14:textId="44E539CD" w:rsidR="003E343D" w:rsidRDefault="003E343D" w:rsidP="00581060">
      <w:pPr>
        <w:keepNext/>
        <w:keepLines/>
      </w:pPr>
      <w:r>
        <w:t xml:space="preserve">However, there was consistent commentary that breed societies should not own this type of data as they do with </w:t>
      </w:r>
      <w:r w:rsidR="00581060">
        <w:t xml:space="preserve">data underpinning </w:t>
      </w:r>
      <w:r>
        <w:t xml:space="preserve">genetic </w:t>
      </w:r>
      <w:r w:rsidR="00581060">
        <w:t>improvement systems</w:t>
      </w:r>
      <w:r>
        <w:t xml:space="preserve">. Use and misuse of data was a common theme that was linked to ownership but extended to include elements such as who are the beneficiaries and what controls should be in place. Concerns around who profits from genomic data was a third theme, with data management and quality and costs also prominent.  Of note, there was a small but consistent proportion of respondents that indicated that they have no concerns. </w:t>
      </w:r>
    </w:p>
    <w:p w14:paraId="7638A63A" w14:textId="77777777" w:rsidR="003E343D" w:rsidRDefault="003E343D" w:rsidP="00581060">
      <w:pPr>
        <w:keepNext/>
        <w:keepLines/>
      </w:pPr>
    </w:p>
    <w:p w14:paraId="442945ED" w14:textId="7D96F2F8" w:rsidR="00EE429A" w:rsidRDefault="0011247F" w:rsidP="00581060">
      <w:pPr>
        <w:keepNext/>
        <w:keepLines/>
      </w:pPr>
      <w:r>
        <w:t xml:space="preserve">Survey respondents were asked to nominate </w:t>
      </w:r>
      <w:r w:rsidR="000F1A1F">
        <w:t xml:space="preserve">the </w:t>
      </w:r>
      <w:r>
        <w:t>maximum that they would be prepared to pay</w:t>
      </w:r>
      <w:r w:rsidR="000F1A1F">
        <w:t>,</w:t>
      </w:r>
      <w:r>
        <w:t xml:space="preserve"> within</w:t>
      </w:r>
      <w:r w:rsidR="00113AC3">
        <w:t xml:space="preserve"> a range from 0-$100. Given the variation in responses, the </w:t>
      </w:r>
      <w:r w:rsidR="00D1513D">
        <w:t xml:space="preserve">most appropriate </w:t>
      </w:r>
      <w:r w:rsidR="00113AC3">
        <w:t>way of presenting the data was</w:t>
      </w:r>
      <w:r w:rsidR="00D1513D">
        <w:t xml:space="preserve"> a count of responses relative to price brackets (maximum)</w:t>
      </w:r>
      <w:r w:rsidR="002803AC">
        <w:t xml:space="preserve">, as </w:t>
      </w:r>
      <w:r w:rsidR="00113AC3">
        <w:t xml:space="preserve">shown in </w:t>
      </w:r>
      <w:r w:rsidR="0045653E">
        <w:fldChar w:fldCharType="begin"/>
      </w:r>
      <w:r w:rsidR="0045653E">
        <w:instrText xml:space="preserve"> REF _Ref83652840 \h </w:instrText>
      </w:r>
      <w:r w:rsidR="0045653E">
        <w:fldChar w:fldCharType="separate"/>
      </w:r>
      <w:r w:rsidR="008D0D42">
        <w:t xml:space="preserve">Figure </w:t>
      </w:r>
      <w:r w:rsidR="008D0D42">
        <w:rPr>
          <w:noProof/>
        </w:rPr>
        <w:t>25</w:t>
      </w:r>
      <w:r w:rsidR="0045653E">
        <w:fldChar w:fldCharType="end"/>
      </w:r>
      <w:r w:rsidR="0045653E">
        <w:t xml:space="preserve">. </w:t>
      </w:r>
      <w:r w:rsidR="00D1513D">
        <w:t>For Sheep,</w:t>
      </w:r>
      <w:r w:rsidR="00C54C00">
        <w:t xml:space="preserve"> the most common price was $5 (38%)</w:t>
      </w:r>
      <w:r w:rsidR="002803AC">
        <w:t>,</w:t>
      </w:r>
      <w:r w:rsidR="00C54C00">
        <w:t xml:space="preserve"> followed by $10 </w:t>
      </w:r>
      <w:r w:rsidR="002803AC">
        <w:t>(</w:t>
      </w:r>
      <w:r w:rsidR="00C54C00">
        <w:t>16%</w:t>
      </w:r>
      <w:r w:rsidR="002803AC">
        <w:t>)</w:t>
      </w:r>
      <w:r w:rsidR="00EE429A">
        <w:t xml:space="preserve">, with a </w:t>
      </w:r>
      <w:r w:rsidR="00C54C00">
        <w:t xml:space="preserve">median </w:t>
      </w:r>
      <w:r w:rsidR="00EE429A">
        <w:t xml:space="preserve">of </w:t>
      </w:r>
      <w:r w:rsidR="00C54C00">
        <w:t xml:space="preserve">$5. </w:t>
      </w:r>
      <w:r w:rsidR="00EE429A">
        <w:t xml:space="preserve"> </w:t>
      </w:r>
      <w:r w:rsidR="00C54C00">
        <w:t xml:space="preserve">For beef cattle, the most frequent response was $10 (21.5%) followed by $30 </w:t>
      </w:r>
      <w:r w:rsidR="002803AC">
        <w:t>(</w:t>
      </w:r>
      <w:r w:rsidR="00C54C00">
        <w:t>14%</w:t>
      </w:r>
      <w:r w:rsidR="002803AC">
        <w:t xml:space="preserve">), with a </w:t>
      </w:r>
      <w:r w:rsidR="00C54C00">
        <w:t xml:space="preserve">median </w:t>
      </w:r>
      <w:r w:rsidR="002803AC">
        <w:t xml:space="preserve">of </w:t>
      </w:r>
      <w:r w:rsidR="00C54C00">
        <w:t xml:space="preserve">$20. </w:t>
      </w:r>
    </w:p>
    <w:p w14:paraId="0F94E897" w14:textId="77777777" w:rsidR="00EE429A" w:rsidRDefault="00EE429A" w:rsidP="00581060">
      <w:pPr>
        <w:keepNext/>
        <w:keepLines/>
      </w:pPr>
    </w:p>
    <w:p w14:paraId="2E7FD2B0" w14:textId="053DA582" w:rsidR="0011247F" w:rsidRDefault="00C54C00" w:rsidP="00581060">
      <w:pPr>
        <w:keepNext/>
        <w:keepLines/>
      </w:pPr>
      <w:r>
        <w:t xml:space="preserve">This difference was surprising given the </w:t>
      </w:r>
      <w:r w:rsidR="00971258">
        <w:t xml:space="preserve">amount </w:t>
      </w:r>
      <w:r>
        <w:t>that respondents pay for current lifetime traceability</w:t>
      </w:r>
      <w:r w:rsidR="003F59A8">
        <w:t xml:space="preserve"> (almost double the </w:t>
      </w:r>
      <w:r w:rsidR="00971258">
        <w:t>current cost</w:t>
      </w:r>
      <w:r w:rsidR="003F59A8">
        <w:t xml:space="preserve"> of the NLIS tag)</w:t>
      </w:r>
      <w:r>
        <w:t xml:space="preserve">. There was </w:t>
      </w:r>
      <w:r w:rsidR="00487E5E">
        <w:t xml:space="preserve">a </w:t>
      </w:r>
      <w:r>
        <w:t xml:space="preserve">difference between processors </w:t>
      </w:r>
      <w:r w:rsidR="00066580">
        <w:t xml:space="preserve">(median $29) </w:t>
      </w:r>
      <w:r>
        <w:t xml:space="preserve">and </w:t>
      </w:r>
      <w:r w:rsidR="00066580">
        <w:t>producers (</w:t>
      </w:r>
      <w:r w:rsidR="00971258">
        <w:t>median</w:t>
      </w:r>
      <w:r w:rsidR="00066580">
        <w:t xml:space="preserve"> $17.50</w:t>
      </w:r>
      <w:r w:rsidR="00433D8D">
        <w:t>)</w:t>
      </w:r>
      <w:r w:rsidR="00487E5E">
        <w:t>.</w:t>
      </w:r>
      <w:r w:rsidR="00B3025C">
        <w:t xml:space="preserve"> These estimates of the preparedness to pay provide critical information in determining market readiness for genomic traceability and the magnitude that costs must be </w:t>
      </w:r>
      <w:r w:rsidR="00716E09">
        <w:t>to</w:t>
      </w:r>
      <w:r w:rsidR="00B3025C">
        <w:t xml:space="preserve"> be attractive for adoption across the livestock industry. </w:t>
      </w:r>
    </w:p>
    <w:p w14:paraId="29031C8F" w14:textId="77777777" w:rsidR="00FD5020" w:rsidRPr="0011247F" w:rsidRDefault="00FD5020" w:rsidP="00581060">
      <w:pPr>
        <w:keepNext/>
        <w:keepLines/>
      </w:pPr>
    </w:p>
    <w:p w14:paraId="5C1BCCD9" w14:textId="3FB4854F" w:rsidR="00164B19" w:rsidRDefault="00D1513D" w:rsidP="00581060">
      <w:pPr>
        <w:keepNext/>
        <w:keepLines/>
        <w:jc w:val="center"/>
      </w:pPr>
      <w:r>
        <w:rPr>
          <w:noProof/>
        </w:rPr>
        <w:drawing>
          <wp:inline distT="0" distB="0" distL="0" distR="0" wp14:anchorId="0305553D" wp14:editId="7BA9E49E">
            <wp:extent cx="4584700" cy="27559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3959FB3" w14:textId="14155369" w:rsidR="00113AC3" w:rsidRDefault="0045653E" w:rsidP="00475E28">
      <w:pPr>
        <w:pStyle w:val="Caption"/>
      </w:pPr>
      <w:bookmarkStart w:id="115" w:name="_Ref83652840"/>
      <w:bookmarkStart w:id="116" w:name="_Toc95983471"/>
      <w:r>
        <w:t xml:space="preserve">Figure </w:t>
      </w:r>
      <w:r>
        <w:fldChar w:fldCharType="begin"/>
      </w:r>
      <w:r>
        <w:instrText>SEQ Figure \* ARABIC</w:instrText>
      </w:r>
      <w:r>
        <w:fldChar w:fldCharType="separate"/>
      </w:r>
      <w:r w:rsidR="008D0D42">
        <w:rPr>
          <w:noProof/>
        </w:rPr>
        <w:t>25</w:t>
      </w:r>
      <w:r>
        <w:fldChar w:fldCharType="end"/>
      </w:r>
      <w:bookmarkEnd w:id="115"/>
      <w:r>
        <w:t xml:space="preserve">. </w:t>
      </w:r>
      <w:r w:rsidR="00D1513D">
        <w:t xml:space="preserve">Maximum price prepared to pay vs number </w:t>
      </w:r>
      <w:r>
        <w:t>of respon</w:t>
      </w:r>
      <w:r w:rsidR="00D1513D">
        <w:t>ses</w:t>
      </w:r>
      <w:r>
        <w:t xml:space="preserve"> for genomic lifetime traceability</w:t>
      </w:r>
      <w:bookmarkEnd w:id="116"/>
      <w:r>
        <w:t xml:space="preserve"> </w:t>
      </w:r>
    </w:p>
    <w:p w14:paraId="022B98E0" w14:textId="77777777" w:rsidR="00192A25" w:rsidRPr="00192A25" w:rsidRDefault="00192A25" w:rsidP="00C83D90"/>
    <w:p w14:paraId="73DA9780" w14:textId="6496BFFD" w:rsidR="00B3025C" w:rsidRDefault="00B3025C" w:rsidP="00B3025C">
      <w:r>
        <w:t xml:space="preserve">As expected, (due to NLIS regulations), a very high proportion </w:t>
      </w:r>
      <w:r w:rsidR="00403D87">
        <w:t xml:space="preserve">participants in </w:t>
      </w:r>
      <w:r>
        <w:t xml:space="preserve">the beef </w:t>
      </w:r>
      <w:r w:rsidR="00403D87">
        <w:t xml:space="preserve">industry </w:t>
      </w:r>
      <w:r>
        <w:t>use EID technologies</w:t>
      </w:r>
      <w:r w:rsidR="00D3059A">
        <w:t xml:space="preserve"> and </w:t>
      </w:r>
      <w:r w:rsidR="007A0BBE">
        <w:t>a high proportion of beef seedstock and beef producers indicated that they would continue to use EID even if genomic lifetime traceability was available (63% and 72</w:t>
      </w:r>
      <w:r w:rsidR="00FB7E9F">
        <w:t>%</w:t>
      </w:r>
      <w:r w:rsidR="007A0BBE">
        <w:t xml:space="preserve"> respectively</w:t>
      </w:r>
      <w:r w:rsidR="001528B8">
        <w:t xml:space="preserve"> (</w:t>
      </w:r>
      <w:r w:rsidR="004A2E4D">
        <w:fldChar w:fldCharType="begin"/>
      </w:r>
      <w:r w:rsidR="004A2E4D">
        <w:instrText xml:space="preserve"> REF _Ref87642100 \h </w:instrText>
      </w:r>
      <w:r w:rsidR="004A2E4D">
        <w:fldChar w:fldCharType="separate"/>
      </w:r>
      <w:r w:rsidR="008D0D42">
        <w:t xml:space="preserve">Figure </w:t>
      </w:r>
      <w:r w:rsidR="008D0D42">
        <w:rPr>
          <w:noProof/>
        </w:rPr>
        <w:t>26</w:t>
      </w:r>
      <w:r w:rsidR="004A2E4D">
        <w:fldChar w:fldCharType="end"/>
      </w:r>
      <w:r w:rsidR="007A0BBE">
        <w:t xml:space="preserve">). </w:t>
      </w:r>
      <w:r w:rsidR="00D3059A">
        <w:t xml:space="preserve"> </w:t>
      </w:r>
      <w:r w:rsidR="00FB7E9F">
        <w:t>A</w:t>
      </w:r>
      <w:r w:rsidR="007A0BBE">
        <w:t xml:space="preserve"> moderate but significant number</w:t>
      </w:r>
      <w:r w:rsidR="00FB7E9F">
        <w:t xml:space="preserve"> </w:t>
      </w:r>
      <w:r w:rsidR="007A0BBE">
        <w:t xml:space="preserve">indicated </w:t>
      </w:r>
      <w:r w:rsidR="009266F1">
        <w:t xml:space="preserve">that </w:t>
      </w:r>
      <w:r w:rsidR="007A0BBE">
        <w:t xml:space="preserve">they </w:t>
      </w:r>
      <w:r w:rsidR="0022109A">
        <w:t xml:space="preserve">were </w:t>
      </w:r>
      <w:r w:rsidR="007A0BBE">
        <w:t xml:space="preserve">unsure </w:t>
      </w:r>
      <w:r w:rsidR="009266F1">
        <w:t xml:space="preserve">of </w:t>
      </w:r>
      <w:r w:rsidR="007A0BBE">
        <w:t>whether they would continue to use EID</w:t>
      </w:r>
      <w:r w:rsidR="009266F1">
        <w:t>;</w:t>
      </w:r>
      <w:r w:rsidR="007A0BBE">
        <w:t xml:space="preserve"> and only a very small proportion indicated that they would </w:t>
      </w:r>
      <w:r w:rsidR="001528B8">
        <w:t xml:space="preserve">not continue to use EID technologies of lifetime traceability was available. </w:t>
      </w:r>
    </w:p>
    <w:p w14:paraId="252D23D4" w14:textId="63B96DF7" w:rsidR="007A0BBE" w:rsidRDefault="007A0BBE" w:rsidP="00006F4C">
      <w:pPr>
        <w:jc w:val="center"/>
      </w:pPr>
      <w:r>
        <w:rPr>
          <w:noProof/>
        </w:rPr>
        <w:lastRenderedPageBreak/>
        <w:drawing>
          <wp:inline distT="0" distB="0" distL="0" distR="0" wp14:anchorId="3704FAC9" wp14:editId="0555796C">
            <wp:extent cx="5175885" cy="3444240"/>
            <wp:effectExtent l="0" t="0" r="571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5885" cy="3444240"/>
                    </a:xfrm>
                    <a:prstGeom prst="rect">
                      <a:avLst/>
                    </a:prstGeom>
                    <a:noFill/>
                  </pic:spPr>
                </pic:pic>
              </a:graphicData>
            </a:graphic>
          </wp:inline>
        </w:drawing>
      </w:r>
    </w:p>
    <w:p w14:paraId="5BBC937E" w14:textId="5B258682" w:rsidR="007A0BBE" w:rsidRDefault="007A0BBE" w:rsidP="00475E28">
      <w:pPr>
        <w:pStyle w:val="Caption"/>
      </w:pPr>
      <w:bookmarkStart w:id="117" w:name="_Ref87642100"/>
      <w:bookmarkStart w:id="118" w:name="_Ref83720640"/>
      <w:bookmarkStart w:id="119" w:name="_Toc95983472"/>
      <w:r>
        <w:t xml:space="preserve">Figure </w:t>
      </w:r>
      <w:r>
        <w:fldChar w:fldCharType="begin"/>
      </w:r>
      <w:r>
        <w:instrText>SEQ Figure \* ARABIC</w:instrText>
      </w:r>
      <w:r>
        <w:fldChar w:fldCharType="separate"/>
      </w:r>
      <w:r w:rsidR="008D0D42">
        <w:rPr>
          <w:noProof/>
        </w:rPr>
        <w:t>26</w:t>
      </w:r>
      <w:r>
        <w:fldChar w:fldCharType="end"/>
      </w:r>
      <w:bookmarkEnd w:id="117"/>
      <w:r>
        <w:t xml:space="preserve">. Percentage of respondents (beef seedstock and producers) that would continue to use of EID technologies if lifetime genomic traceability </w:t>
      </w:r>
      <w:r w:rsidR="00F32BCA">
        <w:t>was</w:t>
      </w:r>
      <w:r>
        <w:t xml:space="preserve"> available</w:t>
      </w:r>
      <w:bookmarkEnd w:id="118"/>
      <w:bookmarkEnd w:id="119"/>
      <w:r>
        <w:t xml:space="preserve"> </w:t>
      </w:r>
    </w:p>
    <w:p w14:paraId="4F3CCF46" w14:textId="77777777" w:rsidR="00192A25" w:rsidRPr="00192A25" w:rsidRDefault="00192A25" w:rsidP="00C83D90"/>
    <w:p w14:paraId="5FC6193F" w14:textId="4FBC96C0" w:rsidR="0083667D" w:rsidRDefault="007A0BBE" w:rsidP="007A0BBE">
      <w:r>
        <w:t>Although only a small number of respondents from the beef lot feeders and beef processors answered this question, there was a very strong belief that EID use would continue even if lifetime traceability was available (100% and 88% respectively</w:t>
      </w:r>
      <w:r w:rsidR="00A23E0A">
        <w:t xml:space="preserve">; see </w:t>
      </w:r>
      <w:r w:rsidR="005819E3">
        <w:fldChar w:fldCharType="begin"/>
      </w:r>
      <w:r w:rsidR="005819E3">
        <w:instrText xml:space="preserve"> REF _Ref87642202 \h </w:instrText>
      </w:r>
      <w:r w:rsidR="005819E3">
        <w:fldChar w:fldCharType="separate"/>
      </w:r>
      <w:r w:rsidR="008D0D42">
        <w:t xml:space="preserve">Figure </w:t>
      </w:r>
      <w:r w:rsidR="008D0D42">
        <w:rPr>
          <w:noProof/>
        </w:rPr>
        <w:t>27</w:t>
      </w:r>
      <w:r w:rsidR="005819E3">
        <w:fldChar w:fldCharType="end"/>
      </w:r>
      <w:r w:rsidR="005819E3">
        <w:t>.</w:t>
      </w:r>
    </w:p>
    <w:p w14:paraId="2BD98E47" w14:textId="77777777" w:rsidR="00DC1A65" w:rsidRDefault="00DC1A65" w:rsidP="007A0BBE"/>
    <w:p w14:paraId="6BD6C089" w14:textId="1AE86674" w:rsidR="0083667D" w:rsidRDefault="00B06A07" w:rsidP="00006F4C">
      <w:pPr>
        <w:jc w:val="center"/>
      </w:pPr>
      <w:r>
        <w:rPr>
          <w:noProof/>
        </w:rPr>
        <w:drawing>
          <wp:inline distT="0" distB="0" distL="0" distR="0" wp14:anchorId="60AF1F45" wp14:editId="394F7D92">
            <wp:extent cx="5175885" cy="3444240"/>
            <wp:effectExtent l="0" t="0" r="5715" b="381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5885" cy="3444240"/>
                    </a:xfrm>
                    <a:prstGeom prst="rect">
                      <a:avLst/>
                    </a:prstGeom>
                    <a:noFill/>
                  </pic:spPr>
                </pic:pic>
              </a:graphicData>
            </a:graphic>
          </wp:inline>
        </w:drawing>
      </w:r>
    </w:p>
    <w:p w14:paraId="3CFF5A97" w14:textId="1755ADE1" w:rsidR="00B06A07" w:rsidRDefault="00B06A07" w:rsidP="00475E28">
      <w:pPr>
        <w:pStyle w:val="Caption"/>
        <w:rPr>
          <w:noProof/>
        </w:rPr>
      </w:pPr>
      <w:bookmarkStart w:id="120" w:name="_Ref87642202"/>
      <w:bookmarkStart w:id="121" w:name="_Ref83720708"/>
      <w:bookmarkStart w:id="122" w:name="_Toc95983473"/>
      <w:r>
        <w:t xml:space="preserve">Figure </w:t>
      </w:r>
      <w:r>
        <w:fldChar w:fldCharType="begin"/>
      </w:r>
      <w:r>
        <w:instrText>SEQ Figure \* ARABIC</w:instrText>
      </w:r>
      <w:r>
        <w:fldChar w:fldCharType="separate"/>
      </w:r>
      <w:r w:rsidR="008D0D42">
        <w:rPr>
          <w:noProof/>
        </w:rPr>
        <w:t>27</w:t>
      </w:r>
      <w:r>
        <w:fldChar w:fldCharType="end"/>
      </w:r>
      <w:bookmarkEnd w:id="120"/>
      <w:r>
        <w:t xml:space="preserve">. </w:t>
      </w:r>
      <w:r w:rsidRPr="00A23E0A">
        <w:t xml:space="preserve">Percentage of respondents (beef </w:t>
      </w:r>
      <w:r>
        <w:t>lot feeders</w:t>
      </w:r>
      <w:r w:rsidRPr="00A23E0A">
        <w:t xml:space="preserve"> and pro</w:t>
      </w:r>
      <w:r>
        <w:t>cessors</w:t>
      </w:r>
      <w:r w:rsidRPr="00A23E0A">
        <w:t xml:space="preserve">) that would continue to use of EID technologies if lifetime genomic traceability </w:t>
      </w:r>
      <w:r w:rsidR="00F32BCA">
        <w:t>was</w:t>
      </w:r>
      <w:r w:rsidRPr="00A23E0A">
        <w:t xml:space="preserve"> available</w:t>
      </w:r>
      <w:bookmarkEnd w:id="121"/>
      <w:bookmarkEnd w:id="122"/>
    </w:p>
    <w:p w14:paraId="4CD46FCB" w14:textId="77777777" w:rsidR="00192A25" w:rsidRPr="00577199" w:rsidRDefault="00192A25" w:rsidP="00C83D90"/>
    <w:p w14:paraId="4004BCC2" w14:textId="69012E52" w:rsidR="007A0BBE" w:rsidRDefault="00A23E0A" w:rsidP="007A0BBE">
      <w:r>
        <w:lastRenderedPageBreak/>
        <w:t>Overall,</w:t>
      </w:r>
      <w:r w:rsidR="007A0BBE">
        <w:t xml:space="preserve"> these responses would indicate that lifetime genomic traceability is currently seen as a</w:t>
      </w:r>
      <w:r>
        <w:t>n</w:t>
      </w:r>
      <w:r w:rsidR="007A0BBE">
        <w:t xml:space="preserve"> add-on rather than a replacement to the current lifetime traceability system that is underpinned by EID tags. </w:t>
      </w:r>
      <w:r w:rsidR="00B06A07">
        <w:t xml:space="preserve">Potential reasons for why EID technologies would be maintained are shown in </w:t>
      </w:r>
      <w:r w:rsidR="007C7F63">
        <w:fldChar w:fldCharType="begin"/>
      </w:r>
      <w:r w:rsidR="007C7F63">
        <w:instrText xml:space="preserve"> REF _Ref84848111 \h </w:instrText>
      </w:r>
      <w:r w:rsidR="007C7F63">
        <w:fldChar w:fldCharType="separate"/>
      </w:r>
      <w:r w:rsidR="008D0D42">
        <w:t xml:space="preserve">Figure </w:t>
      </w:r>
      <w:r w:rsidR="008D0D42">
        <w:rPr>
          <w:noProof/>
        </w:rPr>
        <w:t>28</w:t>
      </w:r>
      <w:r w:rsidR="007C7F63">
        <w:fldChar w:fldCharType="end"/>
      </w:r>
      <w:r w:rsidR="00B06A07">
        <w:t>.  Clearly EID tags are seen as an important tool in collecting accurate data in the</w:t>
      </w:r>
      <w:r w:rsidR="005819E3">
        <w:t>se</w:t>
      </w:r>
      <w:r w:rsidR="00B06A07">
        <w:t xml:space="preserve"> industries, particularly data that </w:t>
      </w:r>
      <w:r w:rsidR="00612FBB">
        <w:t xml:space="preserve">informs </w:t>
      </w:r>
      <w:r w:rsidR="005819E3">
        <w:t xml:space="preserve">decisions </w:t>
      </w:r>
      <w:r w:rsidR="00612FBB">
        <w:t xml:space="preserve">related to </w:t>
      </w:r>
      <w:r w:rsidR="00B06A07">
        <w:t xml:space="preserve">management or genetic selection. As noted, potential automation, </w:t>
      </w:r>
      <w:proofErr w:type="gramStart"/>
      <w:r w:rsidR="00B06A07">
        <w:t>accuracy</w:t>
      </w:r>
      <w:proofErr w:type="gramEnd"/>
      <w:r w:rsidR="00B06A07">
        <w:t xml:space="preserve"> and speed of collection of data </w:t>
      </w:r>
      <w:r w:rsidR="00612FBB">
        <w:t xml:space="preserve">were </w:t>
      </w:r>
      <w:r w:rsidR="00B06A07">
        <w:t>identified as key ancillary benefit</w:t>
      </w:r>
      <w:r w:rsidR="00612FBB">
        <w:t>s</w:t>
      </w:r>
      <w:r w:rsidR="00B06A07">
        <w:t xml:space="preserve"> of EID lifetime traceability. However, a proportion of all respondents saw little or no extra benefits from EID technologies.</w:t>
      </w:r>
    </w:p>
    <w:p w14:paraId="70C15104" w14:textId="77777777" w:rsidR="00080D87" w:rsidRDefault="00080D87" w:rsidP="007A0BBE"/>
    <w:p w14:paraId="14A9E39D" w14:textId="77777777" w:rsidR="008D0D42" w:rsidRDefault="005A59AD" w:rsidP="008D0D42">
      <w:r w:rsidRPr="00C03AB4">
        <w:t xml:space="preserve">The final question in the survey sought additional commentary </w:t>
      </w:r>
      <w:r>
        <w:t xml:space="preserve">by </w:t>
      </w:r>
      <w:r w:rsidRPr="00C03AB4">
        <w:t>respondents</w:t>
      </w:r>
      <w:r>
        <w:t xml:space="preserve"> on their views of </w:t>
      </w:r>
      <w:r w:rsidRPr="00C03AB4">
        <w:t xml:space="preserve">lifetime genomic traceability. This commentary was summarised into three themes (see </w:t>
      </w:r>
      <w:r w:rsidRPr="00C03AB4">
        <w:fldChar w:fldCharType="begin"/>
      </w:r>
      <w:r w:rsidRPr="00C03AB4">
        <w:instrText xml:space="preserve"> REF _Ref84848195 \h  \* MERGEFORMAT </w:instrText>
      </w:r>
      <w:r w:rsidRPr="00C03AB4">
        <w:fldChar w:fldCharType="separate"/>
      </w:r>
    </w:p>
    <w:p w14:paraId="65823418" w14:textId="5C66AEAC" w:rsidR="005A59AD" w:rsidRPr="00E26FAD" w:rsidRDefault="008D0D42" w:rsidP="005A59AD">
      <w:r>
        <w:t>Figure</w:t>
      </w:r>
      <w:r>
        <w:rPr>
          <w:noProof/>
        </w:rPr>
        <w:t xml:space="preserve"> 29</w:t>
      </w:r>
      <w:r w:rsidR="005A59AD" w:rsidRPr="00C03AB4">
        <w:fldChar w:fldCharType="end"/>
      </w:r>
      <w:r w:rsidR="005A59AD" w:rsidRPr="002A5629">
        <w:t>)</w:t>
      </w:r>
      <w:r w:rsidR="005A59AD" w:rsidRPr="00E26FAD">
        <w:t xml:space="preserve">, being: </w:t>
      </w:r>
    </w:p>
    <w:p w14:paraId="4F156B63" w14:textId="77777777" w:rsidR="005A59AD" w:rsidRPr="00E26FAD" w:rsidRDefault="005A59AD" w:rsidP="005A59AD">
      <w:r w:rsidRPr="00E26FAD">
        <w:t xml:space="preserve">1. Questions by the respondents, seeking </w:t>
      </w:r>
      <w:proofErr w:type="gramStart"/>
      <w:r w:rsidRPr="00E26FAD">
        <w:t>answers;</w:t>
      </w:r>
      <w:proofErr w:type="gramEnd"/>
    </w:p>
    <w:p w14:paraId="03C599AC" w14:textId="77777777" w:rsidR="005A59AD" w:rsidRPr="00E26FAD" w:rsidRDefault="005A59AD" w:rsidP="005A59AD">
      <w:r w:rsidRPr="00E26FAD">
        <w:t xml:space="preserve">2. Commentary that supported the implementation of genomic traceability; and </w:t>
      </w:r>
    </w:p>
    <w:p w14:paraId="1AD78A71" w14:textId="77777777" w:rsidR="005A59AD" w:rsidRDefault="005A59AD" w:rsidP="005A59AD">
      <w:r w:rsidRPr="00E26FAD">
        <w:t>3. Commentary that opposed the implementation of genomic traceability</w:t>
      </w:r>
      <w:r w:rsidRPr="002A5629">
        <w:t>.</w:t>
      </w:r>
    </w:p>
    <w:p w14:paraId="04536920" w14:textId="77777777" w:rsidR="007C23CA" w:rsidRDefault="007C23CA" w:rsidP="005A59AD"/>
    <w:p w14:paraId="35CC81B8" w14:textId="77777777" w:rsidR="007C23CA" w:rsidRDefault="007C23CA" w:rsidP="007C23CA">
      <w:r>
        <w:t>Some respondents were still interested in where the value proposition or benefits would accrue from the introduction of lifetime genomic traceability. Most saw potential opportunities, primarily linked to genetic selection and the ability to increase both the volume of information and the ability to transfer it along the value chain. Those same respondents did identify costs, timelines for genomic test information and integration with visual systems as barriers to overcome.</w:t>
      </w:r>
    </w:p>
    <w:p w14:paraId="01994CE9" w14:textId="77777777" w:rsidR="007C23CA" w:rsidRDefault="007C23CA" w:rsidP="007C23CA"/>
    <w:p w14:paraId="71282AAF" w14:textId="77777777" w:rsidR="007C23CA" w:rsidRDefault="007C23CA" w:rsidP="007C23CA">
      <w:r w:rsidRPr="009832C0">
        <w:t>A smaller but still significant proportion of respondents saw little or no benefit, were concerned about bureaucracy and would be strongly opposed to the introduction of genomic lifetime traceability.</w:t>
      </w:r>
    </w:p>
    <w:p w14:paraId="5A1D2D0E" w14:textId="77777777" w:rsidR="007C23CA" w:rsidRDefault="007C23CA" w:rsidP="005A59AD"/>
    <w:p w14:paraId="091E0D12" w14:textId="77777777" w:rsidR="007C23CA" w:rsidRDefault="007C23CA" w:rsidP="005A59AD"/>
    <w:p w14:paraId="44090D7A" w14:textId="77777777" w:rsidR="007C23CA" w:rsidRDefault="007C23CA" w:rsidP="005A59AD"/>
    <w:p w14:paraId="63BA87B1" w14:textId="77777777" w:rsidR="007C23CA" w:rsidRDefault="007C23CA" w:rsidP="005A59AD"/>
    <w:p w14:paraId="0DBEEA3E" w14:textId="77777777" w:rsidR="007C23CA" w:rsidRDefault="007C23CA" w:rsidP="005A59AD"/>
    <w:p w14:paraId="4EA513C1" w14:textId="05F471D0" w:rsidR="007C23CA" w:rsidRDefault="007C23CA" w:rsidP="005A59AD">
      <w:pPr>
        <w:sectPr w:rsidR="007C23CA" w:rsidSect="00593907">
          <w:pgSz w:w="11906" w:h="16838"/>
          <w:pgMar w:top="1440" w:right="1440" w:bottom="1440" w:left="1440" w:header="709" w:footer="709" w:gutter="0"/>
          <w:cols w:space="708"/>
          <w:titlePg/>
          <w:docGrid w:linePitch="360"/>
        </w:sectPr>
      </w:pPr>
    </w:p>
    <w:p w14:paraId="6814DEB2" w14:textId="2CDC9E64" w:rsidR="007A0BBE" w:rsidRDefault="007A0BBE" w:rsidP="007A0BBE"/>
    <w:p w14:paraId="2F6C5C23" w14:textId="3B780E56" w:rsidR="00A23E0A" w:rsidRDefault="00552FE7" w:rsidP="00475E28">
      <w:pPr>
        <w:pStyle w:val="Caption"/>
      </w:pPr>
      <w:r>
        <w:rPr>
          <w:noProof/>
        </w:rPr>
        <w:drawing>
          <wp:inline distT="0" distB="0" distL="0" distR="0" wp14:anchorId="07CAD82E" wp14:editId="7026878F">
            <wp:extent cx="9626763" cy="4391025"/>
            <wp:effectExtent l="0" t="0" r="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666743" cy="4409261"/>
                    </a:xfrm>
                    <a:prstGeom prst="rect">
                      <a:avLst/>
                    </a:prstGeom>
                  </pic:spPr>
                </pic:pic>
              </a:graphicData>
            </a:graphic>
          </wp:inline>
        </w:drawing>
      </w:r>
    </w:p>
    <w:p w14:paraId="5B430057" w14:textId="455377E0" w:rsidR="00B06A07" w:rsidRDefault="00B06A07" w:rsidP="00475E28">
      <w:pPr>
        <w:pStyle w:val="Caption"/>
      </w:pPr>
      <w:bookmarkStart w:id="123" w:name="_Ref84848111"/>
      <w:bookmarkStart w:id="124" w:name="_Toc95983474"/>
      <w:r>
        <w:t xml:space="preserve">Figure </w:t>
      </w:r>
      <w:r>
        <w:fldChar w:fldCharType="begin"/>
      </w:r>
      <w:r>
        <w:instrText>SEQ Figure \* ARABIC</w:instrText>
      </w:r>
      <w:r>
        <w:fldChar w:fldCharType="separate"/>
      </w:r>
      <w:r w:rsidR="008D0D42">
        <w:rPr>
          <w:noProof/>
        </w:rPr>
        <w:t>28</w:t>
      </w:r>
      <w:r>
        <w:fldChar w:fldCharType="end"/>
      </w:r>
      <w:bookmarkEnd w:id="123"/>
      <w:r>
        <w:t>. Key additional benefits obtained from EID lifetime traceability</w:t>
      </w:r>
      <w:bookmarkEnd w:id="124"/>
      <w:r>
        <w:t xml:space="preserve"> </w:t>
      </w:r>
    </w:p>
    <w:p w14:paraId="545EBE40" w14:textId="77777777" w:rsidR="00080D87" w:rsidRDefault="00080D87" w:rsidP="00B06A07">
      <w:pPr>
        <w:rPr>
          <w:highlight w:val="yellow"/>
        </w:rPr>
        <w:sectPr w:rsidR="00080D87" w:rsidSect="00080D87">
          <w:pgSz w:w="16838" w:h="11906" w:orient="landscape"/>
          <w:pgMar w:top="1440" w:right="1440" w:bottom="1440" w:left="1440" w:header="709" w:footer="709" w:gutter="0"/>
          <w:cols w:space="708"/>
          <w:titlePg/>
          <w:docGrid w:linePitch="360"/>
        </w:sectPr>
      </w:pPr>
    </w:p>
    <w:p w14:paraId="1405492B" w14:textId="77777777" w:rsidR="00947923" w:rsidRDefault="00947923" w:rsidP="00B06A07">
      <w:pPr>
        <w:rPr>
          <w:highlight w:val="yellow"/>
        </w:rPr>
      </w:pPr>
    </w:p>
    <w:p w14:paraId="0BFE4435" w14:textId="1C93246A" w:rsidR="00B06A07" w:rsidRDefault="00B06A07" w:rsidP="00B06A07"/>
    <w:p w14:paraId="14DB2035" w14:textId="4FF1B029" w:rsidR="00716E09" w:rsidRDefault="009A5F60" w:rsidP="00070999">
      <w:pPr>
        <w:jc w:val="center"/>
      </w:pPr>
      <w:r>
        <w:rPr>
          <w:noProof/>
        </w:rPr>
        <w:object w:dxaOrig="18586" w:dyaOrig="7305" w14:anchorId="331F7F3B">
          <v:shape id="_x0000_i1025" type="#_x0000_t75" alt="" style="width:761.15pt;height:297.15pt;mso-width-percent:0;mso-height-percent:0;mso-width-percent:0;mso-height-percent:0" o:ole="">
            <v:imagedata r:id="rId53" o:title=""/>
          </v:shape>
          <o:OLEObject Type="Embed" ProgID="MindMapper.Document" ShapeID="_x0000_i1025" DrawAspect="Content" ObjectID="_1710843646" r:id="rId54"/>
        </w:object>
      </w:r>
    </w:p>
    <w:p w14:paraId="69889CBB" w14:textId="77777777" w:rsidR="00FD5020" w:rsidRDefault="00FD5020" w:rsidP="00475E28">
      <w:pPr>
        <w:pStyle w:val="Caption"/>
      </w:pPr>
      <w:bookmarkStart w:id="125" w:name="_Ref84848195"/>
    </w:p>
    <w:p w14:paraId="589C3653" w14:textId="3C4E3F39" w:rsidR="007C7F63" w:rsidRDefault="007C7F63" w:rsidP="00475E28">
      <w:pPr>
        <w:pStyle w:val="Caption"/>
      </w:pPr>
      <w:bookmarkStart w:id="126" w:name="_Toc95983475"/>
      <w:r>
        <w:t xml:space="preserve">Figure </w:t>
      </w:r>
      <w:r>
        <w:fldChar w:fldCharType="begin"/>
      </w:r>
      <w:r>
        <w:instrText>SEQ Figure \* ARABIC</w:instrText>
      </w:r>
      <w:r>
        <w:fldChar w:fldCharType="separate"/>
      </w:r>
      <w:r w:rsidR="008D0D42">
        <w:rPr>
          <w:noProof/>
        </w:rPr>
        <w:t>29</w:t>
      </w:r>
      <w:r>
        <w:fldChar w:fldCharType="end"/>
      </w:r>
      <w:bookmarkEnd w:id="125"/>
      <w:r>
        <w:t>. Additional commentary provided for genomic lifetime traceability</w:t>
      </w:r>
      <w:bookmarkEnd w:id="126"/>
      <w:r>
        <w:t xml:space="preserve"> </w:t>
      </w:r>
    </w:p>
    <w:p w14:paraId="7C609563" w14:textId="77777777" w:rsidR="003C6BF0" w:rsidRDefault="003C6BF0" w:rsidP="00C83D90">
      <w:pPr>
        <w:sectPr w:rsidR="003C6BF0" w:rsidSect="003C6BF0">
          <w:pgSz w:w="16838" w:h="11906" w:orient="landscape"/>
          <w:pgMar w:top="1440" w:right="1440" w:bottom="1440" w:left="1440" w:header="709" w:footer="709" w:gutter="0"/>
          <w:cols w:space="708"/>
          <w:titlePg/>
          <w:docGrid w:linePitch="360"/>
        </w:sectPr>
      </w:pPr>
      <w:bookmarkStart w:id="127" w:name="_Hlk84248986"/>
    </w:p>
    <w:p w14:paraId="5FDDA585" w14:textId="77777777" w:rsidR="006D0A7B" w:rsidRDefault="006D0A7B" w:rsidP="006D0A7B">
      <w:pPr>
        <w:pStyle w:val="Heading2"/>
      </w:pPr>
      <w:bookmarkStart w:id="128" w:name="_Toc95983393"/>
      <w:r>
        <w:lastRenderedPageBreak/>
        <w:t>Targeted Interviews</w:t>
      </w:r>
      <w:bookmarkEnd w:id="128"/>
    </w:p>
    <w:p w14:paraId="5523DBEC" w14:textId="77777777" w:rsidR="006D0A7B" w:rsidRDefault="006D0A7B" w:rsidP="006D0A7B">
      <w:pPr>
        <w:rPr>
          <w:b/>
          <w:bCs/>
        </w:rPr>
      </w:pPr>
    </w:p>
    <w:p w14:paraId="5BB8C932" w14:textId="54340F96" w:rsidR="006D0A7B" w:rsidRDefault="006D0A7B" w:rsidP="006D0A7B">
      <w:r>
        <w:t xml:space="preserve">At the commencement of this project, the </w:t>
      </w:r>
      <w:r w:rsidR="006E10A3">
        <w:t>project</w:t>
      </w:r>
      <w:r>
        <w:t xml:space="preserve"> team identified several key stakeholders </w:t>
      </w:r>
      <w:r w:rsidR="004531D0">
        <w:t xml:space="preserve">who could </w:t>
      </w:r>
      <w:r>
        <w:t xml:space="preserve">provide </w:t>
      </w:r>
      <w:r w:rsidR="004531D0">
        <w:t xml:space="preserve">deeper </w:t>
      </w:r>
      <w:r>
        <w:t>insight</w:t>
      </w:r>
      <w:r w:rsidR="004531D0">
        <w:t>s</w:t>
      </w:r>
      <w:r>
        <w:t xml:space="preserve"> into the application of genomics for lifetime traceability th</w:t>
      </w:r>
      <w:r w:rsidR="006E10A3">
        <w:t>a</w:t>
      </w:r>
      <w:r>
        <w:t xml:space="preserve">n </w:t>
      </w:r>
      <w:r w:rsidR="004531D0">
        <w:t xml:space="preserve">was possible </w:t>
      </w:r>
      <w:r>
        <w:t>through the on-line survey. Those stakeholders were contacted, and interviews were held either face to face o</w:t>
      </w:r>
      <w:r w:rsidR="009C20AA">
        <w:t>r</w:t>
      </w:r>
      <w:r>
        <w:t xml:space="preserve"> via video conferencing. The</w:t>
      </w:r>
      <w:r w:rsidR="005F35F3">
        <w:t xml:space="preserve">se </w:t>
      </w:r>
      <w:r w:rsidR="00905724">
        <w:t>targeted interviews involved eight genotyping providers, two peripheral technolog</w:t>
      </w:r>
      <w:r w:rsidR="0073259B">
        <w:t>y providers</w:t>
      </w:r>
      <w:r w:rsidR="00905724">
        <w:t xml:space="preserve">, three processors, </w:t>
      </w:r>
      <w:r w:rsidR="003A0F8E">
        <w:t>two</w:t>
      </w:r>
      <w:r w:rsidR="00905724">
        <w:t xml:space="preserve"> major </w:t>
      </w:r>
      <w:r w:rsidR="003A0F8E">
        <w:t>vertically integrated beef operations, several leading seedstock providers, two breed societ</w:t>
      </w:r>
      <w:r w:rsidR="00C757EE">
        <w:t>ies</w:t>
      </w:r>
      <w:r w:rsidR="003A0F8E">
        <w:t xml:space="preserve"> </w:t>
      </w:r>
      <w:r w:rsidR="00C757EE">
        <w:t>and two technology companies.  The interviews</w:t>
      </w:r>
      <w:r w:rsidR="00905724">
        <w:t xml:space="preserve"> </w:t>
      </w:r>
      <w:r>
        <w:t xml:space="preserve">followed a semi-structured questionnaire and examined </w:t>
      </w:r>
      <w:proofErr w:type="gramStart"/>
      <w:r w:rsidR="00C757EE">
        <w:t>a number of</w:t>
      </w:r>
      <w:proofErr w:type="gramEnd"/>
      <w:r w:rsidR="00C757EE">
        <w:t xml:space="preserve"> </w:t>
      </w:r>
      <w:r w:rsidR="00880802">
        <w:t>themes</w:t>
      </w:r>
      <w:r w:rsidR="00C757EE">
        <w:t xml:space="preserve"> </w:t>
      </w:r>
      <w:r>
        <w:t xml:space="preserve">relating to genomics. </w:t>
      </w:r>
      <w:r w:rsidR="00905724">
        <w:t xml:space="preserve"> </w:t>
      </w:r>
      <w:r>
        <w:t xml:space="preserve">The following sections </w:t>
      </w:r>
      <w:r w:rsidR="006E10A3">
        <w:t xml:space="preserve">are </w:t>
      </w:r>
      <w:r>
        <w:t>from agg</w:t>
      </w:r>
      <w:r w:rsidR="006E10A3">
        <w:t>reg</w:t>
      </w:r>
      <w:r>
        <w:t>ated and de</w:t>
      </w:r>
      <w:r w:rsidR="005F35F3">
        <w:t>-</w:t>
      </w:r>
      <w:r>
        <w:t xml:space="preserve">identified summaries </w:t>
      </w:r>
      <w:r w:rsidR="00880802">
        <w:t>of</w:t>
      </w:r>
      <w:r>
        <w:t xml:space="preserve"> those interviews.</w:t>
      </w:r>
    </w:p>
    <w:p w14:paraId="6C46C681" w14:textId="77777777" w:rsidR="00DC1A65" w:rsidRDefault="00DC1A65" w:rsidP="006D0A7B"/>
    <w:p w14:paraId="5B0B628C" w14:textId="58343574" w:rsidR="006D0A7B" w:rsidRPr="00B6766D" w:rsidRDefault="006D0A7B" w:rsidP="00B6766D">
      <w:pPr>
        <w:pStyle w:val="Heading3"/>
      </w:pPr>
      <w:bookmarkStart w:id="129" w:name="_Toc95983394"/>
      <w:r w:rsidRPr="00B6766D">
        <w:t>Genotyping companies and service providers</w:t>
      </w:r>
      <w:bookmarkEnd w:id="129"/>
    </w:p>
    <w:p w14:paraId="5ED07777" w14:textId="77777777" w:rsidR="006D0A7B" w:rsidRDefault="006D0A7B" w:rsidP="00B6766D">
      <w:pPr>
        <w:keepNext/>
        <w:keepLines/>
      </w:pPr>
    </w:p>
    <w:p w14:paraId="7E83EB91" w14:textId="14B12106" w:rsidR="006D0A7B" w:rsidRDefault="005F35F3" w:rsidP="006D0A7B">
      <w:r>
        <w:t>Representatives of s</w:t>
      </w:r>
      <w:r w:rsidR="006D0A7B">
        <w:t>everal international genotyping companies were interviewed.  In general, there was strong interest in the concept of considering genomics for traceability</w:t>
      </w:r>
      <w:r w:rsidR="000A0249">
        <w:t>, w</w:t>
      </w:r>
      <w:r w:rsidR="006D0A7B">
        <w:t xml:space="preserve">ith most companies keen to see the outcomes of this project and </w:t>
      </w:r>
      <w:r w:rsidR="00CA1B90">
        <w:t xml:space="preserve">potential involvement </w:t>
      </w:r>
      <w:r w:rsidR="00685046">
        <w:t xml:space="preserve">in any </w:t>
      </w:r>
      <w:r w:rsidR="006D0A7B">
        <w:t>proof-of-concept trial</w:t>
      </w:r>
      <w:r w:rsidR="00685046">
        <w:t>s</w:t>
      </w:r>
      <w:r w:rsidR="006D0A7B">
        <w:t>.</w:t>
      </w:r>
      <w:r w:rsidR="000A0249">
        <w:t xml:space="preserve"> </w:t>
      </w:r>
      <w:r w:rsidR="006D0A7B">
        <w:t xml:space="preserve"> All </w:t>
      </w:r>
      <w:r w:rsidR="009F502D">
        <w:t xml:space="preserve">companies represented in these </w:t>
      </w:r>
      <w:r w:rsidR="007C2D1F">
        <w:t>interview</w:t>
      </w:r>
      <w:r w:rsidR="009F502D">
        <w:t>s</w:t>
      </w:r>
      <w:r w:rsidR="007C2D1F">
        <w:t xml:space="preserve"> </w:t>
      </w:r>
      <w:r w:rsidR="006D0A7B">
        <w:t>provide genomic tests for beef</w:t>
      </w:r>
      <w:r w:rsidR="003F59A8">
        <w:t xml:space="preserve"> and sheep</w:t>
      </w:r>
      <w:r w:rsidR="006D0A7B">
        <w:t xml:space="preserve"> seedstock </w:t>
      </w:r>
      <w:r w:rsidR="00665CCF">
        <w:t xml:space="preserve">selection and for management </w:t>
      </w:r>
      <w:r w:rsidR="008C069A">
        <w:t>decisions</w:t>
      </w:r>
      <w:r w:rsidR="009F502D">
        <w:t xml:space="preserve">, with </w:t>
      </w:r>
      <w:r w:rsidR="009C20AA">
        <w:t>retail prices</w:t>
      </w:r>
      <w:r w:rsidR="009F502D">
        <w:t xml:space="preserve"> </w:t>
      </w:r>
      <w:r w:rsidR="006D0A7B">
        <w:t xml:space="preserve">ranging </w:t>
      </w:r>
      <w:r w:rsidR="009F502D">
        <w:t xml:space="preserve">from </w:t>
      </w:r>
      <w:r w:rsidR="006D0A7B">
        <w:t xml:space="preserve">$15 (parentage) through to </w:t>
      </w:r>
      <w:r w:rsidR="0041404F">
        <w:t>$40-$70 (</w:t>
      </w:r>
      <w:r w:rsidR="006D0A7B">
        <w:t>100K SNP chips</w:t>
      </w:r>
      <w:r w:rsidR="0041404F">
        <w:t>)</w:t>
      </w:r>
      <w:r w:rsidR="006D0A7B">
        <w:t xml:space="preserve">. </w:t>
      </w:r>
      <w:r w:rsidR="00295870">
        <w:t xml:space="preserve"> </w:t>
      </w:r>
      <w:r w:rsidR="006D0A7B">
        <w:t xml:space="preserve">All indicated that they see those </w:t>
      </w:r>
      <w:r w:rsidR="008C069A">
        <w:t xml:space="preserve">costs </w:t>
      </w:r>
      <w:r w:rsidR="006D0A7B">
        <w:t xml:space="preserve">decreasing </w:t>
      </w:r>
      <w:r w:rsidR="00295870">
        <w:t xml:space="preserve">somewhat, </w:t>
      </w:r>
      <w:r w:rsidR="006D0A7B">
        <w:t xml:space="preserve">although with current technologies it would be difficult to get tests below $10. </w:t>
      </w:r>
    </w:p>
    <w:p w14:paraId="25F103A0" w14:textId="77777777" w:rsidR="006D0A7B" w:rsidRDefault="006D0A7B" w:rsidP="006D0A7B"/>
    <w:p w14:paraId="2A24E4F9" w14:textId="5113FC93" w:rsidR="006D0A7B" w:rsidRDefault="00295870" w:rsidP="006D0A7B">
      <w:r>
        <w:t>Several</w:t>
      </w:r>
      <w:r w:rsidR="006D0A7B">
        <w:t xml:space="preserve"> companies are offering commercial genomic testing services for traceability</w:t>
      </w:r>
      <w:r w:rsidR="00B85B86">
        <w:t>.  T</w:t>
      </w:r>
      <w:r w:rsidR="006D0A7B">
        <w:t>his is usually within dedicated supply chains and those companies are integrating genomics with blockchain technologies (either internally developed or with third parties) to deliver more information beyond the current traceability</w:t>
      </w:r>
      <w:r w:rsidR="00B85B86">
        <w:t>,</w:t>
      </w:r>
      <w:r w:rsidR="006D0A7B">
        <w:t xml:space="preserve"> including breed, provenance, animal welfare and brand. </w:t>
      </w:r>
      <w:r w:rsidR="00B85B86">
        <w:t xml:space="preserve"> </w:t>
      </w:r>
      <w:r w:rsidR="006D0A7B">
        <w:t xml:space="preserve">However, those supply chains </w:t>
      </w:r>
      <w:r w:rsidR="00B85B86">
        <w:t xml:space="preserve">were </w:t>
      </w:r>
      <w:r w:rsidR="006D0A7B">
        <w:t>usually focussed on high quality</w:t>
      </w:r>
      <w:r w:rsidR="000D3285">
        <w:t>,</w:t>
      </w:r>
      <w:r w:rsidR="006D0A7B">
        <w:t xml:space="preserve"> high value brands where there </w:t>
      </w:r>
      <w:r w:rsidR="000D3285">
        <w:t>are</w:t>
      </w:r>
      <w:r w:rsidR="006D0A7B">
        <w:t xml:space="preserve"> greater incentives for lifetime traceability and product assurance. </w:t>
      </w:r>
      <w:r w:rsidR="000D3285">
        <w:t xml:space="preserve"> </w:t>
      </w:r>
      <w:r w:rsidR="006D0A7B">
        <w:t>In fact, most companies indicated that brand</w:t>
      </w:r>
      <w:r w:rsidR="003F59A8">
        <w:t>ed</w:t>
      </w:r>
      <w:r w:rsidR="006D0A7B">
        <w:t xml:space="preserve"> beef value chains are the most likely entry point for genomic </w:t>
      </w:r>
      <w:r w:rsidR="000D3285">
        <w:t xml:space="preserve">applications for </w:t>
      </w:r>
      <w:r w:rsidR="006D0A7B">
        <w:t xml:space="preserve">traceability. </w:t>
      </w:r>
      <w:r w:rsidR="000D3285">
        <w:t xml:space="preserve"> </w:t>
      </w:r>
      <w:r w:rsidR="006D0A7B">
        <w:t xml:space="preserve">It was noted that </w:t>
      </w:r>
      <w:r w:rsidR="000D3285">
        <w:t xml:space="preserve">the owners of </w:t>
      </w:r>
      <w:r w:rsidR="006D0A7B">
        <w:t xml:space="preserve">such brands may be reluctant to participate in a national scheme that allows competitors to view data and </w:t>
      </w:r>
      <w:r w:rsidR="000D3285">
        <w:t xml:space="preserve">in particular, </w:t>
      </w:r>
      <w:r w:rsidR="006D0A7B">
        <w:t>genomic predictions</w:t>
      </w:r>
      <w:r w:rsidR="000D6FE7">
        <w:t>; although they were generally amenable to participation in some form if it brought economies of scale</w:t>
      </w:r>
      <w:r w:rsidR="006D0A7B">
        <w:t xml:space="preserve">. </w:t>
      </w:r>
    </w:p>
    <w:p w14:paraId="6470E1BF" w14:textId="77777777" w:rsidR="006D0A7B" w:rsidRDefault="006D0A7B" w:rsidP="006D0A7B"/>
    <w:p w14:paraId="59914C8E" w14:textId="7116F0C6" w:rsidR="006D0A7B" w:rsidRDefault="006D0A7B" w:rsidP="006D0A7B">
      <w:r>
        <w:t xml:space="preserve">When asked whether genomics would </w:t>
      </w:r>
      <w:r w:rsidR="003159E6">
        <w:t xml:space="preserve">offer </w:t>
      </w:r>
      <w:r>
        <w:t xml:space="preserve">value for whole of industry traceability, all companies indicated that this would require a significant shift to rapid throughput genomic platforms </w:t>
      </w:r>
      <w:r w:rsidR="009C20AA">
        <w:t>which would need to be</w:t>
      </w:r>
      <w:r>
        <w:t xml:space="preserve"> linked to a large integrated databases with sophisticated analytics and integration procedures.</w:t>
      </w:r>
      <w:r w:rsidR="0029782A">
        <w:t xml:space="preserve"> </w:t>
      </w:r>
      <w:r>
        <w:t xml:space="preserve"> Interviewees indicated that </w:t>
      </w:r>
      <w:r w:rsidR="003159E6">
        <w:t xml:space="preserve">long-term </w:t>
      </w:r>
      <w:r>
        <w:t xml:space="preserve">storage of DNA </w:t>
      </w:r>
      <w:r w:rsidR="003159E6">
        <w:t>is not feasible</w:t>
      </w:r>
      <w:r w:rsidR="005C44EE">
        <w:t>, at least not a large scale</w:t>
      </w:r>
      <w:r>
        <w:t xml:space="preserve">, </w:t>
      </w:r>
      <w:r w:rsidR="0029782A">
        <w:t xml:space="preserve">meaning a </w:t>
      </w:r>
      <w:r>
        <w:t xml:space="preserve">significant </w:t>
      </w:r>
      <w:r w:rsidR="0029782A">
        <w:t xml:space="preserve">investment in </w:t>
      </w:r>
      <w:r w:rsidR="00166FA1">
        <w:t xml:space="preserve">data </w:t>
      </w:r>
      <w:r>
        <w:t>infrastructure</w:t>
      </w:r>
      <w:r w:rsidR="000F4D91">
        <w:t xml:space="preserve"> would be required</w:t>
      </w:r>
      <w:r>
        <w:t>.</w:t>
      </w:r>
      <w:r w:rsidR="00166FA1">
        <w:t xml:space="preserve"> </w:t>
      </w:r>
      <w:r>
        <w:t xml:space="preserve">Some companies </w:t>
      </w:r>
      <w:r w:rsidR="00166FA1">
        <w:t>opined</w:t>
      </w:r>
      <w:r>
        <w:t xml:space="preserve"> that</w:t>
      </w:r>
      <w:r w:rsidRPr="00CC23B7">
        <w:t xml:space="preserve"> only a fully integrated genomic selection </w:t>
      </w:r>
      <w:r w:rsidR="005C44EE">
        <w:t>system</w:t>
      </w:r>
      <w:r w:rsidR="005C44EE" w:rsidRPr="00CC23B7">
        <w:t xml:space="preserve"> </w:t>
      </w:r>
      <w:r w:rsidRPr="00CC23B7">
        <w:t>w</w:t>
      </w:r>
      <w:r w:rsidR="00166FA1">
        <w:t>ould</w:t>
      </w:r>
      <w:r w:rsidRPr="00CC23B7">
        <w:t xml:space="preserve"> have a positive </w:t>
      </w:r>
      <w:r w:rsidR="00166FA1">
        <w:t xml:space="preserve">whole-of-industry </w:t>
      </w:r>
      <w:r>
        <w:t>benefit cost</w:t>
      </w:r>
      <w:r w:rsidR="005C44EE">
        <w:t xml:space="preserve"> ratio</w:t>
      </w:r>
      <w:r>
        <w:t>.</w:t>
      </w:r>
    </w:p>
    <w:p w14:paraId="3632BA34" w14:textId="77777777" w:rsidR="006D0A7B" w:rsidRDefault="006D0A7B" w:rsidP="006D0A7B"/>
    <w:p w14:paraId="531E35D4" w14:textId="6A63FC66" w:rsidR="006D0A7B" w:rsidRDefault="001012BC" w:rsidP="006D0A7B">
      <w:r>
        <w:t>Several</w:t>
      </w:r>
      <w:r w:rsidR="003F59A8">
        <w:t xml:space="preserve"> </w:t>
      </w:r>
      <w:r w:rsidR="006D0A7B">
        <w:t xml:space="preserve">companies considered that </w:t>
      </w:r>
      <w:r w:rsidR="0073426F">
        <w:t>the magnitude of the task</w:t>
      </w:r>
      <w:r>
        <w:t xml:space="preserve"> </w:t>
      </w:r>
      <w:r w:rsidR="006D0A7B">
        <w:t>would require inter</w:t>
      </w:r>
      <w:r w:rsidR="0073426F">
        <w:t>-</w:t>
      </w:r>
      <w:r w:rsidR="006D0A7B">
        <w:t xml:space="preserve">company cooperation using a common platform, whilst others thought that </w:t>
      </w:r>
      <w:r w:rsidR="003F59A8">
        <w:t>genomic technology</w:t>
      </w:r>
      <w:r w:rsidR="006D0A7B">
        <w:t xml:space="preserve"> would </w:t>
      </w:r>
      <w:r w:rsidR="003F59A8">
        <w:t xml:space="preserve">be </w:t>
      </w:r>
      <w:r w:rsidR="006D0A7B">
        <w:t>adopt</w:t>
      </w:r>
      <w:r w:rsidR="003F59A8">
        <w:t>ed</w:t>
      </w:r>
      <w:r w:rsidR="006D0A7B">
        <w:t xml:space="preserve"> supply chain by supply chain</w:t>
      </w:r>
      <w:r>
        <w:t xml:space="preserve">, which in turn </w:t>
      </w:r>
      <w:r w:rsidR="006D0A7B">
        <w:t xml:space="preserve">would </w:t>
      </w:r>
      <w:r w:rsidR="005D0F28">
        <w:t>allow time</w:t>
      </w:r>
      <w:r w:rsidR="006D0A7B">
        <w:t xml:space="preserve"> to build new capacity and capability</w:t>
      </w:r>
      <w:r w:rsidR="003F59A8">
        <w:t xml:space="preserve"> if a whole of industry solution is required</w:t>
      </w:r>
      <w:r w:rsidR="006D0A7B">
        <w:t xml:space="preserve">.  </w:t>
      </w:r>
      <w:r w:rsidR="005D0F28">
        <w:t xml:space="preserve">Some </w:t>
      </w:r>
      <w:r w:rsidR="006D0A7B">
        <w:t xml:space="preserve">companies commented that emerging technologies such as </w:t>
      </w:r>
      <w:r w:rsidR="00B409AE">
        <w:t>genotyping-by-sequencing (</w:t>
      </w:r>
      <w:r w:rsidR="006D0A7B">
        <w:t>GBS</w:t>
      </w:r>
      <w:r w:rsidR="00B409AE">
        <w:t>)</w:t>
      </w:r>
      <w:r w:rsidR="006D0A7B">
        <w:t>, nanopore and</w:t>
      </w:r>
      <w:r w:rsidR="006D0A7B" w:rsidRPr="009F34F9">
        <w:t xml:space="preserve"> </w:t>
      </w:r>
      <w:r w:rsidR="006D0A7B">
        <w:t>l</w:t>
      </w:r>
      <w:r w:rsidR="006D0A7B" w:rsidRPr="009F34F9">
        <w:t xml:space="preserve">ow pass sequencing </w:t>
      </w:r>
      <w:r w:rsidR="006D0A7B">
        <w:t xml:space="preserve">(LPS) may have application for this task and would improve throughput and reduce time lags in obtaining results, but most thought that </w:t>
      </w:r>
      <w:r w:rsidR="00A6434A">
        <w:t>it will be</w:t>
      </w:r>
      <w:r w:rsidR="006D0A7B">
        <w:t xml:space="preserve"> at least 2-5 years </w:t>
      </w:r>
      <w:r w:rsidR="00A6434A">
        <w:t>before</w:t>
      </w:r>
      <w:r w:rsidR="006D0A7B">
        <w:t xml:space="preserve"> commercial implementatio</w:t>
      </w:r>
      <w:r w:rsidR="00A6434A">
        <w:t xml:space="preserve">n </w:t>
      </w:r>
      <w:r w:rsidR="003F59A8">
        <w:t xml:space="preserve">of such innovations </w:t>
      </w:r>
      <w:r w:rsidR="00A6434A">
        <w:t>will be possible</w:t>
      </w:r>
      <w:r w:rsidR="006D0A7B">
        <w:t xml:space="preserve">. </w:t>
      </w:r>
    </w:p>
    <w:p w14:paraId="4903F728" w14:textId="77777777" w:rsidR="006D0A7B" w:rsidRDefault="006D0A7B" w:rsidP="006D0A7B"/>
    <w:p w14:paraId="382D9E03" w14:textId="537BA4F7" w:rsidR="006D0A7B" w:rsidRPr="004D3925" w:rsidRDefault="008F72DA" w:rsidP="006D0A7B">
      <w:r>
        <w:lastRenderedPageBreak/>
        <w:t xml:space="preserve">Another notable </w:t>
      </w:r>
      <w:r w:rsidR="00631C2A">
        <w:t>view</w:t>
      </w:r>
      <w:r>
        <w:t xml:space="preserve">point </w:t>
      </w:r>
      <w:r w:rsidR="00631C2A">
        <w:t>was</w:t>
      </w:r>
      <w:r w:rsidR="006D0A7B">
        <w:t xml:space="preserve"> that the dairy industry will drive innovation </w:t>
      </w:r>
      <w:r w:rsidR="00840F57">
        <w:t xml:space="preserve">in </w:t>
      </w:r>
      <w:r w:rsidR="006D0A7B">
        <w:t>cattle genomics and potentially will adopt lifetime traceability more readily</w:t>
      </w:r>
      <w:r w:rsidR="00631C2A">
        <w:t>,</w:t>
      </w:r>
      <w:r w:rsidR="006D0A7B">
        <w:t xml:space="preserve"> due to </w:t>
      </w:r>
      <w:r w:rsidR="00631C2A">
        <w:t xml:space="preserve">greater </w:t>
      </w:r>
      <w:r w:rsidR="006D0A7B">
        <w:t xml:space="preserve">use of genomics for performance prediction. </w:t>
      </w:r>
      <w:r w:rsidR="00AA652B">
        <w:t xml:space="preserve"> </w:t>
      </w:r>
      <w:r w:rsidR="006D0A7B">
        <w:t xml:space="preserve">Interviewees also indicated </w:t>
      </w:r>
      <w:r w:rsidR="00631C2A">
        <w:t>a</w:t>
      </w:r>
      <w:r w:rsidR="006D0A7B">
        <w:t xml:space="preserve"> </w:t>
      </w:r>
      <w:r w:rsidR="00631C2A">
        <w:t xml:space="preserve">belief </w:t>
      </w:r>
      <w:r w:rsidR="006D0A7B">
        <w:t xml:space="preserve">that genomics will not provide a solution that allows movement tracking, </w:t>
      </w:r>
      <w:r w:rsidR="00840F57">
        <w:t>so that</w:t>
      </w:r>
      <w:r w:rsidR="006D0A7B">
        <w:t xml:space="preserve"> integration with EID or similar technologies will be required. </w:t>
      </w:r>
      <w:r w:rsidR="00FD04BD">
        <w:t xml:space="preserve"> </w:t>
      </w:r>
      <w:r w:rsidR="00840F57">
        <w:t>Notably,</w:t>
      </w:r>
      <w:r w:rsidR="006D0A7B">
        <w:t xml:space="preserve"> several of these companies are investing in alternative technologies to tags</w:t>
      </w:r>
      <w:r>
        <w:t>,</w:t>
      </w:r>
      <w:r w:rsidR="006D0A7B">
        <w:t xml:space="preserve"> including facial recognition and retinal scanning as a value</w:t>
      </w:r>
      <w:r>
        <w:t>-</w:t>
      </w:r>
      <w:r w:rsidR="006D0A7B">
        <w:t>add to genom</w:t>
      </w:r>
      <w:r w:rsidR="006E10A3">
        <w:t>i</w:t>
      </w:r>
      <w:r w:rsidR="006D0A7B">
        <w:t xml:space="preserve">cs. </w:t>
      </w:r>
      <w:bookmarkEnd w:id="127"/>
    </w:p>
    <w:p w14:paraId="4913A2D2" w14:textId="0C79696B" w:rsidR="006D0A7B" w:rsidRDefault="006D0A7B" w:rsidP="006D0A7B"/>
    <w:p w14:paraId="3F8B0A25" w14:textId="7B61C53A" w:rsidR="005B499B" w:rsidRDefault="005B499B" w:rsidP="005B499B">
      <w:pPr>
        <w:pStyle w:val="Heading3"/>
      </w:pPr>
      <w:bookmarkStart w:id="130" w:name="_Toc95983395"/>
      <w:r>
        <w:t>Vertically integrated companies</w:t>
      </w:r>
      <w:bookmarkEnd w:id="130"/>
      <w:r>
        <w:t xml:space="preserve"> </w:t>
      </w:r>
    </w:p>
    <w:p w14:paraId="28CDDBBB" w14:textId="638EC7D1" w:rsidR="005B499B" w:rsidRDefault="005B499B" w:rsidP="006D0A7B"/>
    <w:p w14:paraId="77948CA4" w14:textId="1FCC396C" w:rsidR="003F59A8" w:rsidRDefault="003F59A8" w:rsidP="006D0A7B">
      <w:r>
        <w:t xml:space="preserve">Some </w:t>
      </w:r>
      <w:r w:rsidR="00FD04BD">
        <w:t>major</w:t>
      </w:r>
      <w:r>
        <w:t xml:space="preserve"> vertically integrated companies (those with production, </w:t>
      </w:r>
      <w:proofErr w:type="gramStart"/>
      <w:r>
        <w:t>feedlot</w:t>
      </w:r>
      <w:proofErr w:type="gramEnd"/>
      <w:r>
        <w:t xml:space="preserve"> and processing) were interviewed. In general, there was solid interest in the application of genomic technologies, but more for screening and prediction of animals</w:t>
      </w:r>
      <w:r w:rsidR="00FD04BD">
        <w:t>’</w:t>
      </w:r>
      <w:r>
        <w:t xml:space="preserve"> merit, rather than traceability. In fact, those companies indicated that they see genomic traceability as an additional benefit rather than a direct </w:t>
      </w:r>
      <w:r w:rsidR="0028051C">
        <w:t>goal</w:t>
      </w:r>
      <w:r>
        <w:t xml:space="preserve">. </w:t>
      </w:r>
      <w:r w:rsidR="00FD352D">
        <w:t xml:space="preserve"> </w:t>
      </w:r>
      <w:r>
        <w:t>Most companies were interested in being contacted about further pilot work</w:t>
      </w:r>
      <w:r w:rsidR="00B72554">
        <w:t xml:space="preserve"> and are probably the most likely candidate</w:t>
      </w:r>
      <w:r w:rsidR="00FD352D">
        <w:t xml:space="preserve">s for </w:t>
      </w:r>
      <w:r w:rsidR="00B72554">
        <w:t>trial</w:t>
      </w:r>
      <w:r w:rsidR="00FD352D">
        <w:t>ling</w:t>
      </w:r>
      <w:r w:rsidR="00B72554">
        <w:t xml:space="preserve"> implementation of genomic technologies</w:t>
      </w:r>
      <w:r w:rsidR="00FD352D">
        <w:t xml:space="preserve"> for traceability</w:t>
      </w:r>
      <w:r w:rsidR="00B72554">
        <w:t xml:space="preserve">. </w:t>
      </w:r>
    </w:p>
    <w:p w14:paraId="5733868B" w14:textId="77777777" w:rsidR="0028051C" w:rsidRDefault="0028051C">
      <w:pPr>
        <w:rPr>
          <w:b/>
          <w:bCs/>
          <w:highlight w:val="green"/>
        </w:rPr>
      </w:pPr>
      <w:bookmarkStart w:id="131" w:name="_Hlk80790987"/>
      <w:r>
        <w:rPr>
          <w:b/>
          <w:bCs/>
          <w:highlight w:val="green"/>
        </w:rPr>
        <w:br w:type="page"/>
      </w:r>
    </w:p>
    <w:p w14:paraId="6A567998" w14:textId="77777777" w:rsidR="00175AD2" w:rsidRPr="00F703DB" w:rsidRDefault="00175AD2" w:rsidP="00175AD2">
      <w:pPr>
        <w:pStyle w:val="Heading1"/>
      </w:pPr>
      <w:bookmarkStart w:id="132" w:name="_Toc95983396"/>
      <w:r w:rsidRPr="00F703DB">
        <w:lastRenderedPageBreak/>
        <w:t>Requirements of an operational DNA-based tracing system</w:t>
      </w:r>
      <w:bookmarkEnd w:id="132"/>
    </w:p>
    <w:p w14:paraId="1283A439" w14:textId="77777777" w:rsidR="00175AD2" w:rsidRDefault="00175AD2" w:rsidP="00175AD2">
      <w:pPr>
        <w:rPr>
          <w:b/>
          <w:bCs/>
          <w:highlight w:val="green"/>
        </w:rPr>
      </w:pPr>
    </w:p>
    <w:p w14:paraId="5F3FD6AD" w14:textId="77777777" w:rsidR="00175AD2" w:rsidRDefault="00175AD2" w:rsidP="00175AD2">
      <w:r>
        <w:t>There are three main components to a DNA-based traceability system:</w:t>
      </w:r>
    </w:p>
    <w:p w14:paraId="2F1B9EFD" w14:textId="77777777" w:rsidR="00175AD2" w:rsidRDefault="00175AD2" w:rsidP="00175AD2"/>
    <w:p w14:paraId="51AF1837" w14:textId="4F0289E0" w:rsidR="00175AD2" w:rsidRDefault="00175AD2" w:rsidP="00175AD2">
      <w:pPr>
        <w:pStyle w:val="Heading2"/>
      </w:pPr>
      <w:bookmarkStart w:id="133" w:name="_Toc95983397"/>
      <w:r w:rsidRPr="008862B4">
        <w:t>Genotyping</w:t>
      </w:r>
      <w:bookmarkEnd w:id="133"/>
    </w:p>
    <w:p w14:paraId="2F703563" w14:textId="77777777" w:rsidR="001A0692" w:rsidRPr="001A0692" w:rsidRDefault="001A0692" w:rsidP="001A0692"/>
    <w:p w14:paraId="4540DAAF" w14:textId="7EF54232" w:rsidR="00175AD2" w:rsidRDefault="00175AD2" w:rsidP="00175AD2">
      <w:r>
        <w:t xml:space="preserve">This requires a tissue sample from the animal, which needs to be transported to a laboratory for DNA extraction and </w:t>
      </w:r>
      <w:r w:rsidR="000F4D91">
        <w:t>genotyping</w:t>
      </w:r>
      <w:r>
        <w:t xml:space="preserve">.  The </w:t>
      </w:r>
      <w:r w:rsidR="00D9492B">
        <w:t>genotype</w:t>
      </w:r>
      <w:r>
        <w:t>, probably containing about 50k DNA loci, is then stored in a dedicated database. If necessary</w:t>
      </w:r>
      <w:r w:rsidR="00D9492B">
        <w:t xml:space="preserve"> and with an adequate reference established</w:t>
      </w:r>
      <w:r>
        <w:t xml:space="preserve">, a 50k </w:t>
      </w:r>
      <w:r w:rsidR="00D9492B">
        <w:t xml:space="preserve">genotype </w:t>
      </w:r>
      <w:r>
        <w:t>can be imputed to a full genomic sequence with a high degree of accuracy.</w:t>
      </w:r>
    </w:p>
    <w:p w14:paraId="64124A35" w14:textId="77777777" w:rsidR="00175AD2" w:rsidRDefault="00175AD2" w:rsidP="00175AD2"/>
    <w:p w14:paraId="2CB5BCE8" w14:textId="7EBCD6BA" w:rsidR="00175AD2" w:rsidRDefault="00175AD2" w:rsidP="00175AD2">
      <w:pPr>
        <w:pStyle w:val="Heading2"/>
      </w:pPr>
      <w:bookmarkStart w:id="134" w:name="_Toc95983398"/>
      <w:r w:rsidRPr="008862B4">
        <w:t>Database</w:t>
      </w:r>
      <w:bookmarkEnd w:id="134"/>
      <w:r w:rsidRPr="008862B4">
        <w:t xml:space="preserve"> </w:t>
      </w:r>
    </w:p>
    <w:p w14:paraId="2D868D84" w14:textId="77777777" w:rsidR="001A0692" w:rsidRPr="001A0692" w:rsidRDefault="001A0692" w:rsidP="001A0692"/>
    <w:p w14:paraId="531CC81A" w14:textId="77777777" w:rsidR="00175AD2" w:rsidRDefault="00175AD2" w:rsidP="00175AD2">
      <w:r>
        <w:t xml:space="preserve">The genomic database must be linked to the current NLIS database to establish identity, </w:t>
      </w:r>
      <w:proofErr w:type="gramStart"/>
      <w:r>
        <w:t>PIC</w:t>
      </w:r>
      <w:proofErr w:type="gramEnd"/>
      <w:r>
        <w:t xml:space="preserve"> and initial ownership.  There is also the potential to create links with other databases such as MSA, BREEDPLAN, Sheep Genetics, a chemical profile database etc. </w:t>
      </w:r>
    </w:p>
    <w:p w14:paraId="123573A7" w14:textId="77777777" w:rsidR="00175AD2" w:rsidRDefault="00175AD2" w:rsidP="00175AD2"/>
    <w:p w14:paraId="27A277DB" w14:textId="1DEFC2D1" w:rsidR="00175AD2" w:rsidRDefault="00175AD2" w:rsidP="00175AD2">
      <w:pPr>
        <w:pStyle w:val="Heading2"/>
      </w:pPr>
      <w:bookmarkStart w:id="135" w:name="_Toc95983399"/>
      <w:r w:rsidRPr="008862B4">
        <w:t>Analytics</w:t>
      </w:r>
      <w:bookmarkEnd w:id="135"/>
    </w:p>
    <w:p w14:paraId="121198CE" w14:textId="77777777" w:rsidR="001A0692" w:rsidRPr="001A0692" w:rsidRDefault="001A0692" w:rsidP="001A0692"/>
    <w:p w14:paraId="1EDCCA27" w14:textId="66FDEB8D" w:rsidR="00175AD2" w:rsidRDefault="00175AD2" w:rsidP="00175AD2">
      <w:r>
        <w:t xml:space="preserve">DNA taken from a case animal or animal product is </w:t>
      </w:r>
      <w:r w:rsidR="00267E27">
        <w:t>genotyped</w:t>
      </w:r>
      <w:r>
        <w:t xml:space="preserve"> and matched to genotypes in the database by determining similarity to an individual or alternatively, to a sire, sire team, </w:t>
      </w:r>
      <w:proofErr w:type="gramStart"/>
      <w:r>
        <w:t>herd</w:t>
      </w:r>
      <w:proofErr w:type="gramEnd"/>
      <w:r>
        <w:t xml:space="preserve"> or flock sample, breed etc. If necessary, the DNA identity can be aligned with other indicators of origin (</w:t>
      </w:r>
      <w:proofErr w:type="gramStart"/>
      <w:r w:rsidRPr="00F703DB">
        <w:rPr>
          <w:i/>
          <w:iCs/>
        </w:rPr>
        <w:t>e.g.</w:t>
      </w:r>
      <w:proofErr w:type="gramEnd"/>
      <w:r>
        <w:t xml:space="preserve"> PIC or mineral profile) and the genetic profile can be used, in conjunction with a phenotypic database, to predict an animal’s merit for specific production pathways and/or breeding.</w:t>
      </w:r>
    </w:p>
    <w:p w14:paraId="1743F97C" w14:textId="77777777" w:rsidR="00175AD2" w:rsidRDefault="00175AD2" w:rsidP="00175AD2"/>
    <w:p w14:paraId="25C6D02F" w14:textId="77777777" w:rsidR="00175AD2" w:rsidRDefault="00175AD2" w:rsidP="00070999">
      <w:pPr>
        <w:jc w:val="center"/>
      </w:pPr>
      <w:r>
        <w:rPr>
          <w:noProof/>
        </w:rPr>
        <w:drawing>
          <wp:inline distT="0" distB="0" distL="0" distR="0" wp14:anchorId="382152E8" wp14:editId="4A3690EA">
            <wp:extent cx="5848350" cy="279149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889544" cy="2811155"/>
                    </a:xfrm>
                    <a:prstGeom prst="rect">
                      <a:avLst/>
                    </a:prstGeom>
                    <a:ln>
                      <a:noFill/>
                    </a:ln>
                    <a:extLst>
                      <a:ext uri="{53640926-AAD7-44D8-BBD7-CCE9431645EC}">
                        <a14:shadowObscured xmlns:a14="http://schemas.microsoft.com/office/drawing/2010/main"/>
                      </a:ext>
                    </a:extLst>
                  </pic:spPr>
                </pic:pic>
              </a:graphicData>
            </a:graphic>
          </wp:inline>
        </w:drawing>
      </w:r>
    </w:p>
    <w:p w14:paraId="572D4F26" w14:textId="6E0C5305" w:rsidR="00175AD2" w:rsidRPr="00AA097F" w:rsidRDefault="00175AD2" w:rsidP="00475E28">
      <w:pPr>
        <w:pStyle w:val="Caption"/>
      </w:pPr>
      <w:bookmarkStart w:id="136" w:name="_Toc95983476"/>
      <w:r>
        <w:t xml:space="preserve">Figure </w:t>
      </w:r>
      <w:r>
        <w:fldChar w:fldCharType="begin"/>
      </w:r>
      <w:r>
        <w:instrText>SEQ Figure \* ARABIC</w:instrText>
      </w:r>
      <w:r>
        <w:fldChar w:fldCharType="separate"/>
      </w:r>
      <w:r w:rsidR="008D0D42">
        <w:rPr>
          <w:noProof/>
        </w:rPr>
        <w:t>30</w:t>
      </w:r>
      <w:r>
        <w:fldChar w:fldCharType="end"/>
      </w:r>
      <w:r>
        <w:t xml:space="preserve">.  </w:t>
      </w:r>
      <w:r w:rsidRPr="00AA097F">
        <w:t>Components of the current tracking system, illustrating how identification through genotyping can augment NLIS tags</w:t>
      </w:r>
      <w:bookmarkEnd w:id="136"/>
    </w:p>
    <w:p w14:paraId="004247DD" w14:textId="77777777" w:rsidR="00175AD2" w:rsidRDefault="00175AD2" w:rsidP="00175AD2"/>
    <w:p w14:paraId="09CBA1B6" w14:textId="77777777" w:rsidR="00175AD2" w:rsidRDefault="00175AD2" w:rsidP="00175AD2"/>
    <w:p w14:paraId="64076DFA" w14:textId="35145C75" w:rsidR="00175AD2" w:rsidRDefault="00175AD2" w:rsidP="00175AD2">
      <w:pPr>
        <w:pStyle w:val="Heading2"/>
      </w:pPr>
      <w:bookmarkStart w:id="137" w:name="_Toc95983400"/>
      <w:r w:rsidRPr="00BA233A">
        <w:t>Benefits of genotyping</w:t>
      </w:r>
      <w:bookmarkEnd w:id="137"/>
    </w:p>
    <w:p w14:paraId="692BC3C7" w14:textId="77777777" w:rsidR="001A0692" w:rsidRPr="001A0692" w:rsidRDefault="001A0692" w:rsidP="001A0692"/>
    <w:p w14:paraId="4E2CDBF3" w14:textId="77777777" w:rsidR="00175AD2" w:rsidRDefault="00175AD2" w:rsidP="00175AD2">
      <w:r>
        <w:t xml:space="preserve">In principle, genotyping can be a relatively simple procedure, requiring the taking of a tissue sample and despatching it to a processing laboratory where it can be automatically logged into a database.  </w:t>
      </w:r>
      <w:r>
        <w:lastRenderedPageBreak/>
        <w:t xml:space="preserve">This process is already well-established when genotyping for the purpose of genetic evaluation.  With good laboratory practice, sample matching can essentially be error-free and DNA profiles can be stored in perpetuity in electronic form.  Information can be made accessible to the entire value chain through to consumers.  </w:t>
      </w:r>
    </w:p>
    <w:p w14:paraId="29FECF12" w14:textId="77777777" w:rsidR="00175AD2" w:rsidRDefault="00175AD2" w:rsidP="00175AD2"/>
    <w:p w14:paraId="2F5ABE8E" w14:textId="39E09F29" w:rsidR="00175AD2" w:rsidRDefault="00175AD2" w:rsidP="00175AD2">
      <w:r>
        <w:t xml:space="preserve">Direct benefits include enhanced provenance ascertainment as well as estimates (from the genome) of disease risk and other animal performance attributes.  In principle, it should be relatively straightforward to link samples to an individual, a breed, a sire </w:t>
      </w:r>
      <w:proofErr w:type="gramStart"/>
      <w:r>
        <w:t>team</w:t>
      </w:r>
      <w:proofErr w:type="gramEnd"/>
      <w:r>
        <w:t xml:space="preserve"> or a composite mob-based sample.  A major ancillary benefit is the ability to employ a suite of predictive tools to enhance decision-making on samples taken as early as birth or weaning, as is done already by progressive breeders.  Others to potentially derive direct benefits are the production, finishing, </w:t>
      </w:r>
      <w:proofErr w:type="gramStart"/>
      <w:r>
        <w:t>processing</w:t>
      </w:r>
      <w:proofErr w:type="gramEnd"/>
      <w:r>
        <w:t xml:space="preserve"> and marketing sectors. </w:t>
      </w:r>
      <w:r w:rsidR="00E73305">
        <w:t xml:space="preserve"> A significant opportunity exists with many animals genotyped that industry wide collected data on animal attributes, </w:t>
      </w:r>
      <w:proofErr w:type="gramStart"/>
      <w:r w:rsidR="00E73305">
        <w:t>e.g.</w:t>
      </w:r>
      <w:proofErr w:type="gramEnd"/>
      <w:r w:rsidR="00E73305">
        <w:t xml:space="preserve"> data from abattoirs, can be linked with the DNA profile of these animals, and this would contribute to larger reference populations that can be used for more accurate genomic prediction of future animals.  </w:t>
      </w:r>
      <w:r>
        <w:t>Linked databases could also provide a powerful resource for related R&amp;D along the value chain.</w:t>
      </w:r>
    </w:p>
    <w:p w14:paraId="073C6CFC" w14:textId="5D715F7B" w:rsidR="000003C4" w:rsidRDefault="000003C4" w:rsidP="00175AD2"/>
    <w:p w14:paraId="6168E1D9" w14:textId="7B9DA5B4" w:rsidR="000003C4" w:rsidRDefault="000003C4" w:rsidP="00175AD2">
      <w:r>
        <w:t>Additional benefits identified included the identification of fraudulent claims on genetic origin (that is animals being ascribed to a particular parent or breed, which could be extended to the identifying illegal importation of genetics to unlawful use of breeding stock.</w:t>
      </w:r>
    </w:p>
    <w:p w14:paraId="474D1F55" w14:textId="77777777" w:rsidR="00175AD2" w:rsidRDefault="00175AD2" w:rsidP="00175AD2"/>
    <w:p w14:paraId="74B7E03C" w14:textId="6C9B5B36" w:rsidR="00175AD2" w:rsidRDefault="00175AD2" w:rsidP="00175AD2">
      <w:r>
        <w:t xml:space="preserve">Balanced against the potential advantages are additional infrastructure costs and well as implementation costs of $40-$50 per animal, compared with around $5 for the current tag-based NLIS.  Consequently, some initial modelling has been undertaken to determine the economic case for a range of implementation models.  </w:t>
      </w:r>
    </w:p>
    <w:p w14:paraId="4D224E44" w14:textId="77777777" w:rsidR="00175AD2" w:rsidRDefault="00175AD2" w:rsidP="00175AD2">
      <w:pPr>
        <w:rPr>
          <w:rFonts w:asciiTheme="majorHAnsi" w:eastAsiaTheme="majorEastAsia" w:hAnsiTheme="majorHAnsi" w:cstheme="majorBidi"/>
          <w:color w:val="1F3B15" w:themeColor="accent1" w:themeShade="BF"/>
          <w:sz w:val="26"/>
          <w:szCs w:val="26"/>
        </w:rPr>
      </w:pPr>
    </w:p>
    <w:p w14:paraId="7CFA7207" w14:textId="77777777" w:rsidR="00D44F39" w:rsidRDefault="00D44F39">
      <w:pPr>
        <w:rPr>
          <w:rFonts w:asciiTheme="majorHAnsi" w:eastAsiaTheme="majorEastAsia" w:hAnsiTheme="majorHAnsi" w:cstheme="majorBidi"/>
          <w:color w:val="0070C0"/>
          <w:sz w:val="32"/>
          <w:szCs w:val="32"/>
        </w:rPr>
      </w:pPr>
      <w:r>
        <w:br w:type="page"/>
      </w:r>
    </w:p>
    <w:p w14:paraId="32C6C353" w14:textId="77777777" w:rsidR="006A60FF" w:rsidRPr="006B1B84" w:rsidRDefault="006A60FF" w:rsidP="001B608A">
      <w:pPr>
        <w:pStyle w:val="Heading1"/>
      </w:pPr>
      <w:bookmarkStart w:id="138" w:name="_Ref89940684"/>
      <w:bookmarkStart w:id="139" w:name="_Ref89940695"/>
      <w:bookmarkStart w:id="140" w:name="_Toc95983401"/>
      <w:bookmarkStart w:id="141" w:name="_Hlk87878330"/>
      <w:r w:rsidRPr="006B1B84">
        <w:lastRenderedPageBreak/>
        <w:t>DNA technology and traceability – economic aspects</w:t>
      </w:r>
      <w:bookmarkEnd w:id="138"/>
      <w:bookmarkEnd w:id="139"/>
      <w:bookmarkEnd w:id="140"/>
    </w:p>
    <w:p w14:paraId="414B629F" w14:textId="77777777" w:rsidR="006207A4" w:rsidRDefault="006207A4" w:rsidP="00751214"/>
    <w:p w14:paraId="7E1509D2" w14:textId="47CEAADB" w:rsidR="00DF2692" w:rsidRDefault="00751214" w:rsidP="00751214">
      <w:r>
        <w:t>An important te</w:t>
      </w:r>
      <w:r w:rsidR="008330AF">
        <w:t xml:space="preserve">net used to justify the introduction of traceability </w:t>
      </w:r>
      <w:r w:rsidR="00CB35E1">
        <w:t xml:space="preserve">through the NLIS </w:t>
      </w:r>
      <w:r w:rsidR="008330AF">
        <w:t xml:space="preserve">is the greatly increased </w:t>
      </w:r>
      <w:r w:rsidR="00B707EF">
        <w:t>power</w:t>
      </w:r>
      <w:r w:rsidR="008330AF">
        <w:t xml:space="preserve"> it brings </w:t>
      </w:r>
      <w:r w:rsidR="00092D45">
        <w:t>for</w:t>
      </w:r>
      <w:r w:rsidR="00A63ABC">
        <w:t xml:space="preserve"> </w:t>
      </w:r>
      <w:r w:rsidR="008330AF">
        <w:t xml:space="preserve">the </w:t>
      </w:r>
      <w:r w:rsidR="00DA4BE8">
        <w:t>tracking</w:t>
      </w:r>
      <w:r w:rsidR="00A63ABC">
        <w:t xml:space="preserve">, </w:t>
      </w:r>
      <w:proofErr w:type="gramStart"/>
      <w:r w:rsidR="00A63ABC">
        <w:t>management</w:t>
      </w:r>
      <w:proofErr w:type="gramEnd"/>
      <w:r w:rsidR="00A63ABC">
        <w:t xml:space="preserve"> and control of major </w:t>
      </w:r>
      <w:r w:rsidR="00D90D69">
        <w:t xml:space="preserve">exotic </w:t>
      </w:r>
      <w:r w:rsidR="00A63ABC">
        <w:t>disease outbreaks.</w:t>
      </w:r>
      <w:r w:rsidR="00816228">
        <w:t xml:space="preserve">  Several studies have been undertaken to determine the potential costs of such outbreaks (</w:t>
      </w:r>
      <w:r w:rsidR="0034598A" w:rsidRPr="0034598A">
        <w:t>P</w:t>
      </w:r>
      <w:r w:rsidR="0034598A">
        <w:t xml:space="preserve">roductivity Commission </w:t>
      </w:r>
      <w:r w:rsidR="0034598A" w:rsidRPr="0034598A">
        <w:t>2002</w:t>
      </w:r>
      <w:r w:rsidR="003C510B">
        <w:rPr>
          <w:rStyle w:val="FootnoteReference"/>
        </w:rPr>
        <w:footnoteReference w:id="57"/>
      </w:r>
      <w:r w:rsidR="0034598A">
        <w:t xml:space="preserve">; </w:t>
      </w:r>
      <w:r w:rsidR="0034598A" w:rsidRPr="0034598A">
        <w:t>Matthews</w:t>
      </w:r>
      <w:r w:rsidR="0034598A">
        <w:t xml:space="preserve"> </w:t>
      </w:r>
      <w:r w:rsidR="0034598A" w:rsidRPr="0034598A">
        <w:t>2011</w:t>
      </w:r>
      <w:r w:rsidR="002B08C5">
        <w:rPr>
          <w:rStyle w:val="FootnoteReference"/>
        </w:rPr>
        <w:footnoteReference w:id="58"/>
      </w:r>
      <w:r w:rsidR="0034598A">
        <w:t>;</w:t>
      </w:r>
      <w:r w:rsidR="0034598A" w:rsidRPr="0034598A">
        <w:t xml:space="preserve"> </w:t>
      </w:r>
      <w:proofErr w:type="spellStart"/>
      <w:r w:rsidR="0034598A" w:rsidRPr="0034598A">
        <w:t>Buetre</w:t>
      </w:r>
      <w:proofErr w:type="spellEnd"/>
      <w:r w:rsidR="0034598A" w:rsidRPr="0034598A">
        <w:t xml:space="preserve"> </w:t>
      </w:r>
      <w:r w:rsidR="0034598A" w:rsidRPr="001B608A">
        <w:rPr>
          <w:i/>
          <w:iCs/>
        </w:rPr>
        <w:t>et al</w:t>
      </w:r>
      <w:r w:rsidR="0034598A" w:rsidRPr="0034598A">
        <w:t>.</w:t>
      </w:r>
      <w:r w:rsidR="0034598A">
        <w:t xml:space="preserve"> </w:t>
      </w:r>
      <w:r w:rsidR="0034598A" w:rsidRPr="0034598A">
        <w:t>2013</w:t>
      </w:r>
      <w:r w:rsidR="00972180">
        <w:rPr>
          <w:rStyle w:val="FootnoteReference"/>
        </w:rPr>
        <w:footnoteReference w:id="59"/>
      </w:r>
      <w:r w:rsidR="0034598A">
        <w:t xml:space="preserve">, </w:t>
      </w:r>
      <w:r w:rsidR="0034598A" w:rsidRPr="0034598A">
        <w:t>ABARES</w:t>
      </w:r>
      <w:r w:rsidR="0034598A">
        <w:t xml:space="preserve"> </w:t>
      </w:r>
      <w:r w:rsidR="0034598A" w:rsidRPr="0034598A">
        <w:t>2014</w:t>
      </w:r>
      <w:r w:rsidR="00A95A9F">
        <w:rPr>
          <w:rStyle w:val="FootnoteReference"/>
        </w:rPr>
        <w:footnoteReference w:id="60"/>
      </w:r>
      <w:r w:rsidR="0034598A">
        <w:t>)</w:t>
      </w:r>
      <w:r w:rsidR="00A95A9F">
        <w:t>.</w:t>
      </w:r>
      <w:r w:rsidR="009709DC">
        <w:t xml:space="preserve">  Estimates from these studies have been used in benefit-cost analyses of NLIS</w:t>
      </w:r>
      <w:r w:rsidR="009B21C7">
        <w:t xml:space="preserve"> </w:t>
      </w:r>
      <w:r w:rsidR="002204BD">
        <w:t xml:space="preserve">in the </w:t>
      </w:r>
      <w:proofErr w:type="gramStart"/>
      <w:r w:rsidR="002204BD">
        <w:t xml:space="preserve">past, </w:t>
      </w:r>
      <w:r w:rsidR="009B21C7">
        <w:t>and</w:t>
      </w:r>
      <w:proofErr w:type="gramEnd"/>
      <w:r w:rsidR="009B21C7">
        <w:t xml:space="preserve"> will help </w:t>
      </w:r>
      <w:r w:rsidR="002204BD">
        <w:t xml:space="preserve">in evaluating </w:t>
      </w:r>
      <w:r w:rsidR="00B940B8">
        <w:t>the potential impact of using genomic information to enhance traceability.</w:t>
      </w:r>
    </w:p>
    <w:p w14:paraId="1865DE17" w14:textId="77777777" w:rsidR="00751214" w:rsidRDefault="00751214" w:rsidP="001B608A"/>
    <w:p w14:paraId="4B13BAE8" w14:textId="3C3B010A" w:rsidR="006A60FF" w:rsidRPr="008862B4" w:rsidRDefault="006A60FF" w:rsidP="001B608A">
      <w:pPr>
        <w:pStyle w:val="Heading2"/>
      </w:pPr>
      <w:bookmarkStart w:id="142" w:name="_Toc95983402"/>
      <w:r w:rsidRPr="008862B4">
        <w:t>Previous approaches</w:t>
      </w:r>
      <w:r w:rsidR="00E566C7">
        <w:t xml:space="preserve"> to assess benefit-cost of NLIS</w:t>
      </w:r>
      <w:bookmarkEnd w:id="142"/>
    </w:p>
    <w:p w14:paraId="4EF62568" w14:textId="77777777" w:rsidR="006A60FF" w:rsidRDefault="006A60FF" w:rsidP="006A60FF"/>
    <w:p w14:paraId="5405D96D" w14:textId="1674B7FA" w:rsidR="006A60FF" w:rsidRDefault="006A60FF" w:rsidP="006A60FF">
      <w:r>
        <w:t>An e</w:t>
      </w:r>
      <w:r w:rsidRPr="006B542B">
        <w:t>x-post benefit-cost assessment of MLA’s Product Integrity Programs</w:t>
      </w:r>
      <w:r>
        <w:t xml:space="preserve"> was released in 2015 (Dwyer and Clarke 2015</w:t>
      </w:r>
      <w:bookmarkStart w:id="143" w:name="_Ref89242520"/>
      <w:r w:rsidR="007F3046">
        <w:rPr>
          <w:rStyle w:val="FootnoteReference"/>
        </w:rPr>
        <w:footnoteReference w:id="61"/>
      </w:r>
      <w:bookmarkEnd w:id="143"/>
      <w:r>
        <w:t>), which examined the economic benefits of NLIS, the LPA program and supporting scientific research.  The benefit-cost ratio of the three programs combined was estimated to lie between 7.4 and 8</w:t>
      </w:r>
      <w:r w:rsidR="001F2A73">
        <w:t>:1</w:t>
      </w:r>
      <w:r>
        <w:t xml:space="preserve">. Traceability (the NLIS component) made by far the greatest contribution, with net benefits, accumulated over 30 years, estimated at $8.3b. This </w:t>
      </w:r>
      <w:proofErr w:type="gramStart"/>
      <w:r>
        <w:t>was considered to be</w:t>
      </w:r>
      <w:proofErr w:type="gramEnd"/>
      <w:r>
        <w:t xml:space="preserve"> a lower bound estimate because it mainly reflected the assumed benefits of reducing the impacts of foot and mouth disease (FMD) and excluded the benefits of reducing the potential costs of other diseases.</w:t>
      </w:r>
    </w:p>
    <w:p w14:paraId="7F7311D8" w14:textId="77777777" w:rsidR="006A60FF" w:rsidRDefault="006A60FF" w:rsidP="006A60FF"/>
    <w:p w14:paraId="7C809735" w14:textId="7C19E7C3" w:rsidR="006A60FF" w:rsidRDefault="006A60FF" w:rsidP="006A60FF">
      <w:pPr>
        <w:rPr>
          <w:noProof/>
        </w:rPr>
      </w:pPr>
      <w:r>
        <w:t>Modelled benefits from NLIS were distributed as shown in</w:t>
      </w:r>
      <w:r w:rsidR="00EB3D39">
        <w:t xml:space="preserve"> </w:t>
      </w:r>
      <w:r w:rsidR="00EB3D39">
        <w:fldChar w:fldCharType="begin"/>
      </w:r>
      <w:r w:rsidR="00EB3D39">
        <w:instrText xml:space="preserve"> REF _Ref87706772 \h </w:instrText>
      </w:r>
      <w:r w:rsidR="00EB3D39">
        <w:fldChar w:fldCharType="separate"/>
      </w:r>
      <w:r w:rsidR="008D0D42">
        <w:t xml:space="preserve">Figure </w:t>
      </w:r>
      <w:r w:rsidR="008D0D42">
        <w:rPr>
          <w:noProof/>
        </w:rPr>
        <w:t>31</w:t>
      </w:r>
      <w:r w:rsidR="00EB3D39">
        <w:fldChar w:fldCharType="end"/>
      </w:r>
      <w:r>
        <w:t xml:space="preserve">.  Consumers were the major beneficiaries in both beef and sheep, with beef producers receiving about 30% of the total benefits and sheep producers about 24% of the total benefits.  </w:t>
      </w:r>
    </w:p>
    <w:p w14:paraId="6C35C350" w14:textId="77777777" w:rsidR="006A60FF" w:rsidRDefault="006A60FF" w:rsidP="006A60FF"/>
    <w:tbl>
      <w:tblPr>
        <w:tblStyle w:val="TableGrid"/>
        <w:tblW w:w="0" w:type="auto"/>
        <w:tblLook w:val="04A0" w:firstRow="1" w:lastRow="0" w:firstColumn="1" w:lastColumn="0" w:noHBand="0" w:noVBand="1"/>
      </w:tblPr>
      <w:tblGrid>
        <w:gridCol w:w="4508"/>
        <w:gridCol w:w="4508"/>
      </w:tblGrid>
      <w:tr w:rsidR="006A60FF" w14:paraId="574FB2E8" w14:textId="77777777" w:rsidTr="00533798">
        <w:tc>
          <w:tcPr>
            <w:tcW w:w="4508" w:type="dxa"/>
          </w:tcPr>
          <w:p w14:paraId="6592C607" w14:textId="77777777" w:rsidR="006A60FF" w:rsidRDefault="006A60FF" w:rsidP="001B608A">
            <w:pPr>
              <w:keepNext/>
              <w:keepLines/>
            </w:pPr>
            <w:r>
              <w:rPr>
                <w:noProof/>
              </w:rPr>
              <w:drawing>
                <wp:inline distT="0" distB="0" distL="0" distR="0" wp14:anchorId="34ECEC44" wp14:editId="0030ADAC">
                  <wp:extent cx="2750400" cy="165240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08" w:type="dxa"/>
          </w:tcPr>
          <w:p w14:paraId="4AC3DF05" w14:textId="77777777" w:rsidR="006A60FF" w:rsidRDefault="006A60FF" w:rsidP="001B608A">
            <w:pPr>
              <w:keepNext/>
              <w:keepLines/>
            </w:pPr>
            <w:r>
              <w:rPr>
                <w:noProof/>
              </w:rPr>
              <w:drawing>
                <wp:inline distT="0" distB="0" distL="0" distR="0" wp14:anchorId="66833F1A" wp14:editId="5418BB50">
                  <wp:extent cx="2750400" cy="165240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bl>
    <w:p w14:paraId="278F644C" w14:textId="4CB3084F" w:rsidR="006A60FF" w:rsidRDefault="00EB3D39" w:rsidP="00475E28">
      <w:pPr>
        <w:pStyle w:val="Caption"/>
      </w:pPr>
      <w:bookmarkStart w:id="144" w:name="_Ref87706772"/>
      <w:bookmarkStart w:id="145" w:name="_Toc95983477"/>
      <w:r>
        <w:t xml:space="preserve">Figure </w:t>
      </w:r>
      <w:r>
        <w:fldChar w:fldCharType="begin"/>
      </w:r>
      <w:r>
        <w:instrText>SEQ Figure \* ARABIC</w:instrText>
      </w:r>
      <w:r>
        <w:fldChar w:fldCharType="separate"/>
      </w:r>
      <w:r w:rsidR="008D0D42">
        <w:rPr>
          <w:noProof/>
        </w:rPr>
        <w:t>31</w:t>
      </w:r>
      <w:r>
        <w:fldChar w:fldCharType="end"/>
      </w:r>
      <w:bookmarkEnd w:id="144"/>
      <w:r w:rsidR="006A60FF">
        <w:t>.  Distribution of estimated benefits from NLIS</w:t>
      </w:r>
      <w:bookmarkEnd w:id="145"/>
    </w:p>
    <w:p w14:paraId="43076E4F" w14:textId="77777777" w:rsidR="006A60FF" w:rsidRPr="001B608A" w:rsidRDefault="006A60FF" w:rsidP="006A60FF">
      <w:pPr>
        <w:jc w:val="center"/>
        <w:rPr>
          <w:i/>
          <w:iCs/>
        </w:rPr>
      </w:pPr>
      <w:r w:rsidRPr="001B608A">
        <w:rPr>
          <w:i/>
          <w:iCs/>
        </w:rPr>
        <w:t>(Source: Dwyer and Clarke 2015, Tables 46 &amp; 47)</w:t>
      </w:r>
    </w:p>
    <w:p w14:paraId="0F1F971B" w14:textId="77777777" w:rsidR="006A60FF" w:rsidRDefault="006A60FF" w:rsidP="006A60FF"/>
    <w:p w14:paraId="49F4A872" w14:textId="534BD8D7" w:rsidR="006A60FF" w:rsidRDefault="006A60FF" w:rsidP="006A60FF">
      <w:r>
        <w:t xml:space="preserve">A subsequent study by White </w:t>
      </w:r>
      <w:r w:rsidRPr="001B608A">
        <w:rPr>
          <w:i/>
          <w:iCs/>
        </w:rPr>
        <w:t>et al</w:t>
      </w:r>
      <w:r>
        <w:t xml:space="preserve">. </w:t>
      </w:r>
      <w:r w:rsidR="00061D71">
        <w:t>(</w:t>
      </w:r>
      <w:r>
        <w:t>2019)</w:t>
      </w:r>
      <w:bookmarkStart w:id="146" w:name="_Ref89245159"/>
      <w:r w:rsidR="001B6805">
        <w:rPr>
          <w:rStyle w:val="FootnoteReference"/>
        </w:rPr>
        <w:footnoteReference w:id="62"/>
      </w:r>
      <w:bookmarkEnd w:id="146"/>
      <w:r>
        <w:t xml:space="preserve"> assessed the impact of Integrity Systems covering the period 2015-2020.  The authors commented on four important aspects of the earlier study, viz:</w:t>
      </w:r>
    </w:p>
    <w:p w14:paraId="49EEFBC0" w14:textId="77777777" w:rsidR="006A60FF" w:rsidRDefault="006A60FF" w:rsidP="006A60FF"/>
    <w:p w14:paraId="703CC286" w14:textId="77777777" w:rsidR="006A60FF" w:rsidRDefault="006A60FF" w:rsidP="00374617">
      <w:pPr>
        <w:pStyle w:val="ListParagraph"/>
        <w:numPr>
          <w:ilvl w:val="0"/>
          <w:numId w:val="8"/>
        </w:numPr>
      </w:pPr>
      <w:r>
        <w:t>Benefits due to avoided disease costs were over-estimated (by not annualising the cumulative costs over the multi-year period of disease spread)</w:t>
      </w:r>
    </w:p>
    <w:p w14:paraId="65FF7D59" w14:textId="77777777" w:rsidR="006A60FF" w:rsidRDefault="006A60FF" w:rsidP="00374617">
      <w:pPr>
        <w:pStyle w:val="ListParagraph"/>
        <w:numPr>
          <w:ilvl w:val="0"/>
          <w:numId w:val="8"/>
        </w:numPr>
      </w:pPr>
      <w:r>
        <w:t>There were inconsistencies in the counter-factual case (related to ISC operations outside the assessment period)</w:t>
      </w:r>
    </w:p>
    <w:p w14:paraId="1578A41D" w14:textId="77777777" w:rsidR="006A60FF" w:rsidRDefault="006A60FF" w:rsidP="00374617">
      <w:pPr>
        <w:pStyle w:val="ListParagraph"/>
        <w:numPr>
          <w:ilvl w:val="0"/>
          <w:numId w:val="8"/>
        </w:numPr>
      </w:pPr>
      <w:r>
        <w:t xml:space="preserve">The assumed probability of an FMD outbreak in any given year </w:t>
      </w:r>
      <w:proofErr w:type="gramStart"/>
      <w:r>
        <w:t>was considered to be</w:t>
      </w:r>
      <w:proofErr w:type="gramEnd"/>
      <w:r>
        <w:t xml:space="preserve"> too low (at 0.6%)</w:t>
      </w:r>
    </w:p>
    <w:p w14:paraId="503CABC6" w14:textId="77777777" w:rsidR="006A60FF" w:rsidRDefault="006A60FF" w:rsidP="00374617">
      <w:pPr>
        <w:pStyle w:val="ListParagraph"/>
        <w:numPr>
          <w:ilvl w:val="0"/>
          <w:numId w:val="8"/>
        </w:numPr>
      </w:pPr>
      <w:r>
        <w:t xml:space="preserve">The attribution of price premiums in export markets </w:t>
      </w:r>
      <w:proofErr w:type="gramStart"/>
      <w:r>
        <w:t>were considered to be</w:t>
      </w:r>
      <w:proofErr w:type="gramEnd"/>
      <w:r>
        <w:t xml:space="preserve"> too low (as they were discounted twice)</w:t>
      </w:r>
    </w:p>
    <w:p w14:paraId="4296B075" w14:textId="77777777" w:rsidR="006A60FF" w:rsidRDefault="006A60FF" w:rsidP="006A60FF"/>
    <w:p w14:paraId="29FC5711" w14:textId="77777777" w:rsidR="006A60FF" w:rsidRDefault="006A60FF" w:rsidP="006A60FF">
      <w:r>
        <w:t xml:space="preserve">The net effect of changing these assumptions was to increase the modelled benefits over the assessment period; although the authors did note that the evaluation model is extremely complex and involves </w:t>
      </w:r>
      <w:proofErr w:type="gramStart"/>
      <w:r>
        <w:t>a large number of</w:t>
      </w:r>
      <w:proofErr w:type="gramEnd"/>
      <w:r>
        <w:t xml:space="preserve"> assumptions.  They also outlined a number of additional benefits apart from those modelled </w:t>
      </w:r>
      <w:proofErr w:type="gramStart"/>
      <w:r w:rsidRPr="001B608A">
        <w:rPr>
          <w:i/>
          <w:iCs/>
        </w:rPr>
        <w:t>i.e.</w:t>
      </w:r>
      <w:proofErr w:type="gramEnd"/>
      <w:r>
        <w:t xml:space="preserve"> avoided disease costs and export price premiums, viz:</w:t>
      </w:r>
    </w:p>
    <w:p w14:paraId="50A4E37E" w14:textId="77777777" w:rsidR="006A60FF" w:rsidRDefault="006A60FF" w:rsidP="006A60FF"/>
    <w:tbl>
      <w:tblPr>
        <w:tblStyle w:val="TableGrid"/>
        <w:tblW w:w="0" w:type="auto"/>
        <w:shd w:val="clear" w:color="auto" w:fill="CDEAC3" w:themeFill="accent1" w:themeFillTint="33"/>
        <w:tblLook w:val="04A0" w:firstRow="1" w:lastRow="0" w:firstColumn="1" w:lastColumn="0" w:noHBand="0" w:noVBand="1"/>
      </w:tblPr>
      <w:tblGrid>
        <w:gridCol w:w="9016"/>
      </w:tblGrid>
      <w:tr w:rsidR="006A60FF" w14:paraId="02A95B1C" w14:textId="77777777" w:rsidTr="00877CF4">
        <w:tc>
          <w:tcPr>
            <w:tcW w:w="9016" w:type="dxa"/>
            <w:shd w:val="clear" w:color="auto" w:fill="D6E1DB" w:themeFill="text2" w:themeFillTint="33"/>
          </w:tcPr>
          <w:p w14:paraId="60B83B14" w14:textId="77777777" w:rsidR="006A60FF" w:rsidRDefault="006A60FF" w:rsidP="00374617">
            <w:pPr>
              <w:pStyle w:val="ListParagraph"/>
              <w:keepNext/>
              <w:keepLines/>
              <w:numPr>
                <w:ilvl w:val="0"/>
                <w:numId w:val="9"/>
              </w:numPr>
              <w:spacing w:before="120" w:after="120"/>
              <w:ind w:left="442" w:hanging="357"/>
            </w:pPr>
            <w:bookmarkStart w:id="147" w:name="White_benefits"/>
            <w:bookmarkEnd w:id="147"/>
            <w:r>
              <w:t xml:space="preserve">Avoided indirect or secondary impacts to the broader Australian economy from exotic disease </w:t>
            </w:r>
            <w:proofErr w:type="gramStart"/>
            <w:r>
              <w:t>incursion;</w:t>
            </w:r>
            <w:proofErr w:type="gramEnd"/>
          </w:p>
          <w:p w14:paraId="16BF5419" w14:textId="77777777" w:rsidR="006A60FF" w:rsidRDefault="006A60FF" w:rsidP="00374617">
            <w:pPr>
              <w:pStyle w:val="ListParagraph"/>
              <w:keepNext/>
              <w:keepLines/>
              <w:numPr>
                <w:ilvl w:val="0"/>
                <w:numId w:val="9"/>
              </w:numPr>
              <w:spacing w:before="120" w:after="120"/>
              <w:ind w:left="442" w:hanging="357"/>
            </w:pPr>
            <w:r>
              <w:t xml:space="preserve">Benefits from NLIS and state-based Property Identification Code (PIC) databases, supporting a range of secondary disease surveillance and management </w:t>
            </w:r>
            <w:proofErr w:type="gramStart"/>
            <w:r>
              <w:t>activities;</w:t>
            </w:r>
            <w:proofErr w:type="gramEnd"/>
          </w:p>
          <w:p w14:paraId="4509F0CA" w14:textId="77777777" w:rsidR="006A60FF" w:rsidRDefault="006A60FF" w:rsidP="00374617">
            <w:pPr>
              <w:pStyle w:val="ListParagraph"/>
              <w:keepNext/>
              <w:keepLines/>
              <w:numPr>
                <w:ilvl w:val="0"/>
                <w:numId w:val="9"/>
              </w:numPr>
              <w:spacing w:before="120" w:after="120"/>
              <w:ind w:left="442" w:hanging="357"/>
            </w:pPr>
            <w:r>
              <w:t xml:space="preserve">Improved economic prosperity of Australian meat and livestock businesses, providing additional resources for improved environmental </w:t>
            </w:r>
            <w:proofErr w:type="gramStart"/>
            <w:r>
              <w:t>outcomes;</w:t>
            </w:r>
            <w:proofErr w:type="gramEnd"/>
          </w:p>
          <w:p w14:paraId="29674795" w14:textId="77777777" w:rsidR="006A60FF" w:rsidRDefault="006A60FF" w:rsidP="00374617">
            <w:pPr>
              <w:pStyle w:val="ListParagraph"/>
              <w:keepNext/>
              <w:keepLines/>
              <w:numPr>
                <w:ilvl w:val="0"/>
                <w:numId w:val="9"/>
              </w:numPr>
              <w:spacing w:before="120" w:after="120"/>
              <w:ind w:left="442" w:hanging="357"/>
            </w:pPr>
            <w:r>
              <w:t>Reduced risk of human health impacts from the fatal variant Creutzfeldt-Jakob Disease (</w:t>
            </w:r>
            <w:proofErr w:type="spellStart"/>
            <w:r>
              <w:t>vCJD</w:t>
            </w:r>
            <w:proofErr w:type="spellEnd"/>
            <w:r>
              <w:t xml:space="preserve">) and other </w:t>
            </w:r>
            <w:proofErr w:type="gramStart"/>
            <w:r>
              <w:t>pathogens;</w:t>
            </w:r>
            <w:proofErr w:type="gramEnd"/>
          </w:p>
          <w:p w14:paraId="7A31DC91" w14:textId="77777777" w:rsidR="006A60FF" w:rsidRDefault="006A60FF" w:rsidP="00374617">
            <w:pPr>
              <w:pStyle w:val="ListParagraph"/>
              <w:keepNext/>
              <w:keepLines/>
              <w:numPr>
                <w:ilvl w:val="0"/>
                <w:numId w:val="9"/>
              </w:numPr>
              <w:spacing w:before="120" w:after="120"/>
              <w:ind w:left="442" w:hanging="357"/>
            </w:pPr>
            <w:r>
              <w:t xml:space="preserve">Avoided social impacts from severe livestock disease outbreak, including mental health, financial hardship, unemployment </w:t>
            </w:r>
            <w:r w:rsidRPr="003B31E8">
              <w:rPr>
                <w:i/>
                <w:iCs/>
              </w:rPr>
              <w:t>etc</w:t>
            </w:r>
            <w:r>
              <w:t>.; and</w:t>
            </w:r>
          </w:p>
          <w:p w14:paraId="65E7A4C7" w14:textId="77777777" w:rsidR="006A60FF" w:rsidRDefault="006A60FF" w:rsidP="00374617">
            <w:pPr>
              <w:pStyle w:val="ListParagraph"/>
              <w:keepNext/>
              <w:keepLines/>
              <w:numPr>
                <w:ilvl w:val="0"/>
                <w:numId w:val="9"/>
              </w:numPr>
              <w:spacing w:before="120" w:after="120"/>
              <w:ind w:left="442" w:hanging="357"/>
            </w:pPr>
            <w:r>
              <w:t>Improved animal welfare outcomes through avoiding the widespread destruction of livestock typically required to eradicate exotic diseases</w:t>
            </w:r>
          </w:p>
        </w:tc>
      </w:tr>
    </w:tbl>
    <w:p w14:paraId="3618FB78" w14:textId="77777777" w:rsidR="006A60FF" w:rsidRDefault="006A60FF" w:rsidP="006A60FF"/>
    <w:p w14:paraId="7773EA35" w14:textId="06C0B785" w:rsidR="006A60FF" w:rsidRDefault="006A60FF" w:rsidP="006A60FF">
      <w:r>
        <w:t xml:space="preserve">Logically, any technology that increases the effectiveness of traceability should increase the modelled economic benefits as well as the additional benefits </w:t>
      </w:r>
      <w:proofErr w:type="gramStart"/>
      <w:r>
        <w:t>listed;</w:t>
      </w:r>
      <w:proofErr w:type="gramEnd"/>
      <w:r>
        <w:t xml:space="preserve"> although any additional costs obviously need to be factored in.  White </w:t>
      </w:r>
      <w:r w:rsidRPr="001B608A">
        <w:rPr>
          <w:i/>
          <w:iCs/>
        </w:rPr>
        <w:t>et al.</w:t>
      </w:r>
      <w:r>
        <w:t xml:space="preserve"> recommended, </w:t>
      </w:r>
      <w:r w:rsidRPr="001B608A">
        <w:rPr>
          <w:i/>
          <w:iCs/>
        </w:rPr>
        <w:t>inter alia</w:t>
      </w:r>
      <w:r>
        <w:t xml:space="preserve">, that MLA/ISC might </w:t>
      </w:r>
      <w:proofErr w:type="gramStart"/>
      <w:r>
        <w:t>consider</w:t>
      </w:r>
      <w:r w:rsidR="002D1E9D">
        <w:t xml:space="preserve"> </w:t>
      </w:r>
      <w:r>
        <w:t>”</w:t>
      </w:r>
      <w:proofErr w:type="gramEnd"/>
      <w:r>
        <w:t>…e</w:t>
      </w:r>
      <w:r w:rsidRPr="00A05320">
        <w:rPr>
          <w:i/>
          <w:iCs/>
        </w:rPr>
        <w:t>xploring opportunities to derive additional value (or revenue) from collected data, while maintaining the integrity of the systems, and the confidentiality and support of industry and individual users.</w:t>
      </w:r>
      <w:r>
        <w:rPr>
          <w:i/>
          <w:iCs/>
        </w:rPr>
        <w:t xml:space="preserve">”  </w:t>
      </w:r>
      <w:r>
        <w:t>Clearly, increasing the effectiveness of traceability using genomic technology presents such an opportunity that is worth exploring.</w:t>
      </w:r>
    </w:p>
    <w:p w14:paraId="25BE5DCD" w14:textId="1321376D" w:rsidR="00C735F9" w:rsidRDefault="00C735F9" w:rsidP="006A60FF"/>
    <w:p w14:paraId="0AEC4786" w14:textId="6F6E4667" w:rsidR="00B465EF" w:rsidRDefault="00B465EF" w:rsidP="000F6442">
      <w:pPr>
        <w:pStyle w:val="Heading2"/>
      </w:pPr>
      <w:bookmarkStart w:id="148" w:name="_Toc95983403"/>
      <w:r>
        <w:t>Key sensitivity/parameters</w:t>
      </w:r>
      <w:bookmarkEnd w:id="148"/>
    </w:p>
    <w:p w14:paraId="748FCF15" w14:textId="068D9118" w:rsidR="000F6442" w:rsidRDefault="000F6442" w:rsidP="000F6442"/>
    <w:p w14:paraId="4072425D" w14:textId="727D1984" w:rsidR="008171BF" w:rsidRDefault="00254697" w:rsidP="00CF641B">
      <w:r>
        <w:t xml:space="preserve">If a dollar figure can be assigned to the </w:t>
      </w:r>
      <w:r w:rsidR="00011984">
        <w:t xml:space="preserve">cost of a disease outbreak, </w:t>
      </w:r>
      <w:r w:rsidR="0027523D">
        <w:t xml:space="preserve">it follows that a control strategy </w:t>
      </w:r>
      <w:r>
        <w:t>can be valued by the extent that it mitigates that risk.</w:t>
      </w:r>
      <w:r w:rsidR="0001231E">
        <w:t xml:space="preserve">  </w:t>
      </w:r>
      <w:r w:rsidR="00A77DFA">
        <w:t>In determining the cost, pa</w:t>
      </w:r>
      <w:r w:rsidR="0001231E">
        <w:t>st studies have included costs of lost production, costs of treatment and response costs</w:t>
      </w:r>
      <w:r w:rsidR="00A77DFA">
        <w:t xml:space="preserve">.  The approach we have taken </w:t>
      </w:r>
      <w:r w:rsidR="00F20C96">
        <w:t xml:space="preserve">is to build on the work of Dwyer and Clarke </w:t>
      </w:r>
      <w:r w:rsidR="00EF5023">
        <w:t>(2015) and others</w:t>
      </w:r>
      <w:r w:rsidR="00EF5023">
        <w:rPr>
          <w:i/>
          <w:iCs/>
        </w:rPr>
        <w:t>,</w:t>
      </w:r>
      <w:r w:rsidR="006113F8">
        <w:t xml:space="preserve"> whereby </w:t>
      </w:r>
      <w:r w:rsidR="00F20C96">
        <w:t>the parameters of the Gross Value of Product</w:t>
      </w:r>
      <w:r w:rsidR="006D4A41">
        <w:t>ion</w:t>
      </w:r>
      <w:r w:rsidR="006113F8">
        <w:t xml:space="preserve"> are defined as well as</w:t>
      </w:r>
      <w:r w:rsidR="006D4A41">
        <w:t xml:space="preserve"> the risk of an event, the scale of event (</w:t>
      </w:r>
      <w:proofErr w:type="gramStart"/>
      <w:r w:rsidR="006D4A41" w:rsidRPr="001B608A">
        <w:rPr>
          <w:i/>
          <w:iCs/>
        </w:rPr>
        <w:t>i</w:t>
      </w:r>
      <w:r w:rsidR="006D4A41">
        <w:rPr>
          <w:i/>
          <w:iCs/>
        </w:rPr>
        <w:t>.</w:t>
      </w:r>
      <w:r w:rsidR="006D4A41" w:rsidRPr="001B608A">
        <w:rPr>
          <w:i/>
          <w:iCs/>
        </w:rPr>
        <w:t>e</w:t>
      </w:r>
      <w:r w:rsidR="006D4A41">
        <w:rPr>
          <w:i/>
          <w:iCs/>
        </w:rPr>
        <w:t>.</w:t>
      </w:r>
      <w:proofErr w:type="gramEnd"/>
      <w:r w:rsidR="006D4A41">
        <w:t xml:space="preserve"> how much of industry is impacted) and the duration of an event.</w:t>
      </w:r>
      <w:r w:rsidR="00CF641B">
        <w:t xml:space="preserve">  </w:t>
      </w:r>
    </w:p>
    <w:p w14:paraId="40EB3245" w14:textId="77777777" w:rsidR="008171BF" w:rsidRDefault="008171BF" w:rsidP="00CF641B"/>
    <w:p w14:paraId="1DE16277" w14:textId="4B50D68D" w:rsidR="00B465EF" w:rsidRDefault="00CF641B" w:rsidP="00CF641B">
      <w:r>
        <w:t xml:space="preserve">This </w:t>
      </w:r>
      <w:r w:rsidR="004D5966">
        <w:t xml:space="preserve">logic </w:t>
      </w:r>
      <w:r>
        <w:t xml:space="preserve">can then be readily extended by </w:t>
      </w:r>
      <w:r w:rsidR="00B465EF">
        <w:t>assum</w:t>
      </w:r>
      <w:r>
        <w:t>ing</w:t>
      </w:r>
      <w:r w:rsidR="00B465EF">
        <w:t xml:space="preserve"> increased traceability </w:t>
      </w:r>
      <w:r>
        <w:t>using</w:t>
      </w:r>
      <w:r w:rsidR="00B465EF">
        <w:t xml:space="preserve"> DNA</w:t>
      </w:r>
      <w:r w:rsidR="006E2018">
        <w:t xml:space="preserve"> technologies</w:t>
      </w:r>
      <w:r w:rsidR="002D1E9D">
        <w:t xml:space="preserve">.  </w:t>
      </w:r>
      <w:r w:rsidR="00B513E0">
        <w:t>Modelling a</w:t>
      </w:r>
      <w:r w:rsidR="006E2018">
        <w:t xml:space="preserve">ny additional benefits </w:t>
      </w:r>
      <w:r w:rsidR="00B513E0">
        <w:t xml:space="preserve">also requires factoring in </w:t>
      </w:r>
      <w:r w:rsidR="00EE57DB">
        <w:t xml:space="preserve">any additional costs, which in turn require assumptions </w:t>
      </w:r>
      <w:r w:rsidR="009A4D42">
        <w:t xml:space="preserve">to be made </w:t>
      </w:r>
      <w:r w:rsidR="00EE57DB">
        <w:t>about how the enhanced system might operate</w:t>
      </w:r>
      <w:r w:rsidR="009A4D42">
        <w:t>.</w:t>
      </w:r>
      <w:r w:rsidR="00A4542D">
        <w:t xml:space="preserve">  In short, genomic-assisted traceability provides a back-up system </w:t>
      </w:r>
      <w:r w:rsidR="0075002A">
        <w:t xml:space="preserve">that connects an animal to </w:t>
      </w:r>
      <w:proofErr w:type="gramStart"/>
      <w:r w:rsidR="0075002A">
        <w:t>all of</w:t>
      </w:r>
      <w:proofErr w:type="gramEnd"/>
      <w:r w:rsidR="0075002A">
        <w:t xml:space="preserve"> its products – a connection that in theory a least, cannot be lost as it is integral to both the animal and its products</w:t>
      </w:r>
      <w:r w:rsidR="00270CA5">
        <w:t xml:space="preserve"> – but which </w:t>
      </w:r>
      <w:r w:rsidR="004D5966">
        <w:t>brings additional costs</w:t>
      </w:r>
      <w:r w:rsidR="0075002A">
        <w:t>.</w:t>
      </w:r>
      <w:r w:rsidR="008171BF">
        <w:t xml:space="preserve">  </w:t>
      </w:r>
      <w:r w:rsidR="00A4542D">
        <w:t xml:space="preserve"> </w:t>
      </w:r>
    </w:p>
    <w:p w14:paraId="0D0680F0" w14:textId="785D6DB7" w:rsidR="00A4542D" w:rsidRDefault="00A4542D" w:rsidP="00CF641B"/>
    <w:p w14:paraId="3346FD97" w14:textId="258059F8" w:rsidR="008171BF" w:rsidRDefault="00DB7C83" w:rsidP="00CF641B">
      <w:r>
        <w:t xml:space="preserve">In our modelling, we have relied largely on the work of </w:t>
      </w:r>
      <w:r w:rsidR="00BD5F59">
        <w:t>Dwyer and Clarke (2014)</w:t>
      </w:r>
      <w:r w:rsidR="0027745A" w:rsidRPr="00FB0D90">
        <w:rPr>
          <w:vertAlign w:val="superscript"/>
        </w:rPr>
        <w:fldChar w:fldCharType="begin"/>
      </w:r>
      <w:r w:rsidR="0027745A" w:rsidRPr="00FB0D90">
        <w:rPr>
          <w:vertAlign w:val="superscript"/>
        </w:rPr>
        <w:instrText xml:space="preserve"> NOTEREF _Ref89242520 \h </w:instrText>
      </w:r>
      <w:r w:rsidR="00FB0D90">
        <w:rPr>
          <w:vertAlign w:val="superscript"/>
        </w:rPr>
        <w:instrText xml:space="preserve"> \* MERGEFORMAT </w:instrText>
      </w:r>
      <w:r w:rsidR="0027745A" w:rsidRPr="00FB0D90">
        <w:rPr>
          <w:vertAlign w:val="superscript"/>
        </w:rPr>
      </w:r>
      <w:r w:rsidR="0027745A" w:rsidRPr="00FB0D90">
        <w:rPr>
          <w:vertAlign w:val="superscript"/>
        </w:rPr>
        <w:fldChar w:fldCharType="separate"/>
      </w:r>
      <w:r w:rsidR="008D0D42">
        <w:rPr>
          <w:vertAlign w:val="superscript"/>
        </w:rPr>
        <w:t>60</w:t>
      </w:r>
      <w:r w:rsidR="0027745A" w:rsidRPr="00FB0D90">
        <w:rPr>
          <w:vertAlign w:val="superscript"/>
        </w:rPr>
        <w:fldChar w:fldCharType="end"/>
      </w:r>
      <w:r>
        <w:t xml:space="preserve">, </w:t>
      </w:r>
      <w:r w:rsidR="00BD5F59">
        <w:t xml:space="preserve">which </w:t>
      </w:r>
      <w:r w:rsidR="006B7D6D">
        <w:t xml:space="preserve">described the probable relationship between levels of traceability and expected </w:t>
      </w:r>
      <w:proofErr w:type="gramStart"/>
      <w:r w:rsidR="006B7D6D">
        <w:t>benefits</w:t>
      </w:r>
      <w:r w:rsidR="008B73B4">
        <w:t>, and</w:t>
      </w:r>
      <w:proofErr w:type="gramEnd"/>
      <w:r w:rsidR="008B73B4">
        <w:t xml:space="preserve"> attempted to quantify some of the </w:t>
      </w:r>
      <w:r w:rsidR="00FE2858">
        <w:t xml:space="preserve">additional </w:t>
      </w:r>
      <w:r w:rsidR="008B73B4">
        <w:t>opportunities</w:t>
      </w:r>
      <w:r w:rsidR="00FE2858">
        <w:t xml:space="preserve"> </w:t>
      </w:r>
      <w:r w:rsidR="00061AE2">
        <w:t xml:space="preserve">and costs </w:t>
      </w:r>
      <w:r w:rsidR="00FE2858">
        <w:t xml:space="preserve">that genomic traceability brings. </w:t>
      </w:r>
      <w:r w:rsidR="00061AE2">
        <w:t xml:space="preserve">The results can then be </w:t>
      </w:r>
      <w:r w:rsidR="00A92C8B">
        <w:t xml:space="preserve">compared with any alternative technology that offers traceability through to end products, such as chemical profiling. </w:t>
      </w:r>
    </w:p>
    <w:p w14:paraId="4AFB5924" w14:textId="19216BC0" w:rsidR="00A92C8B" w:rsidRDefault="00A92C8B" w:rsidP="00B465EF">
      <w:pPr>
        <w:rPr>
          <w:b/>
        </w:rPr>
      </w:pPr>
    </w:p>
    <w:p w14:paraId="5D813957" w14:textId="77777777" w:rsidR="001659B4" w:rsidRDefault="001659B4" w:rsidP="001659B4">
      <w:pPr>
        <w:pStyle w:val="Heading3"/>
      </w:pPr>
      <w:bookmarkStart w:id="149" w:name="_Toc95983404"/>
      <w:r w:rsidRPr="00CB6666">
        <w:t>Basic proposition for traceability</w:t>
      </w:r>
      <w:bookmarkEnd w:id="149"/>
    </w:p>
    <w:p w14:paraId="267C9FA9" w14:textId="77777777" w:rsidR="001659B4" w:rsidRDefault="001659B4" w:rsidP="00B465EF">
      <w:pPr>
        <w:rPr>
          <w:bCs/>
        </w:rPr>
      </w:pPr>
    </w:p>
    <w:p w14:paraId="11AAC7BC" w14:textId="4181AAA7" w:rsidR="00626672" w:rsidRDefault="00ED74B5" w:rsidP="00B465EF">
      <w:pPr>
        <w:rPr>
          <w:bCs/>
        </w:rPr>
      </w:pPr>
      <w:r>
        <w:rPr>
          <w:bCs/>
        </w:rPr>
        <w:t xml:space="preserve">In </w:t>
      </w:r>
      <w:r w:rsidR="000972DA">
        <w:rPr>
          <w:bCs/>
        </w:rPr>
        <w:t xml:space="preserve">calculating the value of traceability, the </w:t>
      </w:r>
      <w:r w:rsidRPr="00ED74B5">
        <w:rPr>
          <w:bCs/>
        </w:rPr>
        <w:t xml:space="preserve">basic proposition </w:t>
      </w:r>
      <w:r w:rsidR="000972DA">
        <w:rPr>
          <w:bCs/>
        </w:rPr>
        <w:t xml:space="preserve">is that a traceability system </w:t>
      </w:r>
      <w:r w:rsidR="005C3AF7">
        <w:rPr>
          <w:bCs/>
        </w:rPr>
        <w:t>can</w:t>
      </w:r>
      <w:r w:rsidR="00626672">
        <w:rPr>
          <w:bCs/>
        </w:rPr>
        <w:t>:</w:t>
      </w:r>
    </w:p>
    <w:p w14:paraId="322F6471" w14:textId="733B188D" w:rsidR="00ED74B5" w:rsidRDefault="00626672" w:rsidP="00B465EF">
      <w:pPr>
        <w:rPr>
          <w:bCs/>
        </w:rPr>
      </w:pPr>
      <w:proofErr w:type="spellStart"/>
      <w:r>
        <w:rPr>
          <w:bCs/>
        </w:rPr>
        <w:t>i</w:t>
      </w:r>
      <w:proofErr w:type="spellEnd"/>
      <w:r>
        <w:rPr>
          <w:bCs/>
        </w:rPr>
        <w:t xml:space="preserve">) </w:t>
      </w:r>
      <w:r w:rsidR="005C3AF7">
        <w:rPr>
          <w:bCs/>
        </w:rPr>
        <w:t xml:space="preserve"> reduce the time an industry loses during a disease outbreak</w:t>
      </w:r>
      <w:r w:rsidR="007906A6">
        <w:rPr>
          <w:bCs/>
        </w:rPr>
        <w:t xml:space="preserve">, in order </w:t>
      </w:r>
      <w:r w:rsidR="005C3AF7">
        <w:rPr>
          <w:bCs/>
        </w:rPr>
        <w:t>to</w:t>
      </w:r>
      <w:r w:rsidR="004C30EB">
        <w:rPr>
          <w:bCs/>
        </w:rPr>
        <w:t>-</w:t>
      </w:r>
    </w:p>
    <w:p w14:paraId="58C31D3B" w14:textId="18C882F2" w:rsidR="007906A6" w:rsidRDefault="007906A6" w:rsidP="00626672">
      <w:pPr>
        <w:ind w:left="720"/>
        <w:rPr>
          <w:bCs/>
        </w:rPr>
      </w:pPr>
      <w:r>
        <w:rPr>
          <w:bCs/>
        </w:rPr>
        <w:t>a) q</w:t>
      </w:r>
      <w:r w:rsidR="005C3AF7">
        <w:rPr>
          <w:bCs/>
        </w:rPr>
        <w:t>uarantine the source</w:t>
      </w:r>
      <w:r>
        <w:rPr>
          <w:bCs/>
        </w:rPr>
        <w:t xml:space="preserve"> and enable treatment (and hence duration of lost production); and</w:t>
      </w:r>
    </w:p>
    <w:p w14:paraId="19880049" w14:textId="645FC4FE" w:rsidR="007906A6" w:rsidRDefault="007906A6" w:rsidP="00626672">
      <w:pPr>
        <w:ind w:left="720"/>
        <w:rPr>
          <w:bCs/>
        </w:rPr>
      </w:pPr>
      <w:r>
        <w:rPr>
          <w:bCs/>
        </w:rPr>
        <w:t xml:space="preserve">b) </w:t>
      </w:r>
      <w:r w:rsidR="00626672">
        <w:rPr>
          <w:bCs/>
        </w:rPr>
        <w:t>Reduce the time out of market(s</w:t>
      </w:r>
      <w:proofErr w:type="gramStart"/>
      <w:r w:rsidR="00626672">
        <w:rPr>
          <w:bCs/>
        </w:rPr>
        <w:t>)</w:t>
      </w:r>
      <w:r w:rsidR="004C30EB">
        <w:rPr>
          <w:bCs/>
        </w:rPr>
        <w:t>;</w:t>
      </w:r>
      <w:proofErr w:type="gramEnd"/>
    </w:p>
    <w:p w14:paraId="07A7DD38" w14:textId="5BBA4063" w:rsidR="004C30EB" w:rsidRDefault="004C30EB" w:rsidP="004C30EB">
      <w:pPr>
        <w:rPr>
          <w:bCs/>
        </w:rPr>
      </w:pPr>
      <w:r>
        <w:rPr>
          <w:bCs/>
        </w:rPr>
        <w:t>ii)  reduce costs</w:t>
      </w:r>
      <w:r w:rsidR="008D47A9">
        <w:rPr>
          <w:bCs/>
        </w:rPr>
        <w:t>, including</w:t>
      </w:r>
      <w:r>
        <w:rPr>
          <w:bCs/>
        </w:rPr>
        <w:t>:</w:t>
      </w:r>
    </w:p>
    <w:p w14:paraId="29843CF4" w14:textId="77777777" w:rsidR="008D47A9" w:rsidRDefault="004C30EB" w:rsidP="004C30EB">
      <w:pPr>
        <w:ind w:left="720"/>
        <w:rPr>
          <w:bCs/>
        </w:rPr>
      </w:pPr>
      <w:r>
        <w:rPr>
          <w:bCs/>
        </w:rPr>
        <w:t xml:space="preserve">a) </w:t>
      </w:r>
      <w:r w:rsidR="008D47A9">
        <w:rPr>
          <w:bCs/>
        </w:rPr>
        <w:t>treatment costs; and</w:t>
      </w:r>
    </w:p>
    <w:p w14:paraId="6749490E" w14:textId="060C5407" w:rsidR="004C30EB" w:rsidRDefault="008D47A9" w:rsidP="008D47A9">
      <w:pPr>
        <w:ind w:left="720"/>
        <w:rPr>
          <w:bCs/>
        </w:rPr>
      </w:pPr>
      <w:r>
        <w:rPr>
          <w:bCs/>
        </w:rPr>
        <w:t>b) the opportunity cost of lost product</w:t>
      </w:r>
      <w:r w:rsidR="001659B4">
        <w:rPr>
          <w:bCs/>
        </w:rPr>
        <w:t>i</w:t>
      </w:r>
      <w:r>
        <w:rPr>
          <w:bCs/>
        </w:rPr>
        <w:t>on and/or sales.</w:t>
      </w:r>
    </w:p>
    <w:p w14:paraId="454B1EE3" w14:textId="77777777" w:rsidR="00626672" w:rsidRPr="00ED74B5" w:rsidRDefault="00626672" w:rsidP="00B465EF">
      <w:pPr>
        <w:rPr>
          <w:bCs/>
        </w:rPr>
      </w:pPr>
    </w:p>
    <w:p w14:paraId="28D776A5" w14:textId="6AE5B2DC" w:rsidR="008714B9" w:rsidRDefault="00DB5709" w:rsidP="00DB5709">
      <w:pPr>
        <w:rPr>
          <w:bCs/>
        </w:rPr>
      </w:pPr>
      <w:r>
        <w:rPr>
          <w:bCs/>
        </w:rPr>
        <w:t xml:space="preserve">In their calculations, </w:t>
      </w:r>
      <w:proofErr w:type="gramStart"/>
      <w:r>
        <w:rPr>
          <w:bCs/>
        </w:rPr>
        <w:t>Dwyer</w:t>
      </w:r>
      <w:proofErr w:type="gramEnd"/>
      <w:r>
        <w:rPr>
          <w:bCs/>
        </w:rPr>
        <w:t xml:space="preserve"> and Clarke (2015) used the </w:t>
      </w:r>
      <w:r w:rsidR="00CB6666" w:rsidRPr="001659B4">
        <w:rPr>
          <w:bCs/>
        </w:rPr>
        <w:t xml:space="preserve">ABARES (2014) estimate </w:t>
      </w:r>
      <w:r w:rsidR="004B556C">
        <w:rPr>
          <w:bCs/>
        </w:rPr>
        <w:t xml:space="preserve">of $52b </w:t>
      </w:r>
      <w:r w:rsidR="00CB6666" w:rsidRPr="001659B4">
        <w:rPr>
          <w:bCs/>
        </w:rPr>
        <w:t>loss</w:t>
      </w:r>
      <w:r w:rsidR="001659B4">
        <w:rPr>
          <w:bCs/>
        </w:rPr>
        <w:t>es</w:t>
      </w:r>
      <w:r w:rsidR="00A10082">
        <w:rPr>
          <w:bCs/>
        </w:rPr>
        <w:t xml:space="preserve"> </w:t>
      </w:r>
      <w:r w:rsidR="00DF37D0">
        <w:rPr>
          <w:bCs/>
        </w:rPr>
        <w:t>over a ten</w:t>
      </w:r>
      <w:r w:rsidR="006B6F0F">
        <w:rPr>
          <w:bCs/>
        </w:rPr>
        <w:t>-</w:t>
      </w:r>
      <w:r w:rsidR="00DF37D0">
        <w:rPr>
          <w:bCs/>
        </w:rPr>
        <w:t xml:space="preserve">year period </w:t>
      </w:r>
      <w:r w:rsidR="00A10082">
        <w:rPr>
          <w:bCs/>
        </w:rPr>
        <w:t xml:space="preserve">from a </w:t>
      </w:r>
      <w:r>
        <w:rPr>
          <w:bCs/>
        </w:rPr>
        <w:t xml:space="preserve">large </w:t>
      </w:r>
      <w:r w:rsidR="00A10082">
        <w:rPr>
          <w:bCs/>
        </w:rPr>
        <w:t>foot and mouth disease</w:t>
      </w:r>
      <w:r w:rsidR="007832C3">
        <w:rPr>
          <w:bCs/>
        </w:rPr>
        <w:t xml:space="preserve"> (FMD)</w:t>
      </w:r>
      <w:r w:rsidR="002B3DE5">
        <w:rPr>
          <w:bCs/>
        </w:rPr>
        <w:t xml:space="preserve"> outbreak</w:t>
      </w:r>
      <w:r w:rsidR="003358A4">
        <w:rPr>
          <w:bCs/>
        </w:rPr>
        <w:t xml:space="preserve">.  </w:t>
      </w:r>
      <w:r w:rsidR="007832C3">
        <w:rPr>
          <w:bCs/>
        </w:rPr>
        <w:t>Using various other assumptions, including an annual probability of a</w:t>
      </w:r>
      <w:r w:rsidR="00C0133F">
        <w:rPr>
          <w:bCs/>
        </w:rPr>
        <w:t>n</w:t>
      </w:r>
      <w:r w:rsidR="007832C3">
        <w:rPr>
          <w:bCs/>
        </w:rPr>
        <w:t xml:space="preserve"> FMD outb</w:t>
      </w:r>
      <w:r w:rsidR="00136C37">
        <w:rPr>
          <w:bCs/>
        </w:rPr>
        <w:t>r</w:t>
      </w:r>
      <w:r w:rsidR="007832C3">
        <w:rPr>
          <w:bCs/>
        </w:rPr>
        <w:t>eak at 1.5%</w:t>
      </w:r>
      <w:r w:rsidR="006A4E43">
        <w:rPr>
          <w:bCs/>
        </w:rPr>
        <w:t xml:space="preserve"> and</w:t>
      </w:r>
      <w:r w:rsidR="00136C37">
        <w:rPr>
          <w:bCs/>
        </w:rPr>
        <w:t xml:space="preserve"> traceability with NLIS of 97% in cattle and </w:t>
      </w:r>
      <w:r w:rsidR="006A4E43">
        <w:rPr>
          <w:bCs/>
        </w:rPr>
        <w:t xml:space="preserve">90% in sheep (compared with </w:t>
      </w:r>
      <w:r w:rsidR="009D4E3F">
        <w:rPr>
          <w:bCs/>
        </w:rPr>
        <w:t>65% without NLIS), they arrived at an annualised “benefit” (</w:t>
      </w:r>
      <w:proofErr w:type="gramStart"/>
      <w:r w:rsidR="009D4E3F" w:rsidRPr="00F10EB8">
        <w:rPr>
          <w:bCs/>
          <w:i/>
          <w:iCs/>
        </w:rPr>
        <w:t>i.e</w:t>
      </w:r>
      <w:r w:rsidR="009D4E3F">
        <w:rPr>
          <w:bCs/>
        </w:rPr>
        <w:t>.</w:t>
      </w:r>
      <w:proofErr w:type="gramEnd"/>
      <w:r w:rsidR="009D4E3F">
        <w:rPr>
          <w:bCs/>
        </w:rPr>
        <w:t xml:space="preserve"> avoided costs) due to NLIS of around $615m</w:t>
      </w:r>
      <w:r w:rsidR="00B2295A">
        <w:rPr>
          <w:bCs/>
        </w:rPr>
        <w:t>, or a net present value</w:t>
      </w:r>
      <w:r w:rsidR="000C734A">
        <w:rPr>
          <w:bCs/>
        </w:rPr>
        <w:t xml:space="preserve"> (NPV)</w:t>
      </w:r>
      <w:r w:rsidR="00B2295A">
        <w:rPr>
          <w:bCs/>
        </w:rPr>
        <w:t xml:space="preserve"> of $8.3b </w:t>
      </w:r>
      <w:r w:rsidR="001F4DC4">
        <w:rPr>
          <w:bCs/>
        </w:rPr>
        <w:t>using a 30-year timeframe</w:t>
      </w:r>
      <w:r w:rsidR="009D4E3F">
        <w:rPr>
          <w:bCs/>
        </w:rPr>
        <w:t xml:space="preserve">.  </w:t>
      </w:r>
      <w:r w:rsidR="00E66A20">
        <w:rPr>
          <w:bCs/>
        </w:rPr>
        <w:t>P</w:t>
      </w:r>
      <w:r w:rsidR="004B2511">
        <w:rPr>
          <w:bCs/>
        </w:rPr>
        <w:t xml:space="preserve">rojected benefits </w:t>
      </w:r>
      <w:r w:rsidR="00E66A20">
        <w:rPr>
          <w:bCs/>
        </w:rPr>
        <w:t>increased to</w:t>
      </w:r>
      <w:r w:rsidR="004B2511">
        <w:rPr>
          <w:bCs/>
        </w:rPr>
        <w:t xml:space="preserve"> $9.43b when a </w:t>
      </w:r>
      <w:r w:rsidR="00ED681F">
        <w:rPr>
          <w:bCs/>
        </w:rPr>
        <w:t>s</w:t>
      </w:r>
      <w:r w:rsidR="004B2511">
        <w:rPr>
          <w:bCs/>
        </w:rPr>
        <w:t>low</w:t>
      </w:r>
      <w:r w:rsidR="00F10EB8">
        <w:rPr>
          <w:bCs/>
        </w:rPr>
        <w:t>-</w:t>
      </w:r>
      <w:r w:rsidR="004B2511">
        <w:rPr>
          <w:bCs/>
        </w:rPr>
        <w:t>moving disease (</w:t>
      </w:r>
      <w:r w:rsidR="00ED681F" w:rsidRPr="00ED681F">
        <w:rPr>
          <w:bCs/>
        </w:rPr>
        <w:t>bovine spongiform encephalopathy</w:t>
      </w:r>
      <w:r w:rsidR="00ED681F">
        <w:rPr>
          <w:bCs/>
        </w:rPr>
        <w:t xml:space="preserve">, or </w:t>
      </w:r>
      <w:r w:rsidR="004B2511">
        <w:rPr>
          <w:bCs/>
        </w:rPr>
        <w:t>BSE) was also included.</w:t>
      </w:r>
    </w:p>
    <w:p w14:paraId="46E8A2EA" w14:textId="65BED76D" w:rsidR="00557FD2" w:rsidRDefault="00557FD2" w:rsidP="00DB5709">
      <w:pPr>
        <w:rPr>
          <w:bCs/>
        </w:rPr>
      </w:pPr>
    </w:p>
    <w:p w14:paraId="655B6A6E" w14:textId="63244E66" w:rsidR="00557FD2" w:rsidRDefault="00557FD2" w:rsidP="00DB5709">
      <w:pPr>
        <w:rPr>
          <w:bCs/>
        </w:rPr>
      </w:pPr>
      <w:r>
        <w:rPr>
          <w:bCs/>
        </w:rPr>
        <w:t>Dwyer and Clarke postulated that the relationship between the level of trace</w:t>
      </w:r>
      <w:r w:rsidR="006F32AE">
        <w:rPr>
          <w:bCs/>
        </w:rPr>
        <w:t>a</w:t>
      </w:r>
      <w:r>
        <w:rPr>
          <w:bCs/>
        </w:rPr>
        <w:t xml:space="preserve">bility and </w:t>
      </w:r>
      <w:r w:rsidR="00C9355D">
        <w:rPr>
          <w:bCs/>
        </w:rPr>
        <w:t>disease cost is curvilinear</w:t>
      </w:r>
      <w:r w:rsidR="000C734A">
        <w:rPr>
          <w:bCs/>
        </w:rPr>
        <w:t>, based on NPVs estimated at various levels of traceability</w:t>
      </w:r>
      <w:r w:rsidR="00B21739">
        <w:rPr>
          <w:bCs/>
        </w:rPr>
        <w:t>;</w:t>
      </w:r>
      <w:r w:rsidR="00782B1D">
        <w:rPr>
          <w:bCs/>
        </w:rPr>
        <w:t xml:space="preserve"> although they pointed out that </w:t>
      </w:r>
      <w:r w:rsidR="006D5404">
        <w:rPr>
          <w:bCs/>
        </w:rPr>
        <w:t xml:space="preserve">several points on the curve can be defined, but its </w:t>
      </w:r>
      <w:r w:rsidR="00782B1D">
        <w:rPr>
          <w:bCs/>
        </w:rPr>
        <w:t xml:space="preserve">exact shape </w:t>
      </w:r>
      <w:r w:rsidR="00D755A2">
        <w:rPr>
          <w:bCs/>
        </w:rPr>
        <w:t>i</w:t>
      </w:r>
      <w:r w:rsidR="00782B1D">
        <w:rPr>
          <w:bCs/>
        </w:rPr>
        <w:t xml:space="preserve">s </w:t>
      </w:r>
      <w:r w:rsidR="003F3BE1">
        <w:rPr>
          <w:bCs/>
        </w:rPr>
        <w:t>not actually known</w:t>
      </w:r>
      <w:r w:rsidR="00782B1D">
        <w:rPr>
          <w:bCs/>
        </w:rPr>
        <w:t>.</w:t>
      </w:r>
      <w:r w:rsidR="007B62CE">
        <w:rPr>
          <w:bCs/>
        </w:rPr>
        <w:t xml:space="preserve">  They postulated that the most likely </w:t>
      </w:r>
      <w:r w:rsidR="0024615F">
        <w:rPr>
          <w:bCs/>
        </w:rPr>
        <w:t xml:space="preserve">relationship between disease cost due to an outbreak and traceability level </w:t>
      </w:r>
      <w:r w:rsidR="00BE0BC4">
        <w:rPr>
          <w:bCs/>
        </w:rPr>
        <w:t>is described by Curve A in</w:t>
      </w:r>
      <w:r w:rsidR="007B047C">
        <w:rPr>
          <w:bCs/>
        </w:rPr>
        <w:t xml:space="preserve"> </w:t>
      </w:r>
      <w:r w:rsidR="007B047C">
        <w:rPr>
          <w:bCs/>
        </w:rPr>
        <w:fldChar w:fldCharType="begin"/>
      </w:r>
      <w:r w:rsidR="007B047C">
        <w:rPr>
          <w:bCs/>
        </w:rPr>
        <w:instrText xml:space="preserve"> REF _Ref92046291 \h </w:instrText>
      </w:r>
      <w:r w:rsidR="007B047C">
        <w:rPr>
          <w:bCs/>
        </w:rPr>
      </w:r>
      <w:r w:rsidR="007B047C">
        <w:rPr>
          <w:bCs/>
        </w:rPr>
        <w:fldChar w:fldCharType="separate"/>
      </w:r>
      <w:r w:rsidR="008D0D42">
        <w:t xml:space="preserve">Figure </w:t>
      </w:r>
      <w:r w:rsidR="008D0D42">
        <w:rPr>
          <w:noProof/>
        </w:rPr>
        <w:t>32</w:t>
      </w:r>
      <w:r w:rsidR="007B047C">
        <w:rPr>
          <w:bCs/>
        </w:rPr>
        <w:fldChar w:fldCharType="end"/>
      </w:r>
      <w:r w:rsidR="00BE0BC4">
        <w:rPr>
          <w:bCs/>
        </w:rPr>
        <w:t>. (Curve B, which lies half-way between Curve A and the d</w:t>
      </w:r>
      <w:r w:rsidR="006A7288">
        <w:rPr>
          <w:bCs/>
        </w:rPr>
        <w:t>ashed line, was simply tested in a sensitivity analysis).</w:t>
      </w:r>
      <w:r w:rsidR="00782B1D">
        <w:rPr>
          <w:bCs/>
        </w:rPr>
        <w:t xml:space="preserve">  </w:t>
      </w:r>
      <w:r w:rsidR="00C9355D">
        <w:rPr>
          <w:bCs/>
        </w:rPr>
        <w:t xml:space="preserve"> </w:t>
      </w:r>
    </w:p>
    <w:p w14:paraId="5AC41CBE" w14:textId="308F8097" w:rsidR="002802F9" w:rsidRDefault="002802F9" w:rsidP="00DB5709">
      <w:pPr>
        <w:rPr>
          <w:bCs/>
        </w:rPr>
      </w:pPr>
    </w:p>
    <w:p w14:paraId="0482B660" w14:textId="77777777" w:rsidR="006A7288" w:rsidRDefault="006A7288" w:rsidP="00DB5709">
      <w:pPr>
        <w:rPr>
          <w:bCs/>
        </w:rPr>
      </w:pPr>
    </w:p>
    <w:p w14:paraId="4BEF8C7E" w14:textId="079D3350" w:rsidR="006A7288" w:rsidRDefault="00D16230" w:rsidP="00181CA3">
      <w:pPr>
        <w:rPr>
          <w:bCs/>
        </w:rPr>
      </w:pPr>
      <w:r>
        <w:rPr>
          <w:noProof/>
        </w:rPr>
        <w:lastRenderedPageBreak/>
        <w:drawing>
          <wp:inline distT="0" distB="0" distL="0" distR="0" wp14:anchorId="03A19BCC" wp14:editId="6A98EBDB">
            <wp:extent cx="4541520" cy="2952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961" b="11202"/>
                    <a:stretch/>
                  </pic:blipFill>
                  <pic:spPr bwMode="auto">
                    <a:xfrm>
                      <a:off x="0" y="0"/>
                      <a:ext cx="4551398" cy="2959172"/>
                    </a:xfrm>
                    <a:prstGeom prst="rect">
                      <a:avLst/>
                    </a:prstGeom>
                    <a:ln>
                      <a:noFill/>
                    </a:ln>
                    <a:extLst>
                      <a:ext uri="{53640926-AAD7-44D8-BBD7-CCE9431645EC}">
                        <a14:shadowObscured xmlns:a14="http://schemas.microsoft.com/office/drawing/2010/main"/>
                      </a:ext>
                    </a:extLst>
                  </pic:spPr>
                </pic:pic>
              </a:graphicData>
            </a:graphic>
          </wp:inline>
        </w:drawing>
      </w:r>
    </w:p>
    <w:p w14:paraId="1ED0305A" w14:textId="2DB87EDA" w:rsidR="00D16230" w:rsidRDefault="00D16230" w:rsidP="00475E28">
      <w:pPr>
        <w:pStyle w:val="Caption"/>
      </w:pPr>
      <w:bookmarkStart w:id="150" w:name="_Ref92046291"/>
      <w:bookmarkStart w:id="151" w:name="_Toc95983478"/>
      <w:r>
        <w:t xml:space="preserve">Figure </w:t>
      </w:r>
      <w:r>
        <w:fldChar w:fldCharType="begin"/>
      </w:r>
      <w:r>
        <w:instrText>SEQ Figure \* ARABIC</w:instrText>
      </w:r>
      <w:r>
        <w:fldChar w:fldCharType="separate"/>
      </w:r>
      <w:r w:rsidR="008D0D42">
        <w:rPr>
          <w:noProof/>
        </w:rPr>
        <w:t>32</w:t>
      </w:r>
      <w:r>
        <w:fldChar w:fldCharType="end"/>
      </w:r>
      <w:bookmarkEnd w:id="150"/>
      <w:r>
        <w:t xml:space="preserve">.  </w:t>
      </w:r>
      <w:r w:rsidR="00C72849">
        <w:t xml:space="preserve">Assumed relationship between </w:t>
      </w:r>
      <w:r w:rsidR="00354354">
        <w:t xml:space="preserve">disease </w:t>
      </w:r>
      <w:r w:rsidR="00C72849">
        <w:t>cost and traceability</w:t>
      </w:r>
      <w:bookmarkEnd w:id="151"/>
    </w:p>
    <w:p w14:paraId="33DBC08B" w14:textId="310FEEED" w:rsidR="00D16230" w:rsidRPr="001B608A" w:rsidRDefault="00D16230" w:rsidP="00181CA3">
      <w:pPr>
        <w:ind w:right="946"/>
        <w:jc w:val="center"/>
        <w:rPr>
          <w:i/>
          <w:iCs/>
        </w:rPr>
      </w:pPr>
      <w:r w:rsidRPr="001B608A">
        <w:rPr>
          <w:i/>
          <w:iCs/>
        </w:rPr>
        <w:t xml:space="preserve">(Source: Dwyer and Clarke 2015, </w:t>
      </w:r>
      <w:r w:rsidR="00C72849">
        <w:rPr>
          <w:i/>
          <w:iCs/>
        </w:rPr>
        <w:t>Figure 4</w:t>
      </w:r>
      <w:r w:rsidRPr="001B608A">
        <w:rPr>
          <w:i/>
          <w:iCs/>
        </w:rPr>
        <w:t>)</w:t>
      </w:r>
    </w:p>
    <w:p w14:paraId="34C6361E" w14:textId="77777777" w:rsidR="00D16230" w:rsidRDefault="00D16230" w:rsidP="00D16230">
      <w:pPr>
        <w:jc w:val="center"/>
        <w:rPr>
          <w:bCs/>
        </w:rPr>
      </w:pPr>
    </w:p>
    <w:p w14:paraId="3F5E5EE5" w14:textId="267678B3" w:rsidR="00842FBA" w:rsidRDefault="00842FBA" w:rsidP="00842FBA">
      <w:pPr>
        <w:rPr>
          <w:bCs/>
        </w:rPr>
      </w:pPr>
      <w:r>
        <w:rPr>
          <w:bCs/>
        </w:rPr>
        <w:t>The relationship s</w:t>
      </w:r>
      <w:r w:rsidR="00395E64">
        <w:rPr>
          <w:bCs/>
        </w:rPr>
        <w:t>h</w:t>
      </w:r>
      <w:r>
        <w:rPr>
          <w:bCs/>
        </w:rPr>
        <w:t xml:space="preserve">own in </w:t>
      </w:r>
      <w:r w:rsidR="00395E64">
        <w:rPr>
          <w:bCs/>
        </w:rPr>
        <w:fldChar w:fldCharType="begin"/>
      </w:r>
      <w:r w:rsidR="00395E64">
        <w:rPr>
          <w:bCs/>
        </w:rPr>
        <w:instrText xml:space="preserve"> REF _Ref92046291 \h </w:instrText>
      </w:r>
      <w:r w:rsidR="00395E64">
        <w:rPr>
          <w:bCs/>
        </w:rPr>
      </w:r>
      <w:r w:rsidR="00395E64">
        <w:rPr>
          <w:bCs/>
        </w:rPr>
        <w:fldChar w:fldCharType="separate"/>
      </w:r>
      <w:r w:rsidR="008D0D42">
        <w:t xml:space="preserve">Figure </w:t>
      </w:r>
      <w:r w:rsidR="008D0D42">
        <w:rPr>
          <w:noProof/>
        </w:rPr>
        <w:t>32</w:t>
      </w:r>
      <w:r w:rsidR="00395E64">
        <w:rPr>
          <w:bCs/>
        </w:rPr>
        <w:fldChar w:fldCharType="end"/>
      </w:r>
      <w:r w:rsidR="00395E64">
        <w:rPr>
          <w:bCs/>
        </w:rPr>
        <w:t xml:space="preserve"> for a disease outbreak was used by </w:t>
      </w:r>
      <w:r w:rsidR="00FA3862">
        <w:rPr>
          <w:bCs/>
        </w:rPr>
        <w:t xml:space="preserve">Dwyer and Clarke to derive </w:t>
      </w:r>
      <w:r w:rsidR="00707CD5">
        <w:rPr>
          <w:bCs/>
        </w:rPr>
        <w:t xml:space="preserve">expected </w:t>
      </w:r>
      <w:r w:rsidR="00FA3862">
        <w:rPr>
          <w:bCs/>
        </w:rPr>
        <w:t>annual benefits from NLIS, assuming the likelihood of an outbr</w:t>
      </w:r>
      <w:r w:rsidR="002C446B">
        <w:rPr>
          <w:bCs/>
        </w:rPr>
        <w:t>e</w:t>
      </w:r>
      <w:r w:rsidR="00FA3862">
        <w:rPr>
          <w:bCs/>
        </w:rPr>
        <w:t xml:space="preserve">ak occurring in a single year to be 1.5%.  </w:t>
      </w:r>
      <w:r>
        <w:rPr>
          <w:bCs/>
        </w:rPr>
        <w:t xml:space="preserve">We note that some of the details of Dwyer and Clarke have been subsequently questioned by White </w:t>
      </w:r>
      <w:r w:rsidRPr="00846590">
        <w:rPr>
          <w:bCs/>
          <w:i/>
          <w:iCs/>
        </w:rPr>
        <w:t>et al</w:t>
      </w:r>
      <w:r>
        <w:rPr>
          <w:bCs/>
        </w:rPr>
        <w:t>. (2019) but do not expect this to have a major impact on our main conclusions.</w:t>
      </w:r>
    </w:p>
    <w:p w14:paraId="0A27708C" w14:textId="77777777" w:rsidR="00842FBA" w:rsidRDefault="00842FBA" w:rsidP="00DB5709">
      <w:pPr>
        <w:rPr>
          <w:bCs/>
        </w:rPr>
      </w:pPr>
    </w:p>
    <w:p w14:paraId="0C44E9FD" w14:textId="412E293D" w:rsidR="002802F9" w:rsidRDefault="002802F9" w:rsidP="00DB5709">
      <w:pPr>
        <w:rPr>
          <w:bCs/>
        </w:rPr>
      </w:pPr>
      <w:r>
        <w:rPr>
          <w:bCs/>
        </w:rPr>
        <w:t xml:space="preserve">The beef and sheep industries </w:t>
      </w:r>
      <w:r w:rsidR="00391421">
        <w:rPr>
          <w:bCs/>
        </w:rPr>
        <w:t>currently have different NLIS protocols</w:t>
      </w:r>
      <w:r w:rsidR="002C446B">
        <w:rPr>
          <w:bCs/>
        </w:rPr>
        <w:t xml:space="preserve"> </w:t>
      </w:r>
      <w:r w:rsidR="00487214">
        <w:rPr>
          <w:bCs/>
        </w:rPr>
        <w:t>resulting in</w:t>
      </w:r>
      <w:r w:rsidR="002C446B">
        <w:rPr>
          <w:bCs/>
        </w:rPr>
        <w:t xml:space="preserve"> different traceability levels</w:t>
      </w:r>
      <w:r w:rsidR="00487214">
        <w:rPr>
          <w:bCs/>
        </w:rPr>
        <w:t xml:space="preserve">; and furthermore, </w:t>
      </w:r>
      <w:r w:rsidR="00391421">
        <w:rPr>
          <w:bCs/>
        </w:rPr>
        <w:t xml:space="preserve">the additional benefits </w:t>
      </w:r>
      <w:r w:rsidR="00640CE9">
        <w:rPr>
          <w:bCs/>
        </w:rPr>
        <w:t>derived from genomic information take a different form in the two industries, so they will be considered separately.</w:t>
      </w:r>
    </w:p>
    <w:p w14:paraId="00AB2A8C" w14:textId="4C9AFF76" w:rsidR="00724E7B" w:rsidRDefault="00724E7B" w:rsidP="00724E7B">
      <w:pPr>
        <w:rPr>
          <w:b/>
        </w:rPr>
      </w:pPr>
    </w:p>
    <w:p w14:paraId="51A00424" w14:textId="77777777" w:rsidR="002802F9" w:rsidRPr="00461BCB" w:rsidRDefault="002802F9" w:rsidP="00890E20">
      <w:pPr>
        <w:pStyle w:val="Heading2"/>
      </w:pPr>
      <w:bookmarkStart w:id="152" w:name="_Toc95983405"/>
      <w:r w:rsidRPr="00461BCB">
        <w:t>a) Beef</w:t>
      </w:r>
      <w:bookmarkEnd w:id="152"/>
    </w:p>
    <w:p w14:paraId="2D224417" w14:textId="77777777" w:rsidR="002802F9" w:rsidRDefault="002802F9" w:rsidP="00724E7B">
      <w:pPr>
        <w:rPr>
          <w:b/>
        </w:rPr>
      </w:pPr>
    </w:p>
    <w:p w14:paraId="1EBD94D7" w14:textId="00DDDECD" w:rsidR="00890E20" w:rsidRPr="00E20F0F" w:rsidRDefault="00890E20" w:rsidP="00890E20">
      <w:pPr>
        <w:pStyle w:val="Heading3"/>
      </w:pPr>
      <w:bookmarkStart w:id="153" w:name="_Toc95983406"/>
      <w:r w:rsidRPr="00E20F0F">
        <w:t>Traceability in the beef value chain</w:t>
      </w:r>
      <w:bookmarkEnd w:id="153"/>
    </w:p>
    <w:p w14:paraId="3C6C0D7F" w14:textId="77777777" w:rsidR="00890E20" w:rsidRDefault="00890E20" w:rsidP="00B465EF">
      <w:pPr>
        <w:rPr>
          <w:bCs/>
          <w:highlight w:val="yellow"/>
        </w:rPr>
      </w:pPr>
    </w:p>
    <w:p w14:paraId="4438FC4A" w14:textId="56B7EEE1" w:rsidR="0002316A" w:rsidRDefault="007D1865" w:rsidP="00B465EF">
      <w:pPr>
        <w:rPr>
          <w:bCs/>
        </w:rPr>
      </w:pPr>
      <w:r w:rsidRPr="007D1865">
        <w:rPr>
          <w:bCs/>
        </w:rPr>
        <w:t>Dwyer</w:t>
      </w:r>
      <w:r>
        <w:rPr>
          <w:bCs/>
        </w:rPr>
        <w:t xml:space="preserve"> and Clarke (2015) assumed that traceability in the beef industry </w:t>
      </w:r>
      <w:r w:rsidR="00B349B2">
        <w:rPr>
          <w:bCs/>
        </w:rPr>
        <w:t xml:space="preserve">with NLIS is 97%, which compares with 65% pre-NLIS. </w:t>
      </w:r>
      <w:r w:rsidR="00432C68">
        <w:rPr>
          <w:bCs/>
        </w:rPr>
        <w:t xml:space="preserve"> Results from our survey and </w:t>
      </w:r>
      <w:r w:rsidR="0010572D">
        <w:rPr>
          <w:bCs/>
        </w:rPr>
        <w:t>stakeholder interviews suggest that given levels of tag losses</w:t>
      </w:r>
      <w:r w:rsidR="00B349B2">
        <w:rPr>
          <w:bCs/>
        </w:rPr>
        <w:t xml:space="preserve"> </w:t>
      </w:r>
      <w:r w:rsidR="0010572D">
        <w:rPr>
          <w:bCs/>
        </w:rPr>
        <w:t xml:space="preserve">being experienced </w:t>
      </w:r>
      <w:r w:rsidR="008F2DF3">
        <w:rPr>
          <w:bCs/>
        </w:rPr>
        <w:t>and other imperfections in the system, 97% may be too high</w:t>
      </w:r>
      <w:r w:rsidR="008E0BB1">
        <w:rPr>
          <w:bCs/>
        </w:rPr>
        <w:t>, but we have used 97% as the base case in favour of erring on the conservative side.</w:t>
      </w:r>
      <w:r w:rsidR="0013795D">
        <w:rPr>
          <w:bCs/>
        </w:rPr>
        <w:t xml:space="preserve">  We also assume that the addition of genomic identification o</w:t>
      </w:r>
      <w:r w:rsidR="006F133C">
        <w:rPr>
          <w:bCs/>
        </w:rPr>
        <w:t>n</w:t>
      </w:r>
      <w:r w:rsidR="0013795D">
        <w:rPr>
          <w:bCs/>
        </w:rPr>
        <w:t xml:space="preserve"> all cattle increases traceability levels to </w:t>
      </w:r>
      <w:r w:rsidR="006F133C">
        <w:rPr>
          <w:bCs/>
        </w:rPr>
        <w:t xml:space="preserve">99.5%. </w:t>
      </w:r>
      <w:r w:rsidR="00BE7DC3">
        <w:rPr>
          <w:bCs/>
        </w:rPr>
        <w:t>Given the high cost of genotyping (assumed here to be $33 per sample), have also examined a scenario where only half of the national herd is genotyped</w:t>
      </w:r>
      <w:r w:rsidR="00CA2025">
        <w:rPr>
          <w:bCs/>
        </w:rPr>
        <w:t xml:space="preserve"> </w:t>
      </w:r>
      <w:proofErr w:type="gramStart"/>
      <w:r w:rsidR="00CA2025">
        <w:rPr>
          <w:bCs/>
        </w:rPr>
        <w:t>in order to</w:t>
      </w:r>
      <w:proofErr w:type="gramEnd"/>
      <w:r w:rsidR="00CA2025">
        <w:rPr>
          <w:bCs/>
        </w:rPr>
        <w:t xml:space="preserve"> reduce costs, </w:t>
      </w:r>
      <w:r w:rsidR="005B73E6">
        <w:rPr>
          <w:bCs/>
        </w:rPr>
        <w:t xml:space="preserve">leading to 99% traceability.  </w:t>
      </w:r>
      <w:r w:rsidR="00802A97">
        <w:rPr>
          <w:bCs/>
        </w:rPr>
        <w:t xml:space="preserve">This level seems reasonable, given that </w:t>
      </w:r>
      <w:r w:rsidR="00002518">
        <w:rPr>
          <w:bCs/>
        </w:rPr>
        <w:t>NLIS is already assumed to provide 97%</w:t>
      </w:r>
      <w:r w:rsidR="009D500E">
        <w:rPr>
          <w:bCs/>
        </w:rPr>
        <w:t xml:space="preserve"> and the half to be genotyped could be </w:t>
      </w:r>
      <w:r w:rsidR="00CF17D8">
        <w:rPr>
          <w:bCs/>
        </w:rPr>
        <w:t xml:space="preserve">chosen to be </w:t>
      </w:r>
      <w:r w:rsidR="0013130E">
        <w:rPr>
          <w:bCs/>
        </w:rPr>
        <w:t xml:space="preserve">highly </w:t>
      </w:r>
      <w:r w:rsidR="00CF17D8">
        <w:rPr>
          <w:bCs/>
        </w:rPr>
        <w:t xml:space="preserve">representative of the national herd </w:t>
      </w:r>
      <w:r w:rsidR="0013130E">
        <w:rPr>
          <w:bCs/>
        </w:rPr>
        <w:t>(</w:t>
      </w:r>
      <w:proofErr w:type="gramStart"/>
      <w:r w:rsidR="0013130E" w:rsidRPr="0013130E">
        <w:rPr>
          <w:bCs/>
          <w:i/>
          <w:iCs/>
        </w:rPr>
        <w:t>e.g.</w:t>
      </w:r>
      <w:proofErr w:type="gramEnd"/>
      <w:r w:rsidR="0013130E">
        <w:rPr>
          <w:bCs/>
        </w:rPr>
        <w:t xml:space="preserve"> all of the males). </w:t>
      </w:r>
      <w:r w:rsidR="003B468A" w:rsidRPr="003B468A">
        <w:rPr>
          <w:bCs/>
        </w:rPr>
        <w:t xml:space="preserve">This would obviously include </w:t>
      </w:r>
      <w:proofErr w:type="gramStart"/>
      <w:r w:rsidR="003B468A" w:rsidRPr="003B468A">
        <w:rPr>
          <w:bCs/>
        </w:rPr>
        <w:t>all of</w:t>
      </w:r>
      <w:proofErr w:type="gramEnd"/>
      <w:r w:rsidR="003B468A" w:rsidRPr="003B468A">
        <w:rPr>
          <w:bCs/>
        </w:rPr>
        <w:t xml:space="preserve"> the sires, except for those used in the form of imported semen.</w:t>
      </w:r>
      <w:r w:rsidR="0013130E">
        <w:rPr>
          <w:bCs/>
        </w:rPr>
        <w:t xml:space="preserve"> </w:t>
      </w:r>
      <w:r w:rsidR="005B73E6">
        <w:rPr>
          <w:bCs/>
        </w:rPr>
        <w:t>To further reduce costs</w:t>
      </w:r>
      <w:r w:rsidR="002D16FB">
        <w:rPr>
          <w:bCs/>
        </w:rPr>
        <w:t xml:space="preserve">, a fourth scenario is modelled where only sires are genotyped for the </w:t>
      </w:r>
      <w:r w:rsidR="00DB6284">
        <w:rPr>
          <w:bCs/>
        </w:rPr>
        <w:t>reference database</w:t>
      </w:r>
      <w:r w:rsidR="002D16FB">
        <w:rPr>
          <w:bCs/>
        </w:rPr>
        <w:t xml:space="preserve">. The traceability level </w:t>
      </w:r>
      <w:r w:rsidR="00F34FB1">
        <w:rPr>
          <w:bCs/>
        </w:rPr>
        <w:t xml:space="preserve">for this is also set at 99%, </w:t>
      </w:r>
      <w:r w:rsidR="00DB6284">
        <w:rPr>
          <w:bCs/>
        </w:rPr>
        <w:t xml:space="preserve">to </w:t>
      </w:r>
      <w:r w:rsidR="003329E7">
        <w:rPr>
          <w:bCs/>
        </w:rPr>
        <w:t xml:space="preserve">allow for the fact that in some northern beef operations, sires may </w:t>
      </w:r>
      <w:r w:rsidR="0054484A">
        <w:rPr>
          <w:bCs/>
        </w:rPr>
        <w:t>include some males that were not marked and are not likely to be sampled</w:t>
      </w:r>
      <w:r w:rsidR="006A0267">
        <w:rPr>
          <w:bCs/>
        </w:rPr>
        <w:t xml:space="preserve"> (although their close relatives most likely are).</w:t>
      </w:r>
      <w:r w:rsidR="004834D2">
        <w:rPr>
          <w:bCs/>
        </w:rPr>
        <w:t xml:space="preserve"> </w:t>
      </w:r>
      <w:r w:rsidR="0054484A">
        <w:rPr>
          <w:bCs/>
        </w:rPr>
        <w:t xml:space="preserve"> </w:t>
      </w:r>
    </w:p>
    <w:p w14:paraId="0A1C57A9" w14:textId="77777777" w:rsidR="0002316A" w:rsidRDefault="0002316A" w:rsidP="00B465EF">
      <w:pPr>
        <w:rPr>
          <w:bCs/>
        </w:rPr>
      </w:pPr>
    </w:p>
    <w:p w14:paraId="6AFF0E9B" w14:textId="671A7BFE" w:rsidR="00E20F0F" w:rsidRDefault="006F133C" w:rsidP="00B465EF">
      <w:pPr>
        <w:rPr>
          <w:bCs/>
        </w:rPr>
      </w:pPr>
      <w:proofErr w:type="gramStart"/>
      <w:r>
        <w:rPr>
          <w:bCs/>
        </w:rPr>
        <w:t>Thus</w:t>
      </w:r>
      <w:proofErr w:type="gramEnd"/>
      <w:r>
        <w:rPr>
          <w:bCs/>
        </w:rPr>
        <w:t xml:space="preserve"> our particular interest is in the part of Curve A in </w:t>
      </w:r>
      <w:r>
        <w:rPr>
          <w:bCs/>
        </w:rPr>
        <w:fldChar w:fldCharType="begin"/>
      </w:r>
      <w:r>
        <w:rPr>
          <w:bCs/>
        </w:rPr>
        <w:instrText xml:space="preserve"> REF _Ref92046291 \h </w:instrText>
      </w:r>
      <w:r>
        <w:rPr>
          <w:bCs/>
        </w:rPr>
      </w:r>
      <w:r>
        <w:rPr>
          <w:bCs/>
        </w:rPr>
        <w:fldChar w:fldCharType="separate"/>
      </w:r>
      <w:r w:rsidR="008D0D42">
        <w:t xml:space="preserve">Figure </w:t>
      </w:r>
      <w:r w:rsidR="008D0D42">
        <w:rPr>
          <w:noProof/>
        </w:rPr>
        <w:t>32</w:t>
      </w:r>
      <w:r>
        <w:rPr>
          <w:bCs/>
        </w:rPr>
        <w:fldChar w:fldCharType="end"/>
      </w:r>
      <w:r>
        <w:rPr>
          <w:bCs/>
        </w:rPr>
        <w:t xml:space="preserve"> that lies between 97% traceability and 100% traceability. </w:t>
      </w:r>
      <w:r w:rsidR="00D628D7">
        <w:rPr>
          <w:bCs/>
        </w:rPr>
        <w:t xml:space="preserve"> </w:t>
      </w:r>
      <w:r w:rsidR="00C87655">
        <w:rPr>
          <w:bCs/>
        </w:rPr>
        <w:t>A</w:t>
      </w:r>
      <w:r w:rsidR="00D628D7">
        <w:rPr>
          <w:bCs/>
        </w:rPr>
        <w:t xml:space="preserve">s the curve is not mathematically defined, we have assumed that the </w:t>
      </w:r>
      <w:r w:rsidR="00D628D7">
        <w:rPr>
          <w:bCs/>
        </w:rPr>
        <w:lastRenderedPageBreak/>
        <w:t>relationship between traceability and disease cost is linear over this range</w:t>
      </w:r>
      <w:r w:rsidR="009D6A32">
        <w:rPr>
          <w:bCs/>
        </w:rPr>
        <w:t xml:space="preserve"> (passing through the points in </w:t>
      </w:r>
      <w:r w:rsidR="009D6A32">
        <w:rPr>
          <w:bCs/>
        </w:rPr>
        <w:fldChar w:fldCharType="begin"/>
      </w:r>
      <w:r w:rsidR="009D6A32">
        <w:rPr>
          <w:bCs/>
        </w:rPr>
        <w:instrText xml:space="preserve"> REF _Ref92046291 \h </w:instrText>
      </w:r>
      <w:r w:rsidR="009D6A32">
        <w:rPr>
          <w:bCs/>
        </w:rPr>
      </w:r>
      <w:r w:rsidR="009D6A32">
        <w:rPr>
          <w:bCs/>
        </w:rPr>
        <w:fldChar w:fldCharType="separate"/>
      </w:r>
      <w:r w:rsidR="008D0D42">
        <w:t xml:space="preserve">Figure </w:t>
      </w:r>
      <w:r w:rsidR="008D0D42">
        <w:rPr>
          <w:noProof/>
        </w:rPr>
        <w:t>32</w:t>
      </w:r>
      <w:r w:rsidR="009D6A32">
        <w:rPr>
          <w:bCs/>
        </w:rPr>
        <w:fldChar w:fldCharType="end"/>
      </w:r>
      <w:proofErr w:type="gramStart"/>
      <w:r w:rsidR="009D6A32">
        <w:rPr>
          <w:bCs/>
        </w:rPr>
        <w:t>)</w:t>
      </w:r>
      <w:r w:rsidR="0002316A">
        <w:rPr>
          <w:bCs/>
        </w:rPr>
        <w:t>, and</w:t>
      </w:r>
      <w:proofErr w:type="gramEnd"/>
      <w:r w:rsidR="0002316A">
        <w:rPr>
          <w:bCs/>
        </w:rPr>
        <w:t xml:space="preserve"> interpolated a value for intermediate levels of traceability. </w:t>
      </w:r>
      <w:r w:rsidR="009173E7">
        <w:rPr>
          <w:bCs/>
        </w:rPr>
        <w:t xml:space="preserve"> We have then converted this to an annual </w:t>
      </w:r>
      <w:r w:rsidR="00DF1A07">
        <w:rPr>
          <w:bCs/>
        </w:rPr>
        <w:t>trace</w:t>
      </w:r>
      <w:r w:rsidR="00E94A0A">
        <w:rPr>
          <w:bCs/>
        </w:rPr>
        <w:t>a</w:t>
      </w:r>
      <w:r w:rsidR="00DF1A07">
        <w:rPr>
          <w:bCs/>
        </w:rPr>
        <w:t xml:space="preserve">bility </w:t>
      </w:r>
      <w:r w:rsidR="009173E7">
        <w:rPr>
          <w:bCs/>
        </w:rPr>
        <w:t xml:space="preserve">benefit using the </w:t>
      </w:r>
      <w:r w:rsidR="00DF1A07">
        <w:rPr>
          <w:bCs/>
        </w:rPr>
        <w:t xml:space="preserve">average </w:t>
      </w:r>
      <w:r w:rsidR="009173E7">
        <w:rPr>
          <w:bCs/>
        </w:rPr>
        <w:t xml:space="preserve">relationship </w:t>
      </w:r>
      <w:r w:rsidR="005875DD">
        <w:rPr>
          <w:bCs/>
        </w:rPr>
        <w:t>derived by Dwyer and Clarke</w:t>
      </w:r>
      <w:r w:rsidR="00DF1A07">
        <w:rPr>
          <w:bCs/>
        </w:rPr>
        <w:t xml:space="preserve"> (2015) and </w:t>
      </w:r>
      <w:r w:rsidR="00E94A0A">
        <w:rPr>
          <w:bCs/>
        </w:rPr>
        <w:t>allowed for only 76% of the total benefit coming from beef (with the remainder from sheep).</w:t>
      </w:r>
      <w:r w:rsidR="005875DD">
        <w:rPr>
          <w:bCs/>
        </w:rPr>
        <w:t xml:space="preserve"> </w:t>
      </w:r>
      <w:r w:rsidR="0002316A">
        <w:rPr>
          <w:bCs/>
        </w:rPr>
        <w:t xml:space="preserve"> </w:t>
      </w:r>
      <w:r w:rsidR="00D628D7">
        <w:rPr>
          <w:bCs/>
        </w:rPr>
        <w:t xml:space="preserve"> </w:t>
      </w:r>
      <w:r>
        <w:rPr>
          <w:bCs/>
        </w:rPr>
        <w:t xml:space="preserve"> </w:t>
      </w:r>
    </w:p>
    <w:p w14:paraId="2DB12437" w14:textId="77777777" w:rsidR="00A31DAC" w:rsidRDefault="00A31DAC" w:rsidP="00B465EF">
      <w:pPr>
        <w:rPr>
          <w:bCs/>
        </w:rPr>
      </w:pPr>
    </w:p>
    <w:p w14:paraId="72BF5974" w14:textId="0FFB2E6B" w:rsidR="00BD4A49" w:rsidRDefault="008D6249" w:rsidP="00B465EF">
      <w:pPr>
        <w:rPr>
          <w:bCs/>
        </w:rPr>
      </w:pPr>
      <w:r>
        <w:rPr>
          <w:bCs/>
        </w:rPr>
        <w:fldChar w:fldCharType="begin"/>
      </w:r>
      <w:r>
        <w:rPr>
          <w:bCs/>
        </w:rPr>
        <w:instrText xml:space="preserve"> REF _Ref92052583 \h </w:instrText>
      </w:r>
      <w:r>
        <w:rPr>
          <w:bCs/>
        </w:rPr>
      </w:r>
      <w:r>
        <w:rPr>
          <w:bCs/>
        </w:rPr>
        <w:fldChar w:fldCharType="separate"/>
      </w:r>
      <w:r w:rsidR="008D0D42">
        <w:t xml:space="preserve">Table </w:t>
      </w:r>
      <w:r w:rsidR="008D0D42">
        <w:rPr>
          <w:noProof/>
        </w:rPr>
        <w:t>1</w:t>
      </w:r>
      <w:r>
        <w:rPr>
          <w:bCs/>
        </w:rPr>
        <w:fldChar w:fldCharType="end"/>
      </w:r>
      <w:r>
        <w:rPr>
          <w:bCs/>
        </w:rPr>
        <w:t xml:space="preserve"> </w:t>
      </w:r>
      <w:r w:rsidR="005F7CFB">
        <w:rPr>
          <w:bCs/>
        </w:rPr>
        <w:t xml:space="preserve">shows the </w:t>
      </w:r>
      <w:r w:rsidR="00071C45">
        <w:rPr>
          <w:bCs/>
        </w:rPr>
        <w:t xml:space="preserve">estimated annual benefits of traceability </w:t>
      </w:r>
      <w:r w:rsidR="00BD4A49">
        <w:rPr>
          <w:bCs/>
        </w:rPr>
        <w:t>at four levels, using the methodology described above</w:t>
      </w:r>
      <w:r w:rsidR="00503873">
        <w:rPr>
          <w:bCs/>
        </w:rPr>
        <w:t xml:space="preserve"> and assuming</w:t>
      </w:r>
      <w:r w:rsidR="00BD4A49">
        <w:rPr>
          <w:bCs/>
        </w:rPr>
        <w:t>:</w:t>
      </w:r>
    </w:p>
    <w:p w14:paraId="53BCADDD" w14:textId="77777777" w:rsidR="00BD4A49" w:rsidRDefault="00BD4A49" w:rsidP="00BD4A49">
      <w:pPr>
        <w:rPr>
          <w:bCs/>
        </w:rPr>
      </w:pPr>
    </w:p>
    <w:p w14:paraId="3203F4FE" w14:textId="63AC3D64" w:rsidR="00BD4A49" w:rsidRPr="00C87655" w:rsidRDefault="00BD4A49" w:rsidP="00C87655">
      <w:pPr>
        <w:pStyle w:val="ListParagraph"/>
        <w:numPr>
          <w:ilvl w:val="0"/>
          <w:numId w:val="37"/>
        </w:numPr>
        <w:rPr>
          <w:bCs/>
        </w:rPr>
      </w:pPr>
      <w:r w:rsidRPr="00C87655">
        <w:rPr>
          <w:bCs/>
        </w:rPr>
        <w:t>NLIS with 97% traceability</w:t>
      </w:r>
    </w:p>
    <w:p w14:paraId="5CDA898A" w14:textId="064E41CB" w:rsidR="00BD4A49" w:rsidRPr="00C87655" w:rsidRDefault="00BD4A49" w:rsidP="00C87655">
      <w:pPr>
        <w:pStyle w:val="ListParagraph"/>
        <w:numPr>
          <w:ilvl w:val="0"/>
          <w:numId w:val="37"/>
        </w:numPr>
        <w:rPr>
          <w:bCs/>
        </w:rPr>
      </w:pPr>
      <w:r w:rsidRPr="00C87655">
        <w:rPr>
          <w:bCs/>
        </w:rPr>
        <w:t xml:space="preserve">NLIS + 100% genotyping </w:t>
      </w:r>
      <w:r w:rsidR="009E0114" w:rsidRPr="00C87655">
        <w:rPr>
          <w:bCs/>
        </w:rPr>
        <w:t xml:space="preserve">(giving an expected level of traceability of </w:t>
      </w:r>
      <w:r w:rsidRPr="00C87655">
        <w:rPr>
          <w:bCs/>
        </w:rPr>
        <w:t>99.5%</w:t>
      </w:r>
      <w:r w:rsidR="009E0114" w:rsidRPr="00C87655">
        <w:rPr>
          <w:bCs/>
        </w:rPr>
        <w:t>)</w:t>
      </w:r>
    </w:p>
    <w:p w14:paraId="46DB6819" w14:textId="1561490A" w:rsidR="00BD4A49" w:rsidRPr="00C87655" w:rsidRDefault="00BD4A49" w:rsidP="00C87655">
      <w:pPr>
        <w:pStyle w:val="ListParagraph"/>
        <w:numPr>
          <w:ilvl w:val="0"/>
          <w:numId w:val="37"/>
        </w:numPr>
        <w:rPr>
          <w:bCs/>
        </w:rPr>
      </w:pPr>
      <w:r w:rsidRPr="00C87655">
        <w:rPr>
          <w:bCs/>
        </w:rPr>
        <w:t xml:space="preserve">NLIS + 50% genotyping </w:t>
      </w:r>
      <w:r w:rsidR="009E0114" w:rsidRPr="00C87655">
        <w:rPr>
          <w:bCs/>
        </w:rPr>
        <w:t>(</w:t>
      </w:r>
      <w:proofErr w:type="gramStart"/>
      <w:r w:rsidR="009E0114" w:rsidRPr="00C87655">
        <w:rPr>
          <w:bCs/>
        </w:rPr>
        <w:t>i.e.</w:t>
      </w:r>
      <w:proofErr w:type="gramEnd"/>
      <w:r w:rsidR="009E0114" w:rsidRPr="00C87655">
        <w:rPr>
          <w:bCs/>
        </w:rPr>
        <w:t xml:space="preserve"> half the beef herd, giving</w:t>
      </w:r>
      <w:r w:rsidRPr="00C87655">
        <w:rPr>
          <w:bCs/>
        </w:rPr>
        <w:t xml:space="preserve"> </w:t>
      </w:r>
      <w:r w:rsidR="00F34FB1" w:rsidRPr="00C87655">
        <w:rPr>
          <w:bCs/>
        </w:rPr>
        <w:t>99</w:t>
      </w:r>
      <w:r w:rsidRPr="00C87655">
        <w:rPr>
          <w:bCs/>
        </w:rPr>
        <w:t>% traceability)</w:t>
      </w:r>
    </w:p>
    <w:p w14:paraId="0EE6E5E9" w14:textId="7D9BC51B" w:rsidR="00BD4A49" w:rsidRPr="00C87655" w:rsidRDefault="00BD4A49" w:rsidP="00C87655">
      <w:pPr>
        <w:pStyle w:val="ListParagraph"/>
        <w:numPr>
          <w:ilvl w:val="0"/>
          <w:numId w:val="37"/>
        </w:numPr>
        <w:rPr>
          <w:bCs/>
        </w:rPr>
      </w:pPr>
      <w:r w:rsidRPr="00C87655">
        <w:rPr>
          <w:bCs/>
        </w:rPr>
        <w:t>NLIS + sire genotyping</w:t>
      </w:r>
      <w:r w:rsidR="00F34FB1" w:rsidRPr="00C87655">
        <w:rPr>
          <w:bCs/>
        </w:rPr>
        <w:t xml:space="preserve">, also giving </w:t>
      </w:r>
      <w:r w:rsidRPr="00C87655">
        <w:rPr>
          <w:bCs/>
        </w:rPr>
        <w:t>99% traceability</w:t>
      </w:r>
      <w:r w:rsidR="009E0114" w:rsidRPr="00C87655">
        <w:rPr>
          <w:bCs/>
        </w:rPr>
        <w:t>.</w:t>
      </w:r>
    </w:p>
    <w:p w14:paraId="0C553365" w14:textId="1597C1C4" w:rsidR="0052691A" w:rsidRDefault="0052691A" w:rsidP="00BD4A49">
      <w:pPr>
        <w:rPr>
          <w:bCs/>
        </w:rPr>
      </w:pPr>
    </w:p>
    <w:p w14:paraId="6355F3EC" w14:textId="1061ADF6" w:rsidR="00BD4A49" w:rsidRDefault="00DB6548" w:rsidP="00475E28">
      <w:pPr>
        <w:pStyle w:val="Caption"/>
      </w:pPr>
      <w:bookmarkStart w:id="154" w:name="_Ref92052583"/>
      <w:bookmarkStart w:id="155" w:name="_Toc95983444"/>
      <w:r>
        <w:t xml:space="preserve">Table </w:t>
      </w:r>
      <w:r>
        <w:fldChar w:fldCharType="begin"/>
      </w:r>
      <w:r>
        <w:instrText>SEQ Table \* ARABIC</w:instrText>
      </w:r>
      <w:r>
        <w:fldChar w:fldCharType="separate"/>
      </w:r>
      <w:r w:rsidR="008D0D42">
        <w:rPr>
          <w:noProof/>
        </w:rPr>
        <w:t>1</w:t>
      </w:r>
      <w:r>
        <w:fldChar w:fldCharType="end"/>
      </w:r>
      <w:bookmarkEnd w:id="154"/>
      <w:r>
        <w:t xml:space="preserve">. </w:t>
      </w:r>
      <w:r w:rsidR="00A57324">
        <w:t>Estimated costs and benefits</w:t>
      </w:r>
      <w:r w:rsidR="008452B8">
        <w:t xml:space="preserve"> using genotyping to aid traceability.</w:t>
      </w:r>
      <w:bookmarkEnd w:id="155"/>
    </w:p>
    <w:p w14:paraId="53B5C0B2" w14:textId="7EAE47D9" w:rsidR="008452B8" w:rsidRDefault="008452B8" w:rsidP="00B465EF">
      <w:pPr>
        <w:rPr>
          <w:bCs/>
        </w:rPr>
      </w:pPr>
    </w:p>
    <w:tbl>
      <w:tblPr>
        <w:tblW w:w="8215" w:type="dxa"/>
        <w:tblInd w:w="108" w:type="dxa"/>
        <w:tblLayout w:type="fixed"/>
        <w:tblLook w:val="04A0" w:firstRow="1" w:lastRow="0" w:firstColumn="1" w:lastColumn="0" w:noHBand="0" w:noVBand="1"/>
      </w:tblPr>
      <w:tblGrid>
        <w:gridCol w:w="709"/>
        <w:gridCol w:w="3402"/>
        <w:gridCol w:w="992"/>
        <w:gridCol w:w="24"/>
        <w:gridCol w:w="1016"/>
        <w:gridCol w:w="1016"/>
        <w:gridCol w:w="1016"/>
        <w:gridCol w:w="40"/>
      </w:tblGrid>
      <w:tr w:rsidR="00696769" w:rsidRPr="002B2EB0" w14:paraId="259C557B" w14:textId="77777777" w:rsidTr="002B093E">
        <w:trPr>
          <w:trHeight w:val="315"/>
        </w:trPr>
        <w:tc>
          <w:tcPr>
            <w:tcW w:w="709" w:type="dxa"/>
            <w:tcBorders>
              <w:top w:val="nil"/>
              <w:left w:val="nil"/>
              <w:bottom w:val="nil"/>
              <w:right w:val="nil"/>
            </w:tcBorders>
            <w:shd w:val="clear" w:color="auto" w:fill="auto"/>
            <w:noWrap/>
            <w:vAlign w:val="bottom"/>
            <w:hideMark/>
          </w:tcPr>
          <w:p w14:paraId="60149525" w14:textId="77777777" w:rsidR="00696769" w:rsidRPr="002B2EB0" w:rsidRDefault="00696769" w:rsidP="002B2EB0">
            <w:pPr>
              <w:rPr>
                <w:rFonts w:ascii="Calibri" w:eastAsia="Times New Roman" w:hAnsi="Calibri" w:cs="Calibri"/>
                <w:color w:val="000000"/>
                <w:sz w:val="20"/>
                <w:szCs w:val="20"/>
                <w:lang w:eastAsia="en-AU"/>
              </w:rPr>
            </w:pPr>
            <w:r w:rsidRPr="002B2EB0">
              <w:rPr>
                <w:rFonts w:ascii="Calibri" w:eastAsia="Times New Roman" w:hAnsi="Calibri" w:cs="Calibri"/>
                <w:color w:val="000000"/>
                <w:sz w:val="20"/>
                <w:szCs w:val="20"/>
                <w:lang w:eastAsia="en-AU"/>
              </w:rPr>
              <w:t>Note</w:t>
            </w:r>
          </w:p>
        </w:tc>
        <w:tc>
          <w:tcPr>
            <w:tcW w:w="3402" w:type="dxa"/>
            <w:tcBorders>
              <w:left w:val="nil"/>
              <w:bottom w:val="single" w:sz="8" w:space="0" w:color="auto"/>
              <w:right w:val="nil"/>
            </w:tcBorders>
            <w:shd w:val="clear" w:color="auto" w:fill="auto"/>
            <w:vAlign w:val="center"/>
            <w:hideMark/>
          </w:tcPr>
          <w:p w14:paraId="10AA9BDD" w14:textId="77777777" w:rsidR="00696769" w:rsidRPr="002B2EB0" w:rsidRDefault="00696769" w:rsidP="002B2EB0">
            <w:pPr>
              <w:rPr>
                <w:rFonts w:ascii="Calibri" w:eastAsia="Times New Roman" w:hAnsi="Calibri" w:cs="Calibri"/>
                <w:b/>
                <w:bCs/>
                <w:color w:val="000000"/>
                <w:lang w:eastAsia="en-AU"/>
              </w:rPr>
            </w:pPr>
            <w:r w:rsidRPr="002B2EB0">
              <w:rPr>
                <w:rFonts w:ascii="Calibri" w:eastAsia="Times New Roman" w:hAnsi="Calibri" w:cs="Calibri"/>
                <w:b/>
                <w:bCs/>
                <w:color w:val="000000"/>
                <w:lang w:eastAsia="en-AU"/>
              </w:rPr>
              <w:t>  Parameter</w:t>
            </w:r>
          </w:p>
        </w:tc>
        <w:tc>
          <w:tcPr>
            <w:tcW w:w="992" w:type="dxa"/>
            <w:tcBorders>
              <w:left w:val="nil"/>
              <w:bottom w:val="single" w:sz="8" w:space="0" w:color="auto"/>
              <w:right w:val="nil"/>
            </w:tcBorders>
            <w:shd w:val="clear" w:color="auto" w:fill="auto"/>
            <w:vAlign w:val="center"/>
            <w:hideMark/>
          </w:tcPr>
          <w:p w14:paraId="7C2A2494" w14:textId="77777777" w:rsidR="00696769" w:rsidRPr="002B2EB0" w:rsidRDefault="00696769" w:rsidP="002B2EB0">
            <w:pPr>
              <w:jc w:val="center"/>
              <w:rPr>
                <w:rFonts w:ascii="Calibri" w:eastAsia="Times New Roman" w:hAnsi="Calibri" w:cs="Calibri"/>
                <w:b/>
                <w:bCs/>
                <w:color w:val="000000"/>
                <w:lang w:eastAsia="en-AU"/>
              </w:rPr>
            </w:pPr>
            <w:r w:rsidRPr="002B2EB0">
              <w:rPr>
                <w:rFonts w:ascii="Calibri" w:eastAsia="Times New Roman" w:hAnsi="Calibri" w:cs="Calibri"/>
                <w:b/>
                <w:bCs/>
                <w:color w:val="000000"/>
                <w:lang w:eastAsia="en-AU"/>
              </w:rPr>
              <w:t>NLIS</w:t>
            </w:r>
            <w:r w:rsidRPr="002B2EB0">
              <w:rPr>
                <w:rFonts w:ascii="Calibri" w:eastAsia="Times New Roman" w:hAnsi="Calibri" w:cs="Calibri"/>
                <w:color w:val="000000"/>
                <w:lang w:eastAsia="en-AU"/>
              </w:rPr>
              <w:t> </w:t>
            </w:r>
          </w:p>
        </w:tc>
        <w:tc>
          <w:tcPr>
            <w:tcW w:w="3112" w:type="dxa"/>
            <w:gridSpan w:val="5"/>
            <w:tcBorders>
              <w:left w:val="nil"/>
              <w:bottom w:val="single" w:sz="8" w:space="0" w:color="auto"/>
              <w:right w:val="nil"/>
            </w:tcBorders>
          </w:tcPr>
          <w:p w14:paraId="7666A097" w14:textId="7F0B18F4" w:rsidR="00696769" w:rsidRPr="002B2EB0" w:rsidRDefault="00696769" w:rsidP="002B2EB0">
            <w:pPr>
              <w:jc w:val="center"/>
              <w:rPr>
                <w:rFonts w:ascii="Calibri" w:eastAsia="Times New Roman" w:hAnsi="Calibri" w:cs="Calibri"/>
                <w:b/>
                <w:bCs/>
                <w:color w:val="000000"/>
                <w:lang w:eastAsia="en-AU"/>
              </w:rPr>
            </w:pPr>
            <w:r w:rsidRPr="002B2EB0">
              <w:rPr>
                <w:rFonts w:ascii="Calibri" w:eastAsia="Times New Roman" w:hAnsi="Calibri" w:cs="Calibri"/>
                <w:b/>
                <w:bCs/>
                <w:color w:val="000000"/>
                <w:lang w:eastAsia="en-AU"/>
              </w:rPr>
              <w:t>NLIS &amp; genotyping</w:t>
            </w:r>
            <w:r w:rsidRPr="002B2EB0">
              <w:rPr>
                <w:rFonts w:ascii="Calibri" w:eastAsia="Times New Roman" w:hAnsi="Calibri" w:cs="Calibri"/>
                <w:color w:val="000000"/>
                <w:lang w:eastAsia="en-AU"/>
              </w:rPr>
              <w:t> </w:t>
            </w:r>
          </w:p>
        </w:tc>
      </w:tr>
      <w:tr w:rsidR="00B97BE7" w:rsidRPr="002B2EB0" w14:paraId="26055529" w14:textId="77777777" w:rsidTr="002B093E">
        <w:trPr>
          <w:gridAfter w:val="1"/>
          <w:wAfter w:w="40" w:type="dxa"/>
          <w:trHeight w:val="300"/>
        </w:trPr>
        <w:tc>
          <w:tcPr>
            <w:tcW w:w="709" w:type="dxa"/>
            <w:tcBorders>
              <w:top w:val="nil"/>
              <w:left w:val="nil"/>
              <w:bottom w:val="nil"/>
              <w:right w:val="nil"/>
            </w:tcBorders>
            <w:shd w:val="clear" w:color="auto" w:fill="auto"/>
            <w:noWrap/>
            <w:vAlign w:val="bottom"/>
            <w:hideMark/>
          </w:tcPr>
          <w:p w14:paraId="798811B1" w14:textId="77777777" w:rsidR="00B97BE7" w:rsidRPr="002B2EB0" w:rsidRDefault="00B97BE7" w:rsidP="002B2EB0">
            <w:pPr>
              <w:jc w:val="center"/>
              <w:rPr>
                <w:rFonts w:ascii="Calibri" w:eastAsia="Times New Roman" w:hAnsi="Calibri" w:cs="Calibri"/>
                <w:b/>
                <w:bCs/>
                <w:color w:val="000000"/>
                <w:sz w:val="20"/>
                <w:szCs w:val="20"/>
                <w:lang w:eastAsia="en-AU"/>
              </w:rPr>
            </w:pPr>
          </w:p>
        </w:tc>
        <w:tc>
          <w:tcPr>
            <w:tcW w:w="3402" w:type="dxa"/>
            <w:tcBorders>
              <w:top w:val="nil"/>
              <w:left w:val="nil"/>
              <w:bottom w:val="nil"/>
              <w:right w:val="nil"/>
            </w:tcBorders>
            <w:shd w:val="clear" w:color="auto" w:fill="auto"/>
            <w:vAlign w:val="center"/>
            <w:hideMark/>
          </w:tcPr>
          <w:p w14:paraId="741BB479" w14:textId="77777777" w:rsidR="00B97BE7" w:rsidRPr="002B2EB0" w:rsidRDefault="00B97BE7" w:rsidP="002B2EB0">
            <w:pPr>
              <w:ind w:firstLineChars="300" w:firstLine="663"/>
              <w:rPr>
                <w:rFonts w:ascii="Calibri" w:eastAsia="Times New Roman" w:hAnsi="Calibri" w:cs="Calibri"/>
                <w:b/>
                <w:bCs/>
                <w:color w:val="000000"/>
                <w:lang w:eastAsia="en-AU"/>
              </w:rPr>
            </w:pPr>
            <w:r w:rsidRPr="002B2EB0">
              <w:rPr>
                <w:rFonts w:ascii="Calibri" w:eastAsia="Times New Roman" w:hAnsi="Calibri" w:cs="Calibri"/>
                <w:b/>
                <w:bCs/>
                <w:color w:val="000000"/>
                <w:lang w:eastAsia="en-AU"/>
              </w:rPr>
              <w:t> </w:t>
            </w:r>
          </w:p>
        </w:tc>
        <w:tc>
          <w:tcPr>
            <w:tcW w:w="1016" w:type="dxa"/>
            <w:gridSpan w:val="2"/>
            <w:tcBorders>
              <w:top w:val="nil"/>
              <w:left w:val="nil"/>
              <w:bottom w:val="nil"/>
              <w:right w:val="nil"/>
            </w:tcBorders>
            <w:shd w:val="clear" w:color="auto" w:fill="auto"/>
            <w:vAlign w:val="center"/>
            <w:hideMark/>
          </w:tcPr>
          <w:p w14:paraId="65E78BDA" w14:textId="77777777" w:rsidR="00B97BE7" w:rsidRPr="002B2EB0" w:rsidRDefault="00B97BE7" w:rsidP="002B2EB0">
            <w:pPr>
              <w:ind w:firstLineChars="300" w:firstLine="663"/>
              <w:rPr>
                <w:rFonts w:ascii="Calibri" w:eastAsia="Times New Roman" w:hAnsi="Calibri" w:cs="Calibri"/>
                <w:b/>
                <w:bCs/>
                <w:color w:val="000000"/>
                <w:lang w:eastAsia="en-AU"/>
              </w:rPr>
            </w:pPr>
          </w:p>
        </w:tc>
        <w:tc>
          <w:tcPr>
            <w:tcW w:w="1016" w:type="dxa"/>
            <w:tcBorders>
              <w:top w:val="nil"/>
              <w:left w:val="nil"/>
              <w:bottom w:val="nil"/>
              <w:right w:val="nil"/>
            </w:tcBorders>
          </w:tcPr>
          <w:p w14:paraId="2A4C3C3D" w14:textId="77777777" w:rsidR="00B97BE7" w:rsidRPr="002B2EB0" w:rsidRDefault="00B97BE7" w:rsidP="002B2EB0">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vAlign w:val="center"/>
            <w:hideMark/>
          </w:tcPr>
          <w:p w14:paraId="7EED1ACF" w14:textId="54F085DC" w:rsidR="00B97BE7" w:rsidRPr="002B2EB0" w:rsidRDefault="00B97BE7" w:rsidP="002B2EB0">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vAlign w:val="center"/>
            <w:hideMark/>
          </w:tcPr>
          <w:p w14:paraId="1D3C1BDB" w14:textId="77777777" w:rsidR="00B97BE7" w:rsidRPr="002B2EB0" w:rsidRDefault="00B97BE7" w:rsidP="002B2EB0">
            <w:pPr>
              <w:jc w:val="center"/>
              <w:rPr>
                <w:rFonts w:ascii="Times New Roman" w:eastAsia="Times New Roman" w:hAnsi="Times New Roman" w:cs="Times New Roman"/>
                <w:sz w:val="20"/>
                <w:szCs w:val="20"/>
                <w:lang w:eastAsia="en-AU"/>
              </w:rPr>
            </w:pPr>
          </w:p>
        </w:tc>
      </w:tr>
      <w:tr w:rsidR="00B97BE7" w:rsidRPr="002B2EB0" w14:paraId="7C064B31" w14:textId="77777777" w:rsidTr="002B093E">
        <w:trPr>
          <w:gridAfter w:val="1"/>
          <w:wAfter w:w="40" w:type="dxa"/>
          <w:trHeight w:val="300"/>
        </w:trPr>
        <w:tc>
          <w:tcPr>
            <w:tcW w:w="709" w:type="dxa"/>
            <w:tcBorders>
              <w:top w:val="nil"/>
              <w:left w:val="nil"/>
              <w:bottom w:val="nil"/>
              <w:right w:val="nil"/>
            </w:tcBorders>
            <w:shd w:val="clear" w:color="auto" w:fill="auto"/>
            <w:noWrap/>
            <w:vAlign w:val="center"/>
            <w:hideMark/>
          </w:tcPr>
          <w:p w14:paraId="35A0CD01" w14:textId="77777777" w:rsidR="00B97BE7" w:rsidRPr="002B2EB0" w:rsidRDefault="00B97BE7" w:rsidP="00B97BE7">
            <w:pPr>
              <w:jc w:val="center"/>
              <w:rPr>
                <w:rFonts w:ascii="Calibri" w:eastAsia="Times New Roman" w:hAnsi="Calibri" w:cs="Calibri"/>
                <w:color w:val="000000"/>
                <w:sz w:val="20"/>
                <w:szCs w:val="20"/>
                <w:lang w:eastAsia="en-AU"/>
              </w:rPr>
            </w:pPr>
            <w:r w:rsidRPr="002B2EB0">
              <w:rPr>
                <w:rFonts w:ascii="Calibri" w:eastAsia="Times New Roman" w:hAnsi="Calibri" w:cs="Calibri"/>
                <w:color w:val="000000"/>
                <w:sz w:val="20"/>
                <w:szCs w:val="20"/>
                <w:lang w:eastAsia="en-AU"/>
              </w:rPr>
              <w:t>a</w:t>
            </w:r>
          </w:p>
        </w:tc>
        <w:tc>
          <w:tcPr>
            <w:tcW w:w="3402" w:type="dxa"/>
            <w:tcBorders>
              <w:top w:val="nil"/>
              <w:left w:val="nil"/>
              <w:bottom w:val="nil"/>
              <w:right w:val="nil"/>
            </w:tcBorders>
            <w:shd w:val="clear" w:color="auto" w:fill="auto"/>
            <w:vAlign w:val="center"/>
            <w:hideMark/>
          </w:tcPr>
          <w:p w14:paraId="74E5614C" w14:textId="77777777" w:rsidR="00B97BE7" w:rsidRPr="002B2EB0" w:rsidRDefault="00B97BE7" w:rsidP="00B97BE7">
            <w:pPr>
              <w:rPr>
                <w:rFonts w:ascii="Calibri" w:eastAsia="Times New Roman" w:hAnsi="Calibri" w:cs="Calibri"/>
                <w:color w:val="000000"/>
                <w:lang w:eastAsia="en-AU"/>
              </w:rPr>
            </w:pPr>
            <w:r w:rsidRPr="002B2EB0">
              <w:rPr>
                <w:rFonts w:ascii="Calibri" w:eastAsia="Times New Roman" w:hAnsi="Calibri" w:cs="Calibri"/>
                <w:color w:val="000000"/>
                <w:lang w:eastAsia="en-AU"/>
              </w:rPr>
              <w:t>Proportion genotyped</w:t>
            </w:r>
          </w:p>
        </w:tc>
        <w:tc>
          <w:tcPr>
            <w:tcW w:w="1016" w:type="dxa"/>
            <w:gridSpan w:val="2"/>
            <w:tcBorders>
              <w:top w:val="nil"/>
              <w:left w:val="nil"/>
              <w:bottom w:val="nil"/>
              <w:right w:val="nil"/>
            </w:tcBorders>
            <w:shd w:val="clear" w:color="auto" w:fill="auto"/>
            <w:vAlign w:val="bottom"/>
            <w:hideMark/>
          </w:tcPr>
          <w:p w14:paraId="1ED29AD2" w14:textId="77777777" w:rsidR="00B97BE7" w:rsidRPr="002B2EB0" w:rsidRDefault="00B97BE7" w:rsidP="00B97BE7">
            <w:pPr>
              <w:jc w:val="center"/>
              <w:rPr>
                <w:rFonts w:ascii="Calibri" w:eastAsia="Times New Roman" w:hAnsi="Calibri" w:cs="Calibri"/>
                <w:color w:val="000000"/>
                <w:lang w:eastAsia="en-AU"/>
              </w:rPr>
            </w:pPr>
            <w:r w:rsidRPr="002B2EB0">
              <w:rPr>
                <w:rFonts w:ascii="Calibri" w:eastAsia="Times New Roman" w:hAnsi="Calibri" w:cs="Calibri"/>
                <w:color w:val="000000"/>
                <w:lang w:eastAsia="en-AU"/>
              </w:rPr>
              <w:t>0%</w:t>
            </w:r>
          </w:p>
        </w:tc>
        <w:tc>
          <w:tcPr>
            <w:tcW w:w="1016" w:type="dxa"/>
            <w:tcBorders>
              <w:top w:val="nil"/>
              <w:left w:val="nil"/>
              <w:bottom w:val="nil"/>
              <w:right w:val="nil"/>
            </w:tcBorders>
            <w:vAlign w:val="center"/>
          </w:tcPr>
          <w:p w14:paraId="754771CD" w14:textId="2412E734" w:rsidR="00B97BE7" w:rsidRPr="002B2EB0" w:rsidRDefault="00B97BE7" w:rsidP="00B97BE7">
            <w:pPr>
              <w:jc w:val="center"/>
              <w:rPr>
                <w:rFonts w:ascii="Calibri" w:eastAsia="Times New Roman" w:hAnsi="Calibri" w:cs="Calibri"/>
                <w:color w:val="000000"/>
                <w:lang w:eastAsia="en-AU"/>
              </w:rPr>
            </w:pPr>
            <w:r w:rsidRPr="002B2EB0">
              <w:rPr>
                <w:rFonts w:ascii="Calibri" w:eastAsia="Times New Roman" w:hAnsi="Calibri" w:cs="Calibri"/>
                <w:color w:val="000000"/>
                <w:lang w:eastAsia="en-AU"/>
              </w:rPr>
              <w:t>50%</w:t>
            </w:r>
          </w:p>
        </w:tc>
        <w:tc>
          <w:tcPr>
            <w:tcW w:w="1016" w:type="dxa"/>
            <w:tcBorders>
              <w:top w:val="nil"/>
              <w:left w:val="nil"/>
              <w:bottom w:val="nil"/>
              <w:right w:val="nil"/>
            </w:tcBorders>
            <w:shd w:val="clear" w:color="auto" w:fill="auto"/>
            <w:vAlign w:val="center"/>
            <w:hideMark/>
          </w:tcPr>
          <w:p w14:paraId="108A27A9" w14:textId="49AFB88A" w:rsidR="00B97BE7" w:rsidRPr="002B2EB0" w:rsidRDefault="00B97BE7" w:rsidP="00B97BE7">
            <w:pPr>
              <w:jc w:val="center"/>
              <w:rPr>
                <w:rFonts w:ascii="Calibri" w:eastAsia="Times New Roman" w:hAnsi="Calibri" w:cs="Calibri"/>
                <w:color w:val="000000"/>
                <w:lang w:eastAsia="en-AU"/>
              </w:rPr>
            </w:pPr>
            <w:r w:rsidRPr="002B2EB0">
              <w:rPr>
                <w:rFonts w:ascii="Calibri" w:eastAsia="Times New Roman" w:hAnsi="Calibri" w:cs="Calibri"/>
                <w:color w:val="000000"/>
                <w:lang w:eastAsia="en-AU"/>
              </w:rPr>
              <w:t>100%</w:t>
            </w:r>
          </w:p>
        </w:tc>
        <w:tc>
          <w:tcPr>
            <w:tcW w:w="1016" w:type="dxa"/>
            <w:tcBorders>
              <w:top w:val="nil"/>
              <w:left w:val="nil"/>
              <w:bottom w:val="nil"/>
              <w:right w:val="nil"/>
            </w:tcBorders>
            <w:shd w:val="clear" w:color="auto" w:fill="auto"/>
            <w:vAlign w:val="center"/>
            <w:hideMark/>
          </w:tcPr>
          <w:p w14:paraId="2FCA3955" w14:textId="400EE0FB" w:rsidR="00B97BE7" w:rsidRPr="002B2EB0" w:rsidRDefault="00B97BE7" w:rsidP="00B97BE7">
            <w:pPr>
              <w:jc w:val="center"/>
              <w:rPr>
                <w:rFonts w:ascii="Calibri" w:eastAsia="Times New Roman" w:hAnsi="Calibri" w:cs="Calibri"/>
                <w:color w:val="000000"/>
                <w:lang w:eastAsia="en-AU"/>
              </w:rPr>
            </w:pPr>
            <w:r>
              <w:rPr>
                <w:rFonts w:ascii="Calibri" w:eastAsia="Times New Roman" w:hAnsi="Calibri" w:cs="Calibri"/>
                <w:color w:val="000000"/>
                <w:lang w:eastAsia="en-AU"/>
              </w:rPr>
              <w:t>Sires</w:t>
            </w:r>
          </w:p>
        </w:tc>
      </w:tr>
      <w:tr w:rsidR="00B97BE7" w:rsidRPr="002B2EB0" w14:paraId="0D63545A" w14:textId="77777777" w:rsidTr="002B093E">
        <w:trPr>
          <w:gridAfter w:val="1"/>
          <w:wAfter w:w="40" w:type="dxa"/>
          <w:trHeight w:val="300"/>
        </w:trPr>
        <w:tc>
          <w:tcPr>
            <w:tcW w:w="709" w:type="dxa"/>
            <w:tcBorders>
              <w:top w:val="nil"/>
              <w:left w:val="nil"/>
              <w:bottom w:val="nil"/>
              <w:right w:val="nil"/>
            </w:tcBorders>
            <w:shd w:val="clear" w:color="auto" w:fill="auto"/>
            <w:noWrap/>
            <w:vAlign w:val="center"/>
            <w:hideMark/>
          </w:tcPr>
          <w:p w14:paraId="187F846C" w14:textId="77777777" w:rsidR="00B97BE7" w:rsidRPr="002B2EB0" w:rsidRDefault="00B97BE7" w:rsidP="00B97BE7">
            <w:pPr>
              <w:jc w:val="center"/>
              <w:rPr>
                <w:rFonts w:ascii="Calibri" w:eastAsia="Times New Roman" w:hAnsi="Calibri" w:cs="Calibri"/>
                <w:color w:val="000000"/>
                <w:sz w:val="20"/>
                <w:szCs w:val="20"/>
                <w:lang w:eastAsia="en-AU"/>
              </w:rPr>
            </w:pPr>
            <w:r w:rsidRPr="002B2EB0">
              <w:rPr>
                <w:rFonts w:ascii="Calibri" w:eastAsia="Times New Roman" w:hAnsi="Calibri" w:cs="Calibri"/>
                <w:color w:val="000000"/>
                <w:sz w:val="20"/>
                <w:szCs w:val="20"/>
                <w:lang w:eastAsia="en-AU"/>
              </w:rPr>
              <w:t>b</w:t>
            </w:r>
          </w:p>
        </w:tc>
        <w:tc>
          <w:tcPr>
            <w:tcW w:w="3402" w:type="dxa"/>
            <w:tcBorders>
              <w:top w:val="nil"/>
              <w:left w:val="nil"/>
              <w:bottom w:val="nil"/>
              <w:right w:val="nil"/>
            </w:tcBorders>
            <w:shd w:val="clear" w:color="auto" w:fill="auto"/>
            <w:vAlign w:val="center"/>
            <w:hideMark/>
          </w:tcPr>
          <w:p w14:paraId="6F07F32E" w14:textId="2D71A043" w:rsidR="00B97BE7" w:rsidRPr="002B2EB0" w:rsidRDefault="00B97BE7" w:rsidP="00B97BE7">
            <w:pPr>
              <w:rPr>
                <w:rFonts w:ascii="Calibri" w:eastAsia="Times New Roman" w:hAnsi="Calibri" w:cs="Calibri"/>
                <w:color w:val="000000"/>
                <w:lang w:eastAsia="en-AU"/>
              </w:rPr>
            </w:pPr>
            <w:r>
              <w:rPr>
                <w:rFonts w:ascii="Calibri" w:eastAsia="Times New Roman" w:hAnsi="Calibri" w:cs="Calibri"/>
                <w:color w:val="000000"/>
                <w:lang w:eastAsia="en-AU"/>
              </w:rPr>
              <w:t>Traceability</w:t>
            </w:r>
          </w:p>
        </w:tc>
        <w:tc>
          <w:tcPr>
            <w:tcW w:w="1016" w:type="dxa"/>
            <w:gridSpan w:val="2"/>
            <w:tcBorders>
              <w:top w:val="nil"/>
              <w:left w:val="nil"/>
              <w:bottom w:val="nil"/>
              <w:right w:val="nil"/>
            </w:tcBorders>
            <w:shd w:val="clear" w:color="auto" w:fill="auto"/>
            <w:vAlign w:val="bottom"/>
            <w:hideMark/>
          </w:tcPr>
          <w:p w14:paraId="1F0924A6" w14:textId="77777777" w:rsidR="00B97BE7" w:rsidRPr="002B2EB0" w:rsidRDefault="00B97BE7" w:rsidP="00B97BE7">
            <w:pPr>
              <w:jc w:val="center"/>
              <w:rPr>
                <w:rFonts w:ascii="Calibri" w:eastAsia="Times New Roman" w:hAnsi="Calibri" w:cs="Calibri"/>
                <w:color w:val="000000"/>
                <w:lang w:eastAsia="en-AU"/>
              </w:rPr>
            </w:pPr>
            <w:r w:rsidRPr="002B2EB0">
              <w:rPr>
                <w:rFonts w:ascii="Calibri" w:eastAsia="Times New Roman" w:hAnsi="Calibri" w:cs="Calibri"/>
                <w:color w:val="000000"/>
                <w:lang w:eastAsia="en-AU"/>
              </w:rPr>
              <w:t>97%</w:t>
            </w:r>
          </w:p>
        </w:tc>
        <w:tc>
          <w:tcPr>
            <w:tcW w:w="1016" w:type="dxa"/>
            <w:tcBorders>
              <w:top w:val="nil"/>
              <w:left w:val="nil"/>
              <w:bottom w:val="nil"/>
              <w:right w:val="nil"/>
            </w:tcBorders>
            <w:vAlign w:val="center"/>
          </w:tcPr>
          <w:p w14:paraId="19F72E5C" w14:textId="043C7356" w:rsidR="00B97BE7" w:rsidRPr="002B2EB0" w:rsidRDefault="00B97BE7" w:rsidP="00B97BE7">
            <w:pPr>
              <w:jc w:val="center"/>
              <w:rPr>
                <w:rFonts w:ascii="Calibri" w:eastAsia="Times New Roman" w:hAnsi="Calibri" w:cs="Calibri"/>
                <w:color w:val="000000"/>
                <w:lang w:eastAsia="en-AU"/>
              </w:rPr>
            </w:pPr>
            <w:r>
              <w:rPr>
                <w:rFonts w:ascii="Calibri" w:eastAsia="Times New Roman" w:hAnsi="Calibri" w:cs="Calibri"/>
                <w:color w:val="000000"/>
                <w:lang w:eastAsia="en-AU"/>
              </w:rPr>
              <w:t>99</w:t>
            </w:r>
            <w:r w:rsidRPr="002B2EB0">
              <w:rPr>
                <w:rFonts w:ascii="Calibri" w:eastAsia="Times New Roman" w:hAnsi="Calibri" w:cs="Calibri"/>
                <w:color w:val="000000"/>
                <w:lang w:eastAsia="en-AU"/>
              </w:rPr>
              <w:t>%</w:t>
            </w:r>
          </w:p>
        </w:tc>
        <w:tc>
          <w:tcPr>
            <w:tcW w:w="1016" w:type="dxa"/>
            <w:tcBorders>
              <w:top w:val="nil"/>
              <w:left w:val="nil"/>
              <w:bottom w:val="nil"/>
              <w:right w:val="nil"/>
            </w:tcBorders>
            <w:shd w:val="clear" w:color="auto" w:fill="auto"/>
            <w:vAlign w:val="center"/>
            <w:hideMark/>
          </w:tcPr>
          <w:p w14:paraId="3CCFAE60" w14:textId="50E5C659" w:rsidR="00B97BE7" w:rsidRPr="002B2EB0" w:rsidRDefault="00B97BE7" w:rsidP="00B97BE7">
            <w:pPr>
              <w:jc w:val="center"/>
              <w:rPr>
                <w:rFonts w:ascii="Calibri" w:eastAsia="Times New Roman" w:hAnsi="Calibri" w:cs="Calibri"/>
                <w:color w:val="000000"/>
                <w:lang w:eastAsia="en-AU"/>
              </w:rPr>
            </w:pPr>
            <w:r w:rsidRPr="002B2EB0">
              <w:rPr>
                <w:rFonts w:ascii="Calibri" w:eastAsia="Times New Roman" w:hAnsi="Calibri" w:cs="Calibri"/>
                <w:color w:val="000000"/>
                <w:lang w:eastAsia="en-AU"/>
              </w:rPr>
              <w:t>99.5%</w:t>
            </w:r>
          </w:p>
        </w:tc>
        <w:tc>
          <w:tcPr>
            <w:tcW w:w="1016" w:type="dxa"/>
            <w:tcBorders>
              <w:top w:val="nil"/>
              <w:left w:val="nil"/>
              <w:bottom w:val="nil"/>
              <w:right w:val="nil"/>
            </w:tcBorders>
            <w:shd w:val="clear" w:color="auto" w:fill="auto"/>
            <w:vAlign w:val="center"/>
            <w:hideMark/>
          </w:tcPr>
          <w:p w14:paraId="622A5748" w14:textId="77777777" w:rsidR="00B97BE7" w:rsidRPr="002B2EB0" w:rsidRDefault="00B97BE7" w:rsidP="00B97BE7">
            <w:pPr>
              <w:jc w:val="center"/>
              <w:rPr>
                <w:rFonts w:ascii="Calibri" w:eastAsia="Times New Roman" w:hAnsi="Calibri" w:cs="Calibri"/>
                <w:color w:val="000000"/>
                <w:lang w:eastAsia="en-AU"/>
              </w:rPr>
            </w:pPr>
            <w:r w:rsidRPr="002B2EB0">
              <w:rPr>
                <w:rFonts w:ascii="Calibri" w:eastAsia="Times New Roman" w:hAnsi="Calibri" w:cs="Calibri"/>
                <w:color w:val="000000"/>
                <w:lang w:eastAsia="en-AU"/>
              </w:rPr>
              <w:t>99%</w:t>
            </w:r>
          </w:p>
        </w:tc>
      </w:tr>
      <w:tr w:rsidR="00B97BE7" w:rsidRPr="002B2EB0" w14:paraId="7A788C68" w14:textId="77777777" w:rsidTr="002B093E">
        <w:trPr>
          <w:gridAfter w:val="1"/>
          <w:wAfter w:w="40" w:type="dxa"/>
          <w:trHeight w:val="300"/>
        </w:trPr>
        <w:tc>
          <w:tcPr>
            <w:tcW w:w="709" w:type="dxa"/>
            <w:tcBorders>
              <w:top w:val="nil"/>
              <w:left w:val="nil"/>
              <w:right w:val="nil"/>
            </w:tcBorders>
            <w:shd w:val="clear" w:color="auto" w:fill="auto"/>
            <w:noWrap/>
            <w:vAlign w:val="center"/>
            <w:hideMark/>
          </w:tcPr>
          <w:p w14:paraId="36A7C974" w14:textId="77777777" w:rsidR="00B97BE7" w:rsidRPr="002B2EB0" w:rsidRDefault="00B97BE7" w:rsidP="00B97BE7">
            <w:pPr>
              <w:jc w:val="center"/>
              <w:rPr>
                <w:rFonts w:ascii="Calibri" w:eastAsia="Times New Roman" w:hAnsi="Calibri" w:cs="Calibri"/>
                <w:color w:val="000000"/>
                <w:sz w:val="20"/>
                <w:szCs w:val="20"/>
                <w:lang w:eastAsia="en-AU"/>
              </w:rPr>
            </w:pPr>
          </w:p>
        </w:tc>
        <w:tc>
          <w:tcPr>
            <w:tcW w:w="3402" w:type="dxa"/>
            <w:tcBorders>
              <w:top w:val="nil"/>
              <w:left w:val="nil"/>
              <w:right w:val="nil"/>
            </w:tcBorders>
            <w:shd w:val="clear" w:color="auto" w:fill="auto"/>
            <w:vAlign w:val="center"/>
            <w:hideMark/>
          </w:tcPr>
          <w:p w14:paraId="5DE828ED"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gridSpan w:val="2"/>
            <w:tcBorders>
              <w:top w:val="nil"/>
              <w:left w:val="nil"/>
              <w:right w:val="nil"/>
            </w:tcBorders>
            <w:shd w:val="clear" w:color="auto" w:fill="auto"/>
            <w:vAlign w:val="center"/>
            <w:hideMark/>
          </w:tcPr>
          <w:p w14:paraId="2E76F85F"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right w:val="nil"/>
            </w:tcBorders>
            <w:vAlign w:val="bottom"/>
          </w:tcPr>
          <w:p w14:paraId="145F11CF"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right w:val="nil"/>
            </w:tcBorders>
            <w:shd w:val="clear" w:color="auto" w:fill="auto"/>
            <w:vAlign w:val="bottom"/>
            <w:hideMark/>
          </w:tcPr>
          <w:p w14:paraId="25231A0C" w14:textId="3ABA33B9"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right w:val="nil"/>
            </w:tcBorders>
            <w:shd w:val="clear" w:color="auto" w:fill="auto"/>
            <w:vAlign w:val="bottom"/>
            <w:hideMark/>
          </w:tcPr>
          <w:p w14:paraId="12484B2C" w14:textId="77777777" w:rsidR="00B97BE7" w:rsidRPr="002B2EB0" w:rsidRDefault="00B97BE7" w:rsidP="00B97BE7">
            <w:pPr>
              <w:rPr>
                <w:rFonts w:ascii="Times New Roman" w:eastAsia="Times New Roman" w:hAnsi="Times New Roman" w:cs="Times New Roman"/>
                <w:sz w:val="20"/>
                <w:szCs w:val="20"/>
                <w:lang w:eastAsia="en-AU"/>
              </w:rPr>
            </w:pPr>
          </w:p>
        </w:tc>
      </w:tr>
      <w:tr w:rsidR="00B97BE7" w:rsidRPr="002B2EB0" w14:paraId="5FC65A74" w14:textId="77777777" w:rsidTr="002B093E">
        <w:trPr>
          <w:gridAfter w:val="1"/>
          <w:wAfter w:w="40" w:type="dxa"/>
          <w:trHeight w:val="300"/>
        </w:trPr>
        <w:tc>
          <w:tcPr>
            <w:tcW w:w="709" w:type="dxa"/>
            <w:tcBorders>
              <w:top w:val="nil"/>
              <w:left w:val="nil"/>
              <w:bottom w:val="nil"/>
            </w:tcBorders>
            <w:shd w:val="clear" w:color="auto" w:fill="auto"/>
            <w:noWrap/>
            <w:vAlign w:val="center"/>
            <w:hideMark/>
          </w:tcPr>
          <w:p w14:paraId="7DAF5F2C" w14:textId="77777777" w:rsidR="00B97BE7" w:rsidRPr="002B2EB0" w:rsidRDefault="00B97BE7" w:rsidP="00B97BE7">
            <w:pPr>
              <w:jc w:val="center"/>
              <w:rPr>
                <w:rFonts w:ascii="Times New Roman" w:eastAsia="Times New Roman" w:hAnsi="Times New Roman" w:cs="Times New Roman"/>
                <w:sz w:val="20"/>
                <w:szCs w:val="20"/>
                <w:lang w:eastAsia="en-AU"/>
              </w:rPr>
            </w:pPr>
          </w:p>
        </w:tc>
        <w:tc>
          <w:tcPr>
            <w:tcW w:w="3402" w:type="dxa"/>
            <w:tcBorders>
              <w:top w:val="nil"/>
              <w:bottom w:val="nil"/>
            </w:tcBorders>
            <w:shd w:val="clear" w:color="auto" w:fill="auto"/>
            <w:vAlign w:val="center"/>
            <w:hideMark/>
          </w:tcPr>
          <w:p w14:paraId="4BE322AE" w14:textId="77777777" w:rsidR="00B97BE7" w:rsidRPr="002B2EB0" w:rsidRDefault="00B97BE7" w:rsidP="00B97BE7">
            <w:pPr>
              <w:rPr>
                <w:rFonts w:ascii="Calibri" w:eastAsia="Times New Roman" w:hAnsi="Calibri" w:cs="Calibri"/>
                <w:b/>
                <w:bCs/>
                <w:color w:val="000000"/>
                <w:lang w:eastAsia="en-AU"/>
              </w:rPr>
            </w:pPr>
            <w:r w:rsidRPr="002B2EB0">
              <w:rPr>
                <w:rFonts w:ascii="Calibri" w:eastAsia="Times New Roman" w:hAnsi="Calibri" w:cs="Calibri"/>
                <w:b/>
                <w:bCs/>
                <w:color w:val="000000"/>
                <w:lang w:eastAsia="en-AU"/>
              </w:rPr>
              <w:t>Cost ($m p.a., industry)</w:t>
            </w:r>
          </w:p>
        </w:tc>
        <w:tc>
          <w:tcPr>
            <w:tcW w:w="1016" w:type="dxa"/>
            <w:gridSpan w:val="2"/>
            <w:tcBorders>
              <w:top w:val="nil"/>
              <w:bottom w:val="nil"/>
            </w:tcBorders>
            <w:shd w:val="clear" w:color="auto" w:fill="auto"/>
            <w:vAlign w:val="center"/>
            <w:hideMark/>
          </w:tcPr>
          <w:p w14:paraId="63B64540" w14:textId="77777777" w:rsidR="00B97BE7" w:rsidRPr="002B2EB0" w:rsidRDefault="00B97BE7" w:rsidP="00B97BE7">
            <w:pPr>
              <w:rPr>
                <w:rFonts w:ascii="Calibri" w:eastAsia="Times New Roman" w:hAnsi="Calibri" w:cs="Calibri"/>
                <w:b/>
                <w:bCs/>
                <w:color w:val="000000"/>
                <w:lang w:eastAsia="en-AU"/>
              </w:rPr>
            </w:pPr>
          </w:p>
        </w:tc>
        <w:tc>
          <w:tcPr>
            <w:tcW w:w="1016" w:type="dxa"/>
            <w:tcBorders>
              <w:top w:val="nil"/>
              <w:bottom w:val="nil"/>
            </w:tcBorders>
            <w:vAlign w:val="bottom"/>
          </w:tcPr>
          <w:p w14:paraId="536D5C52"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bottom w:val="nil"/>
            </w:tcBorders>
            <w:shd w:val="clear" w:color="auto" w:fill="auto"/>
            <w:vAlign w:val="bottom"/>
            <w:hideMark/>
          </w:tcPr>
          <w:p w14:paraId="628B927F" w14:textId="1E3ADE42"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bottom w:val="nil"/>
              <w:right w:val="nil"/>
            </w:tcBorders>
            <w:shd w:val="clear" w:color="auto" w:fill="auto"/>
            <w:vAlign w:val="bottom"/>
            <w:hideMark/>
          </w:tcPr>
          <w:p w14:paraId="0CCE41FE" w14:textId="77777777" w:rsidR="00B97BE7" w:rsidRPr="002B2EB0" w:rsidRDefault="00B97BE7" w:rsidP="00B97BE7">
            <w:pPr>
              <w:rPr>
                <w:rFonts w:ascii="Times New Roman" w:eastAsia="Times New Roman" w:hAnsi="Times New Roman" w:cs="Times New Roman"/>
                <w:sz w:val="20"/>
                <w:szCs w:val="20"/>
                <w:lang w:eastAsia="en-AU"/>
              </w:rPr>
            </w:pPr>
          </w:p>
        </w:tc>
      </w:tr>
      <w:tr w:rsidR="00B97BE7" w:rsidRPr="002B2EB0" w14:paraId="6BF25F6E" w14:textId="77777777" w:rsidTr="002B093E">
        <w:trPr>
          <w:gridAfter w:val="1"/>
          <w:wAfter w:w="40" w:type="dxa"/>
          <w:trHeight w:val="300"/>
        </w:trPr>
        <w:tc>
          <w:tcPr>
            <w:tcW w:w="709" w:type="dxa"/>
            <w:tcBorders>
              <w:top w:val="nil"/>
              <w:left w:val="nil"/>
              <w:bottom w:val="nil"/>
              <w:right w:val="nil"/>
            </w:tcBorders>
            <w:shd w:val="clear" w:color="auto" w:fill="auto"/>
            <w:noWrap/>
            <w:vAlign w:val="center"/>
            <w:hideMark/>
          </w:tcPr>
          <w:p w14:paraId="57890249" w14:textId="77777777" w:rsidR="00B97BE7" w:rsidRPr="002B2EB0" w:rsidRDefault="00B97BE7" w:rsidP="00B97BE7">
            <w:pPr>
              <w:jc w:val="center"/>
              <w:rPr>
                <w:rFonts w:ascii="Calibri" w:eastAsia="Times New Roman" w:hAnsi="Calibri" w:cs="Calibri"/>
                <w:color w:val="000000"/>
                <w:sz w:val="20"/>
                <w:szCs w:val="20"/>
                <w:lang w:eastAsia="en-AU"/>
              </w:rPr>
            </w:pPr>
            <w:r w:rsidRPr="002B2EB0">
              <w:rPr>
                <w:rFonts w:ascii="Calibri" w:eastAsia="Times New Roman" w:hAnsi="Calibri" w:cs="Calibri"/>
                <w:color w:val="000000"/>
                <w:sz w:val="20"/>
                <w:szCs w:val="20"/>
                <w:lang w:eastAsia="en-AU"/>
              </w:rPr>
              <w:t>c</w:t>
            </w:r>
          </w:p>
        </w:tc>
        <w:tc>
          <w:tcPr>
            <w:tcW w:w="3402" w:type="dxa"/>
            <w:tcBorders>
              <w:top w:val="nil"/>
              <w:left w:val="nil"/>
              <w:bottom w:val="nil"/>
              <w:right w:val="nil"/>
            </w:tcBorders>
            <w:shd w:val="clear" w:color="auto" w:fill="auto"/>
            <w:vAlign w:val="center"/>
            <w:hideMark/>
          </w:tcPr>
          <w:p w14:paraId="3E2984CF" w14:textId="0B45B959" w:rsidR="00B97BE7" w:rsidRPr="007602B9" w:rsidRDefault="00B97BE7" w:rsidP="00B97BE7">
            <w:pPr>
              <w:rPr>
                <w:rFonts w:ascii="Calibri" w:eastAsia="Times New Roman" w:hAnsi="Calibri" w:cs="Calibri"/>
                <w:i/>
                <w:iCs/>
                <w:color w:val="000000"/>
                <w:lang w:eastAsia="en-AU"/>
              </w:rPr>
            </w:pPr>
            <w:r w:rsidRPr="002B2EB0">
              <w:rPr>
                <w:rFonts w:ascii="Calibri" w:eastAsia="Times New Roman" w:hAnsi="Calibri" w:cs="Calibri"/>
                <w:color w:val="000000"/>
                <w:lang w:eastAsia="en-AU"/>
              </w:rPr>
              <w:t>National</w:t>
            </w:r>
            <w:r>
              <w:rPr>
                <w:rFonts w:ascii="Calibri" w:eastAsia="Times New Roman" w:hAnsi="Calibri" w:cs="Calibri"/>
                <w:color w:val="000000"/>
                <w:lang w:eastAsia="en-AU"/>
              </w:rPr>
              <w:t xml:space="preserve"> (database </w:t>
            </w:r>
            <w:r>
              <w:rPr>
                <w:rFonts w:ascii="Calibri" w:eastAsia="Times New Roman" w:hAnsi="Calibri" w:cs="Calibri"/>
                <w:i/>
                <w:iCs/>
                <w:color w:val="000000"/>
                <w:lang w:eastAsia="en-AU"/>
              </w:rPr>
              <w:t>etc.)</w:t>
            </w:r>
          </w:p>
        </w:tc>
        <w:tc>
          <w:tcPr>
            <w:tcW w:w="1016" w:type="dxa"/>
            <w:gridSpan w:val="2"/>
            <w:tcBorders>
              <w:top w:val="nil"/>
              <w:left w:val="nil"/>
              <w:bottom w:val="nil"/>
              <w:right w:val="nil"/>
            </w:tcBorders>
            <w:shd w:val="clear" w:color="auto" w:fill="auto"/>
            <w:vAlign w:val="center"/>
            <w:hideMark/>
          </w:tcPr>
          <w:p w14:paraId="59D8CE51"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$5</w:t>
            </w:r>
          </w:p>
        </w:tc>
        <w:tc>
          <w:tcPr>
            <w:tcW w:w="1016" w:type="dxa"/>
            <w:tcBorders>
              <w:top w:val="nil"/>
              <w:left w:val="nil"/>
              <w:bottom w:val="nil"/>
              <w:right w:val="nil"/>
            </w:tcBorders>
            <w:vAlign w:val="center"/>
          </w:tcPr>
          <w:p w14:paraId="13D6DBE8" w14:textId="1E215B9F"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$6</w:t>
            </w:r>
          </w:p>
        </w:tc>
        <w:tc>
          <w:tcPr>
            <w:tcW w:w="1016" w:type="dxa"/>
            <w:tcBorders>
              <w:top w:val="nil"/>
              <w:left w:val="nil"/>
              <w:bottom w:val="nil"/>
              <w:right w:val="nil"/>
            </w:tcBorders>
            <w:shd w:val="clear" w:color="auto" w:fill="auto"/>
            <w:vAlign w:val="center"/>
            <w:hideMark/>
          </w:tcPr>
          <w:p w14:paraId="6D6FE073" w14:textId="257BA788"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$6</w:t>
            </w:r>
          </w:p>
        </w:tc>
        <w:tc>
          <w:tcPr>
            <w:tcW w:w="1016" w:type="dxa"/>
            <w:tcBorders>
              <w:top w:val="nil"/>
              <w:left w:val="nil"/>
              <w:bottom w:val="nil"/>
              <w:right w:val="nil"/>
            </w:tcBorders>
            <w:shd w:val="clear" w:color="auto" w:fill="auto"/>
            <w:vAlign w:val="center"/>
            <w:hideMark/>
          </w:tcPr>
          <w:p w14:paraId="15BF6E2D" w14:textId="51C33F89"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$6</w:t>
            </w:r>
          </w:p>
        </w:tc>
      </w:tr>
      <w:tr w:rsidR="00B97BE7" w:rsidRPr="002B2EB0" w14:paraId="714DAD23" w14:textId="77777777" w:rsidTr="002B093E">
        <w:trPr>
          <w:gridAfter w:val="1"/>
          <w:wAfter w:w="40" w:type="dxa"/>
          <w:trHeight w:val="300"/>
        </w:trPr>
        <w:tc>
          <w:tcPr>
            <w:tcW w:w="709" w:type="dxa"/>
            <w:tcBorders>
              <w:top w:val="nil"/>
              <w:left w:val="nil"/>
              <w:bottom w:val="nil"/>
              <w:right w:val="nil"/>
            </w:tcBorders>
            <w:shd w:val="clear" w:color="auto" w:fill="auto"/>
            <w:noWrap/>
            <w:vAlign w:val="center"/>
            <w:hideMark/>
          </w:tcPr>
          <w:p w14:paraId="4C43E9CF" w14:textId="7F8A1D2C" w:rsidR="00B97BE7" w:rsidRPr="002B2EB0" w:rsidRDefault="00B97BE7" w:rsidP="00B97BE7">
            <w:pPr>
              <w:jc w:val="center"/>
              <w:rPr>
                <w:rFonts w:ascii="Calibri" w:eastAsia="Times New Roman" w:hAnsi="Calibri" w:cs="Calibri"/>
                <w:color w:val="000000"/>
                <w:sz w:val="20"/>
                <w:szCs w:val="20"/>
                <w:lang w:eastAsia="en-AU"/>
              </w:rPr>
            </w:pPr>
          </w:p>
        </w:tc>
        <w:tc>
          <w:tcPr>
            <w:tcW w:w="3402" w:type="dxa"/>
            <w:tcBorders>
              <w:top w:val="nil"/>
              <w:left w:val="nil"/>
              <w:bottom w:val="nil"/>
              <w:right w:val="nil"/>
            </w:tcBorders>
            <w:shd w:val="clear" w:color="auto" w:fill="auto"/>
            <w:vAlign w:val="center"/>
            <w:hideMark/>
          </w:tcPr>
          <w:p w14:paraId="646D84EF" w14:textId="77777777" w:rsidR="00B97BE7" w:rsidRPr="002B2EB0" w:rsidRDefault="00B97BE7" w:rsidP="00B97BE7">
            <w:pPr>
              <w:rPr>
                <w:rFonts w:ascii="Calibri" w:eastAsia="Times New Roman" w:hAnsi="Calibri" w:cs="Calibri"/>
                <w:color w:val="000000"/>
                <w:lang w:eastAsia="en-AU"/>
              </w:rPr>
            </w:pPr>
            <w:r w:rsidRPr="002B2EB0">
              <w:rPr>
                <w:rFonts w:ascii="Calibri" w:eastAsia="Times New Roman" w:hAnsi="Calibri" w:cs="Calibri"/>
                <w:color w:val="000000"/>
                <w:lang w:eastAsia="en-AU"/>
              </w:rPr>
              <w:t>Implementation (tags, readers, labour)</w:t>
            </w:r>
          </w:p>
        </w:tc>
        <w:tc>
          <w:tcPr>
            <w:tcW w:w="1016" w:type="dxa"/>
            <w:gridSpan w:val="2"/>
            <w:tcBorders>
              <w:top w:val="nil"/>
              <w:left w:val="nil"/>
              <w:bottom w:val="nil"/>
              <w:right w:val="nil"/>
            </w:tcBorders>
            <w:shd w:val="clear" w:color="auto" w:fill="auto"/>
            <w:vAlign w:val="center"/>
            <w:hideMark/>
          </w:tcPr>
          <w:p w14:paraId="5891C3C0"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$45</w:t>
            </w:r>
          </w:p>
        </w:tc>
        <w:tc>
          <w:tcPr>
            <w:tcW w:w="1016" w:type="dxa"/>
            <w:tcBorders>
              <w:top w:val="nil"/>
              <w:left w:val="nil"/>
              <w:bottom w:val="nil"/>
              <w:right w:val="nil"/>
            </w:tcBorders>
            <w:vAlign w:val="center"/>
          </w:tcPr>
          <w:p w14:paraId="2397C26E" w14:textId="00C4B124"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$45</w:t>
            </w:r>
          </w:p>
        </w:tc>
        <w:tc>
          <w:tcPr>
            <w:tcW w:w="1016" w:type="dxa"/>
            <w:tcBorders>
              <w:top w:val="nil"/>
              <w:left w:val="nil"/>
              <w:bottom w:val="nil"/>
              <w:right w:val="nil"/>
            </w:tcBorders>
            <w:shd w:val="clear" w:color="auto" w:fill="auto"/>
            <w:vAlign w:val="center"/>
            <w:hideMark/>
          </w:tcPr>
          <w:p w14:paraId="6B0F9169" w14:textId="34BF2268"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$45</w:t>
            </w:r>
          </w:p>
        </w:tc>
        <w:tc>
          <w:tcPr>
            <w:tcW w:w="1016" w:type="dxa"/>
            <w:tcBorders>
              <w:top w:val="nil"/>
              <w:left w:val="nil"/>
              <w:bottom w:val="nil"/>
              <w:right w:val="nil"/>
            </w:tcBorders>
            <w:shd w:val="clear" w:color="auto" w:fill="auto"/>
            <w:vAlign w:val="center"/>
            <w:hideMark/>
          </w:tcPr>
          <w:p w14:paraId="73A73949"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$45</w:t>
            </w:r>
          </w:p>
        </w:tc>
      </w:tr>
      <w:tr w:rsidR="00B97BE7" w:rsidRPr="002B2EB0" w14:paraId="5E927F42" w14:textId="77777777" w:rsidTr="002B093E">
        <w:trPr>
          <w:gridAfter w:val="1"/>
          <w:wAfter w:w="40" w:type="dxa"/>
          <w:trHeight w:val="300"/>
        </w:trPr>
        <w:tc>
          <w:tcPr>
            <w:tcW w:w="709" w:type="dxa"/>
            <w:tcBorders>
              <w:top w:val="nil"/>
              <w:left w:val="nil"/>
              <w:bottom w:val="nil"/>
              <w:right w:val="nil"/>
            </w:tcBorders>
            <w:shd w:val="clear" w:color="auto" w:fill="auto"/>
            <w:noWrap/>
            <w:vAlign w:val="center"/>
            <w:hideMark/>
          </w:tcPr>
          <w:p w14:paraId="4BF80F3A" w14:textId="196DAB3C" w:rsidR="00B97BE7" w:rsidRPr="002B2EB0" w:rsidRDefault="00B97BE7" w:rsidP="00B97BE7">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d</w:t>
            </w:r>
          </w:p>
        </w:tc>
        <w:tc>
          <w:tcPr>
            <w:tcW w:w="3402" w:type="dxa"/>
            <w:tcBorders>
              <w:top w:val="nil"/>
              <w:left w:val="nil"/>
              <w:bottom w:val="nil"/>
              <w:right w:val="nil"/>
            </w:tcBorders>
            <w:shd w:val="clear" w:color="auto" w:fill="auto"/>
            <w:vAlign w:val="center"/>
            <w:hideMark/>
          </w:tcPr>
          <w:p w14:paraId="066CF320" w14:textId="20149A88" w:rsidR="00B97BE7" w:rsidRPr="002B2EB0" w:rsidRDefault="00B97BE7" w:rsidP="00B97BE7">
            <w:pPr>
              <w:rPr>
                <w:rFonts w:ascii="Calibri" w:eastAsia="Times New Roman" w:hAnsi="Calibri" w:cs="Calibri"/>
                <w:color w:val="000000"/>
                <w:lang w:eastAsia="en-AU"/>
              </w:rPr>
            </w:pPr>
            <w:r w:rsidRPr="002B2EB0">
              <w:rPr>
                <w:rFonts w:ascii="Calibri" w:eastAsia="Times New Roman" w:hAnsi="Calibri" w:cs="Calibri"/>
                <w:color w:val="000000"/>
                <w:lang w:eastAsia="en-AU"/>
              </w:rPr>
              <w:t>Implementation (genotyping)</w:t>
            </w:r>
          </w:p>
        </w:tc>
        <w:tc>
          <w:tcPr>
            <w:tcW w:w="1016" w:type="dxa"/>
            <w:gridSpan w:val="2"/>
            <w:tcBorders>
              <w:top w:val="nil"/>
              <w:left w:val="nil"/>
              <w:bottom w:val="nil"/>
              <w:right w:val="nil"/>
            </w:tcBorders>
            <w:shd w:val="clear" w:color="auto" w:fill="auto"/>
            <w:vAlign w:val="center"/>
            <w:hideMark/>
          </w:tcPr>
          <w:p w14:paraId="1CB7B7F1" w14:textId="77777777" w:rsidR="00B97BE7" w:rsidRPr="002B2EB0" w:rsidRDefault="00B97BE7" w:rsidP="00B97BE7">
            <w:pPr>
              <w:rPr>
                <w:rFonts w:ascii="Calibri" w:eastAsia="Times New Roman" w:hAnsi="Calibri" w:cs="Calibri"/>
                <w:color w:val="000000"/>
                <w:lang w:eastAsia="en-AU"/>
              </w:rPr>
            </w:pPr>
          </w:p>
        </w:tc>
        <w:tc>
          <w:tcPr>
            <w:tcW w:w="1016" w:type="dxa"/>
            <w:tcBorders>
              <w:top w:val="nil"/>
              <w:left w:val="nil"/>
              <w:bottom w:val="nil"/>
              <w:right w:val="nil"/>
            </w:tcBorders>
            <w:vAlign w:val="center"/>
          </w:tcPr>
          <w:p w14:paraId="06158837" w14:textId="14CC6568"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$111</w:t>
            </w:r>
          </w:p>
        </w:tc>
        <w:tc>
          <w:tcPr>
            <w:tcW w:w="1016" w:type="dxa"/>
            <w:tcBorders>
              <w:top w:val="nil"/>
              <w:left w:val="nil"/>
              <w:bottom w:val="nil"/>
              <w:right w:val="nil"/>
            </w:tcBorders>
            <w:shd w:val="clear" w:color="auto" w:fill="auto"/>
            <w:vAlign w:val="center"/>
            <w:hideMark/>
          </w:tcPr>
          <w:p w14:paraId="4F185D8F" w14:textId="100AB6DA"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$223</w:t>
            </w:r>
          </w:p>
        </w:tc>
        <w:tc>
          <w:tcPr>
            <w:tcW w:w="1016" w:type="dxa"/>
            <w:tcBorders>
              <w:top w:val="nil"/>
              <w:left w:val="nil"/>
              <w:bottom w:val="nil"/>
              <w:right w:val="nil"/>
            </w:tcBorders>
            <w:shd w:val="clear" w:color="auto" w:fill="auto"/>
            <w:vAlign w:val="center"/>
            <w:hideMark/>
          </w:tcPr>
          <w:p w14:paraId="089F33CA"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$3</w:t>
            </w:r>
          </w:p>
        </w:tc>
      </w:tr>
      <w:tr w:rsidR="00B97BE7" w:rsidRPr="002B2EB0" w14:paraId="22EC2712" w14:textId="77777777" w:rsidTr="002B093E">
        <w:trPr>
          <w:gridAfter w:val="1"/>
          <w:wAfter w:w="40" w:type="dxa"/>
          <w:trHeight w:val="300"/>
        </w:trPr>
        <w:tc>
          <w:tcPr>
            <w:tcW w:w="709" w:type="dxa"/>
            <w:tcBorders>
              <w:top w:val="nil"/>
              <w:left w:val="nil"/>
              <w:bottom w:val="nil"/>
              <w:right w:val="nil"/>
            </w:tcBorders>
            <w:shd w:val="clear" w:color="auto" w:fill="auto"/>
            <w:noWrap/>
            <w:vAlign w:val="bottom"/>
            <w:hideMark/>
          </w:tcPr>
          <w:p w14:paraId="3528EDA1" w14:textId="77777777" w:rsidR="00B97BE7" w:rsidRPr="002B2EB0" w:rsidRDefault="00B97BE7" w:rsidP="00B97BE7">
            <w:pPr>
              <w:jc w:val="right"/>
              <w:rPr>
                <w:rFonts w:ascii="Calibri" w:eastAsia="Times New Roman" w:hAnsi="Calibri" w:cs="Calibri"/>
                <w:color w:val="000000"/>
                <w:sz w:val="20"/>
                <w:szCs w:val="20"/>
                <w:lang w:eastAsia="en-AU"/>
              </w:rPr>
            </w:pPr>
          </w:p>
        </w:tc>
        <w:tc>
          <w:tcPr>
            <w:tcW w:w="3402" w:type="dxa"/>
            <w:tcBorders>
              <w:top w:val="nil"/>
              <w:left w:val="nil"/>
              <w:bottom w:val="nil"/>
              <w:right w:val="nil"/>
            </w:tcBorders>
            <w:shd w:val="clear" w:color="auto" w:fill="auto"/>
            <w:vAlign w:val="center"/>
            <w:hideMark/>
          </w:tcPr>
          <w:p w14:paraId="7E310D7B"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gridSpan w:val="2"/>
            <w:tcBorders>
              <w:top w:val="nil"/>
              <w:left w:val="nil"/>
              <w:bottom w:val="nil"/>
              <w:right w:val="nil"/>
            </w:tcBorders>
            <w:shd w:val="clear" w:color="auto" w:fill="auto"/>
            <w:vAlign w:val="center"/>
            <w:hideMark/>
          </w:tcPr>
          <w:p w14:paraId="3ADF1947"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vAlign w:val="center"/>
          </w:tcPr>
          <w:p w14:paraId="306E1F16"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vAlign w:val="center"/>
            <w:hideMark/>
          </w:tcPr>
          <w:p w14:paraId="1BD97A5C" w14:textId="0317503E"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vAlign w:val="center"/>
            <w:hideMark/>
          </w:tcPr>
          <w:p w14:paraId="54AA437E" w14:textId="77777777" w:rsidR="00B97BE7" w:rsidRPr="002B2EB0" w:rsidRDefault="00B97BE7" w:rsidP="00B97BE7">
            <w:pPr>
              <w:rPr>
                <w:rFonts w:ascii="Times New Roman" w:eastAsia="Times New Roman" w:hAnsi="Times New Roman" w:cs="Times New Roman"/>
                <w:sz w:val="20"/>
                <w:szCs w:val="20"/>
                <w:lang w:eastAsia="en-AU"/>
              </w:rPr>
            </w:pPr>
          </w:p>
        </w:tc>
      </w:tr>
      <w:tr w:rsidR="00B97BE7" w:rsidRPr="002B2EB0" w14:paraId="1FAA7DEE" w14:textId="77777777" w:rsidTr="002B093E">
        <w:trPr>
          <w:gridAfter w:val="1"/>
          <w:wAfter w:w="40" w:type="dxa"/>
          <w:trHeight w:val="300"/>
        </w:trPr>
        <w:tc>
          <w:tcPr>
            <w:tcW w:w="709" w:type="dxa"/>
            <w:tcBorders>
              <w:top w:val="nil"/>
              <w:left w:val="nil"/>
              <w:bottom w:val="nil"/>
            </w:tcBorders>
            <w:shd w:val="clear" w:color="auto" w:fill="auto"/>
            <w:noWrap/>
            <w:vAlign w:val="bottom"/>
            <w:hideMark/>
          </w:tcPr>
          <w:p w14:paraId="58A3AADD" w14:textId="77777777" w:rsidR="00B97BE7" w:rsidRPr="002B2EB0" w:rsidRDefault="00B97BE7" w:rsidP="00B97BE7">
            <w:pPr>
              <w:rPr>
                <w:rFonts w:ascii="Times New Roman" w:eastAsia="Times New Roman" w:hAnsi="Times New Roman" w:cs="Times New Roman"/>
                <w:sz w:val="20"/>
                <w:szCs w:val="20"/>
                <w:lang w:eastAsia="en-AU"/>
              </w:rPr>
            </w:pPr>
          </w:p>
        </w:tc>
        <w:tc>
          <w:tcPr>
            <w:tcW w:w="3402" w:type="dxa"/>
            <w:tcBorders>
              <w:top w:val="nil"/>
              <w:bottom w:val="nil"/>
            </w:tcBorders>
            <w:shd w:val="clear" w:color="auto" w:fill="auto"/>
            <w:vAlign w:val="center"/>
            <w:hideMark/>
          </w:tcPr>
          <w:p w14:paraId="19DECB83" w14:textId="77777777" w:rsidR="00B97BE7" w:rsidRPr="002B2EB0" w:rsidRDefault="00B97BE7" w:rsidP="00B97BE7">
            <w:pPr>
              <w:rPr>
                <w:rFonts w:ascii="Calibri" w:eastAsia="Times New Roman" w:hAnsi="Calibri" w:cs="Calibri"/>
                <w:b/>
                <w:bCs/>
                <w:color w:val="000000"/>
                <w:lang w:eastAsia="en-AU"/>
              </w:rPr>
            </w:pPr>
            <w:r w:rsidRPr="002B2EB0">
              <w:rPr>
                <w:rFonts w:ascii="Calibri" w:eastAsia="Times New Roman" w:hAnsi="Calibri" w:cs="Calibri"/>
                <w:b/>
                <w:bCs/>
                <w:color w:val="000000"/>
                <w:lang w:eastAsia="en-AU"/>
              </w:rPr>
              <w:t>Benefit ($m p.a., industry)</w:t>
            </w:r>
            <w:r w:rsidRPr="002B2EB0">
              <w:rPr>
                <w:rFonts w:ascii="Calibri" w:eastAsia="Times New Roman" w:hAnsi="Calibri" w:cs="Calibri"/>
                <w:color w:val="000000"/>
                <w:lang w:eastAsia="en-AU"/>
              </w:rPr>
              <w:t> </w:t>
            </w:r>
          </w:p>
        </w:tc>
        <w:tc>
          <w:tcPr>
            <w:tcW w:w="1016" w:type="dxa"/>
            <w:gridSpan w:val="2"/>
            <w:tcBorders>
              <w:top w:val="nil"/>
              <w:bottom w:val="nil"/>
            </w:tcBorders>
            <w:shd w:val="clear" w:color="auto" w:fill="auto"/>
            <w:vAlign w:val="center"/>
            <w:hideMark/>
          </w:tcPr>
          <w:p w14:paraId="1332114C"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$468</w:t>
            </w:r>
          </w:p>
        </w:tc>
        <w:tc>
          <w:tcPr>
            <w:tcW w:w="1016" w:type="dxa"/>
            <w:tcBorders>
              <w:top w:val="nil"/>
              <w:bottom w:val="nil"/>
            </w:tcBorders>
            <w:vAlign w:val="center"/>
          </w:tcPr>
          <w:p w14:paraId="4549F0F3" w14:textId="005B0A86"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w:t>
            </w:r>
            <w:r>
              <w:rPr>
                <w:rFonts w:ascii="Calibri" w:eastAsia="Times New Roman" w:hAnsi="Calibri" w:cs="Calibri"/>
                <w:color w:val="000000"/>
                <w:lang w:eastAsia="en-AU"/>
              </w:rPr>
              <w:t>626</w:t>
            </w:r>
          </w:p>
        </w:tc>
        <w:tc>
          <w:tcPr>
            <w:tcW w:w="1016" w:type="dxa"/>
            <w:tcBorders>
              <w:top w:val="nil"/>
              <w:bottom w:val="nil"/>
            </w:tcBorders>
            <w:shd w:val="clear" w:color="auto" w:fill="auto"/>
            <w:vAlign w:val="center"/>
            <w:hideMark/>
          </w:tcPr>
          <w:p w14:paraId="02CE46A3" w14:textId="0BAB4A31"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$665</w:t>
            </w:r>
          </w:p>
        </w:tc>
        <w:tc>
          <w:tcPr>
            <w:tcW w:w="1016" w:type="dxa"/>
            <w:tcBorders>
              <w:top w:val="nil"/>
              <w:bottom w:val="nil"/>
              <w:right w:val="nil"/>
            </w:tcBorders>
            <w:shd w:val="clear" w:color="auto" w:fill="auto"/>
            <w:vAlign w:val="center"/>
            <w:hideMark/>
          </w:tcPr>
          <w:p w14:paraId="31D0506F"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$626</w:t>
            </w:r>
          </w:p>
        </w:tc>
      </w:tr>
      <w:tr w:rsidR="00B97BE7" w:rsidRPr="002B2EB0" w14:paraId="2D8C4B77" w14:textId="77777777" w:rsidTr="002B093E">
        <w:trPr>
          <w:gridAfter w:val="1"/>
          <w:wAfter w:w="40" w:type="dxa"/>
          <w:trHeight w:val="300"/>
        </w:trPr>
        <w:tc>
          <w:tcPr>
            <w:tcW w:w="709" w:type="dxa"/>
            <w:tcBorders>
              <w:top w:val="nil"/>
              <w:left w:val="nil"/>
              <w:bottom w:val="nil"/>
              <w:right w:val="nil"/>
            </w:tcBorders>
            <w:shd w:val="clear" w:color="auto" w:fill="auto"/>
            <w:noWrap/>
            <w:vAlign w:val="bottom"/>
            <w:hideMark/>
          </w:tcPr>
          <w:p w14:paraId="6AADD180" w14:textId="77777777" w:rsidR="00B97BE7" w:rsidRPr="002B2EB0" w:rsidRDefault="00B97BE7" w:rsidP="00B97BE7">
            <w:pPr>
              <w:jc w:val="right"/>
              <w:rPr>
                <w:rFonts w:ascii="Calibri" w:eastAsia="Times New Roman" w:hAnsi="Calibri" w:cs="Calibri"/>
                <w:color w:val="000000"/>
                <w:sz w:val="20"/>
                <w:szCs w:val="20"/>
                <w:lang w:eastAsia="en-AU"/>
              </w:rPr>
            </w:pPr>
          </w:p>
        </w:tc>
        <w:tc>
          <w:tcPr>
            <w:tcW w:w="3402" w:type="dxa"/>
            <w:tcBorders>
              <w:top w:val="nil"/>
              <w:left w:val="nil"/>
              <w:bottom w:val="nil"/>
              <w:right w:val="nil"/>
            </w:tcBorders>
            <w:shd w:val="clear" w:color="auto" w:fill="auto"/>
            <w:vAlign w:val="center"/>
            <w:hideMark/>
          </w:tcPr>
          <w:p w14:paraId="294B04A0"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gridSpan w:val="2"/>
            <w:tcBorders>
              <w:top w:val="nil"/>
              <w:left w:val="nil"/>
              <w:bottom w:val="nil"/>
              <w:right w:val="nil"/>
            </w:tcBorders>
            <w:shd w:val="clear" w:color="auto" w:fill="auto"/>
            <w:noWrap/>
            <w:vAlign w:val="bottom"/>
            <w:hideMark/>
          </w:tcPr>
          <w:p w14:paraId="3DFD41E5"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vAlign w:val="bottom"/>
          </w:tcPr>
          <w:p w14:paraId="57808943"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noWrap/>
            <w:vAlign w:val="bottom"/>
            <w:hideMark/>
          </w:tcPr>
          <w:p w14:paraId="37D5CAE1" w14:textId="40AD6821"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noWrap/>
            <w:vAlign w:val="bottom"/>
            <w:hideMark/>
          </w:tcPr>
          <w:p w14:paraId="45C83B00" w14:textId="77777777" w:rsidR="00B97BE7" w:rsidRPr="002B2EB0" w:rsidRDefault="00B97BE7" w:rsidP="00B97BE7">
            <w:pPr>
              <w:rPr>
                <w:rFonts w:ascii="Times New Roman" w:eastAsia="Times New Roman" w:hAnsi="Times New Roman" w:cs="Times New Roman"/>
                <w:sz w:val="20"/>
                <w:szCs w:val="20"/>
                <w:lang w:eastAsia="en-AU"/>
              </w:rPr>
            </w:pPr>
          </w:p>
        </w:tc>
      </w:tr>
      <w:tr w:rsidR="00B97BE7" w:rsidRPr="002B2EB0" w14:paraId="7E912459" w14:textId="77777777" w:rsidTr="002B093E">
        <w:trPr>
          <w:gridAfter w:val="1"/>
          <w:wAfter w:w="40" w:type="dxa"/>
          <w:trHeight w:val="300"/>
        </w:trPr>
        <w:tc>
          <w:tcPr>
            <w:tcW w:w="709" w:type="dxa"/>
            <w:tcBorders>
              <w:top w:val="nil"/>
              <w:left w:val="nil"/>
              <w:bottom w:val="nil"/>
              <w:right w:val="nil"/>
            </w:tcBorders>
            <w:shd w:val="clear" w:color="auto" w:fill="auto"/>
            <w:noWrap/>
            <w:vAlign w:val="bottom"/>
            <w:hideMark/>
          </w:tcPr>
          <w:p w14:paraId="7A37CD3F" w14:textId="77777777" w:rsidR="00B97BE7" w:rsidRPr="002B2EB0" w:rsidRDefault="00B97BE7" w:rsidP="00B97BE7">
            <w:pPr>
              <w:rPr>
                <w:rFonts w:ascii="Times New Roman" w:eastAsia="Times New Roman" w:hAnsi="Times New Roman" w:cs="Times New Roman"/>
                <w:sz w:val="20"/>
                <w:szCs w:val="20"/>
                <w:lang w:eastAsia="en-AU"/>
              </w:rPr>
            </w:pPr>
          </w:p>
        </w:tc>
        <w:tc>
          <w:tcPr>
            <w:tcW w:w="3402" w:type="dxa"/>
            <w:tcBorders>
              <w:top w:val="nil"/>
              <w:left w:val="nil"/>
              <w:bottom w:val="nil"/>
              <w:right w:val="nil"/>
            </w:tcBorders>
            <w:shd w:val="clear" w:color="auto" w:fill="auto"/>
            <w:vAlign w:val="center"/>
            <w:hideMark/>
          </w:tcPr>
          <w:p w14:paraId="49C9F2DB" w14:textId="77777777" w:rsidR="00B97BE7" w:rsidRPr="002B2EB0" w:rsidRDefault="00B97BE7" w:rsidP="00B97BE7">
            <w:pPr>
              <w:rPr>
                <w:rFonts w:ascii="Calibri" w:eastAsia="Times New Roman" w:hAnsi="Calibri" w:cs="Calibri"/>
                <w:b/>
                <w:bCs/>
                <w:color w:val="000000"/>
                <w:lang w:eastAsia="en-AU"/>
              </w:rPr>
            </w:pPr>
            <w:r w:rsidRPr="002B2EB0">
              <w:rPr>
                <w:rFonts w:ascii="Calibri" w:eastAsia="Times New Roman" w:hAnsi="Calibri" w:cs="Calibri"/>
                <w:b/>
                <w:bCs/>
                <w:color w:val="000000"/>
                <w:lang w:eastAsia="en-AU"/>
              </w:rPr>
              <w:t>Benefit - Cost ($m p.a., industry)</w:t>
            </w:r>
          </w:p>
        </w:tc>
        <w:tc>
          <w:tcPr>
            <w:tcW w:w="1016" w:type="dxa"/>
            <w:gridSpan w:val="2"/>
            <w:tcBorders>
              <w:top w:val="nil"/>
              <w:left w:val="nil"/>
              <w:bottom w:val="nil"/>
              <w:right w:val="nil"/>
            </w:tcBorders>
            <w:shd w:val="clear" w:color="auto" w:fill="auto"/>
            <w:vAlign w:val="center"/>
            <w:hideMark/>
          </w:tcPr>
          <w:p w14:paraId="637696E5"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$418</w:t>
            </w:r>
          </w:p>
        </w:tc>
        <w:tc>
          <w:tcPr>
            <w:tcW w:w="1016" w:type="dxa"/>
            <w:tcBorders>
              <w:top w:val="nil"/>
              <w:left w:val="nil"/>
              <w:bottom w:val="nil"/>
              <w:right w:val="nil"/>
            </w:tcBorders>
            <w:vAlign w:val="center"/>
          </w:tcPr>
          <w:p w14:paraId="294FCFBF" w14:textId="3FAF5716"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w:t>
            </w:r>
            <w:r>
              <w:rPr>
                <w:rFonts w:ascii="Calibri" w:eastAsia="Times New Roman" w:hAnsi="Calibri" w:cs="Calibri"/>
                <w:color w:val="000000"/>
                <w:lang w:eastAsia="en-AU"/>
              </w:rPr>
              <w:t>464</w:t>
            </w:r>
          </w:p>
        </w:tc>
        <w:tc>
          <w:tcPr>
            <w:tcW w:w="1016" w:type="dxa"/>
            <w:tcBorders>
              <w:top w:val="nil"/>
              <w:left w:val="nil"/>
              <w:bottom w:val="nil"/>
              <w:right w:val="nil"/>
            </w:tcBorders>
            <w:shd w:val="clear" w:color="auto" w:fill="auto"/>
            <w:vAlign w:val="center"/>
            <w:hideMark/>
          </w:tcPr>
          <w:p w14:paraId="5787B924" w14:textId="791EAFEB"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$392</w:t>
            </w:r>
          </w:p>
        </w:tc>
        <w:tc>
          <w:tcPr>
            <w:tcW w:w="1016" w:type="dxa"/>
            <w:tcBorders>
              <w:top w:val="nil"/>
              <w:left w:val="nil"/>
              <w:bottom w:val="nil"/>
              <w:right w:val="nil"/>
            </w:tcBorders>
            <w:shd w:val="clear" w:color="auto" w:fill="auto"/>
            <w:vAlign w:val="center"/>
            <w:hideMark/>
          </w:tcPr>
          <w:p w14:paraId="193E1AA6"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$572</w:t>
            </w:r>
          </w:p>
        </w:tc>
      </w:tr>
      <w:tr w:rsidR="00B97BE7" w:rsidRPr="002B2EB0" w14:paraId="1C1FB967" w14:textId="77777777" w:rsidTr="002B093E">
        <w:trPr>
          <w:gridAfter w:val="1"/>
          <w:wAfter w:w="40" w:type="dxa"/>
          <w:trHeight w:val="300"/>
        </w:trPr>
        <w:tc>
          <w:tcPr>
            <w:tcW w:w="709" w:type="dxa"/>
            <w:tcBorders>
              <w:top w:val="nil"/>
              <w:left w:val="nil"/>
              <w:bottom w:val="nil"/>
              <w:right w:val="nil"/>
            </w:tcBorders>
            <w:shd w:val="clear" w:color="auto" w:fill="auto"/>
            <w:noWrap/>
            <w:vAlign w:val="bottom"/>
            <w:hideMark/>
          </w:tcPr>
          <w:p w14:paraId="212C6691" w14:textId="77777777" w:rsidR="00B97BE7" w:rsidRPr="002B2EB0" w:rsidRDefault="00B97BE7" w:rsidP="00B97BE7">
            <w:pPr>
              <w:jc w:val="right"/>
              <w:rPr>
                <w:rFonts w:ascii="Calibri" w:eastAsia="Times New Roman" w:hAnsi="Calibri" w:cs="Calibri"/>
                <w:color w:val="000000"/>
                <w:lang w:eastAsia="en-AU"/>
              </w:rPr>
            </w:pPr>
          </w:p>
        </w:tc>
        <w:tc>
          <w:tcPr>
            <w:tcW w:w="3402" w:type="dxa"/>
            <w:tcBorders>
              <w:top w:val="nil"/>
              <w:left w:val="nil"/>
              <w:bottom w:val="nil"/>
              <w:right w:val="nil"/>
            </w:tcBorders>
            <w:shd w:val="clear" w:color="auto" w:fill="auto"/>
            <w:vAlign w:val="center"/>
            <w:hideMark/>
          </w:tcPr>
          <w:p w14:paraId="3F678272"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gridSpan w:val="2"/>
            <w:tcBorders>
              <w:top w:val="nil"/>
              <w:left w:val="nil"/>
              <w:bottom w:val="nil"/>
              <w:right w:val="nil"/>
            </w:tcBorders>
            <w:shd w:val="clear" w:color="auto" w:fill="auto"/>
            <w:noWrap/>
            <w:vAlign w:val="bottom"/>
            <w:hideMark/>
          </w:tcPr>
          <w:p w14:paraId="01042AFB"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vAlign w:val="bottom"/>
          </w:tcPr>
          <w:p w14:paraId="69B0ABBF" w14:textId="77777777"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noWrap/>
            <w:vAlign w:val="bottom"/>
            <w:hideMark/>
          </w:tcPr>
          <w:p w14:paraId="17F19150" w14:textId="75E19226" w:rsidR="00B97BE7" w:rsidRPr="002B2EB0" w:rsidRDefault="00B97BE7" w:rsidP="00B97BE7">
            <w:pPr>
              <w:rPr>
                <w:rFonts w:ascii="Times New Roman" w:eastAsia="Times New Roman" w:hAnsi="Times New Roman" w:cs="Times New Roman"/>
                <w:sz w:val="20"/>
                <w:szCs w:val="20"/>
                <w:lang w:eastAsia="en-AU"/>
              </w:rPr>
            </w:pPr>
          </w:p>
        </w:tc>
        <w:tc>
          <w:tcPr>
            <w:tcW w:w="1016" w:type="dxa"/>
            <w:tcBorders>
              <w:top w:val="nil"/>
              <w:left w:val="nil"/>
              <w:bottom w:val="nil"/>
              <w:right w:val="nil"/>
            </w:tcBorders>
            <w:shd w:val="clear" w:color="auto" w:fill="auto"/>
            <w:noWrap/>
            <w:vAlign w:val="bottom"/>
            <w:hideMark/>
          </w:tcPr>
          <w:p w14:paraId="73EB1208" w14:textId="77777777" w:rsidR="00B97BE7" w:rsidRPr="002B2EB0" w:rsidRDefault="00B97BE7" w:rsidP="00B97BE7">
            <w:pPr>
              <w:rPr>
                <w:rFonts w:ascii="Times New Roman" w:eastAsia="Times New Roman" w:hAnsi="Times New Roman" w:cs="Times New Roman"/>
                <w:sz w:val="20"/>
                <w:szCs w:val="20"/>
                <w:lang w:eastAsia="en-AU"/>
              </w:rPr>
            </w:pPr>
          </w:p>
        </w:tc>
      </w:tr>
      <w:tr w:rsidR="00B97BE7" w:rsidRPr="002B2EB0" w14:paraId="77E8C515" w14:textId="77777777" w:rsidTr="002B093E">
        <w:trPr>
          <w:gridAfter w:val="1"/>
          <w:wAfter w:w="40" w:type="dxa"/>
          <w:trHeight w:val="300"/>
        </w:trPr>
        <w:tc>
          <w:tcPr>
            <w:tcW w:w="709" w:type="dxa"/>
            <w:tcBorders>
              <w:top w:val="nil"/>
              <w:left w:val="nil"/>
              <w:bottom w:val="nil"/>
              <w:right w:val="nil"/>
            </w:tcBorders>
            <w:shd w:val="clear" w:color="auto" w:fill="auto"/>
            <w:noWrap/>
            <w:vAlign w:val="bottom"/>
            <w:hideMark/>
          </w:tcPr>
          <w:p w14:paraId="08186349" w14:textId="77777777" w:rsidR="00B97BE7" w:rsidRPr="002B2EB0" w:rsidRDefault="00B97BE7" w:rsidP="00B97BE7">
            <w:pPr>
              <w:rPr>
                <w:rFonts w:ascii="Times New Roman" w:eastAsia="Times New Roman" w:hAnsi="Times New Roman" w:cs="Times New Roman"/>
                <w:sz w:val="20"/>
                <w:szCs w:val="20"/>
                <w:lang w:eastAsia="en-AU"/>
              </w:rPr>
            </w:pPr>
          </w:p>
        </w:tc>
        <w:tc>
          <w:tcPr>
            <w:tcW w:w="3402" w:type="dxa"/>
            <w:tcBorders>
              <w:top w:val="nil"/>
              <w:left w:val="nil"/>
              <w:bottom w:val="single" w:sz="4" w:space="0" w:color="000000"/>
              <w:right w:val="nil"/>
            </w:tcBorders>
            <w:shd w:val="clear" w:color="auto" w:fill="auto"/>
            <w:vAlign w:val="center"/>
            <w:hideMark/>
          </w:tcPr>
          <w:p w14:paraId="2AA5AA35" w14:textId="2E78E81D" w:rsidR="00B97BE7" w:rsidRPr="002B2EB0" w:rsidRDefault="00B97BE7" w:rsidP="00B97BE7">
            <w:pPr>
              <w:rPr>
                <w:rFonts w:ascii="Calibri" w:eastAsia="Times New Roman" w:hAnsi="Calibri" w:cs="Calibri"/>
                <w:color w:val="000000"/>
                <w:lang w:eastAsia="en-AU"/>
              </w:rPr>
            </w:pPr>
            <w:r w:rsidRPr="002B2EB0">
              <w:rPr>
                <w:rFonts w:ascii="Calibri" w:eastAsia="Times New Roman" w:hAnsi="Calibri" w:cs="Calibri"/>
                <w:color w:val="000000"/>
                <w:lang w:eastAsia="en-AU"/>
              </w:rPr>
              <w:t> </w:t>
            </w:r>
            <w:r>
              <w:rPr>
                <w:rFonts w:ascii="Calibri" w:eastAsia="Times New Roman" w:hAnsi="Calibri" w:cs="Calibri"/>
                <w:color w:val="000000"/>
                <w:lang w:eastAsia="en-AU"/>
              </w:rPr>
              <w:t>Marginal benefit ($m p.a.)</w:t>
            </w:r>
          </w:p>
        </w:tc>
        <w:tc>
          <w:tcPr>
            <w:tcW w:w="1016" w:type="dxa"/>
            <w:gridSpan w:val="2"/>
            <w:tcBorders>
              <w:top w:val="nil"/>
              <w:left w:val="nil"/>
              <w:bottom w:val="single" w:sz="4" w:space="0" w:color="000000"/>
              <w:right w:val="nil"/>
            </w:tcBorders>
            <w:shd w:val="clear" w:color="auto" w:fill="auto"/>
            <w:vAlign w:val="center"/>
            <w:hideMark/>
          </w:tcPr>
          <w:p w14:paraId="307F800F" w14:textId="77777777"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000000"/>
                <w:lang w:eastAsia="en-AU"/>
              </w:rPr>
              <w:t> </w:t>
            </w:r>
          </w:p>
        </w:tc>
        <w:tc>
          <w:tcPr>
            <w:tcW w:w="1016" w:type="dxa"/>
            <w:tcBorders>
              <w:top w:val="nil"/>
              <w:left w:val="nil"/>
              <w:bottom w:val="single" w:sz="4" w:space="0" w:color="000000"/>
              <w:right w:val="nil"/>
            </w:tcBorders>
            <w:vAlign w:val="center"/>
          </w:tcPr>
          <w:p w14:paraId="2239A1EA" w14:textId="3960F7C6" w:rsidR="00B97BE7" w:rsidRPr="002B2EB0" w:rsidRDefault="00B97BE7" w:rsidP="00B97BE7">
            <w:pPr>
              <w:jc w:val="right"/>
              <w:rPr>
                <w:rFonts w:ascii="Calibri" w:eastAsia="Times New Roman" w:hAnsi="Calibri" w:cs="Calibri"/>
                <w:color w:val="FF0000"/>
                <w:lang w:eastAsia="en-AU"/>
              </w:rPr>
            </w:pPr>
            <w:r>
              <w:rPr>
                <w:rFonts w:ascii="Calibri" w:eastAsia="Times New Roman" w:hAnsi="Calibri" w:cs="Calibri"/>
                <w:color w:val="000000"/>
                <w:lang w:eastAsia="en-AU"/>
              </w:rPr>
              <w:t>+</w:t>
            </w:r>
            <w:r w:rsidRPr="002B2EB0">
              <w:rPr>
                <w:rFonts w:ascii="Calibri" w:eastAsia="Times New Roman" w:hAnsi="Calibri" w:cs="Calibri"/>
                <w:color w:val="000000"/>
                <w:lang w:eastAsia="en-AU"/>
              </w:rPr>
              <w:t>$</w:t>
            </w:r>
            <w:r w:rsidR="008472CA">
              <w:rPr>
                <w:rFonts w:ascii="Calibri" w:eastAsia="Times New Roman" w:hAnsi="Calibri" w:cs="Calibri"/>
                <w:color w:val="000000"/>
                <w:lang w:eastAsia="en-AU"/>
              </w:rPr>
              <w:t>45</w:t>
            </w:r>
          </w:p>
        </w:tc>
        <w:tc>
          <w:tcPr>
            <w:tcW w:w="1016" w:type="dxa"/>
            <w:tcBorders>
              <w:top w:val="nil"/>
              <w:left w:val="nil"/>
              <w:bottom w:val="single" w:sz="4" w:space="0" w:color="000000"/>
              <w:right w:val="nil"/>
            </w:tcBorders>
            <w:shd w:val="clear" w:color="auto" w:fill="auto"/>
            <w:vAlign w:val="center"/>
            <w:hideMark/>
          </w:tcPr>
          <w:p w14:paraId="266079E5" w14:textId="39B9A69D" w:rsidR="00B97BE7" w:rsidRPr="002B2EB0" w:rsidRDefault="00B97BE7" w:rsidP="00B97BE7">
            <w:pPr>
              <w:jc w:val="right"/>
              <w:rPr>
                <w:rFonts w:ascii="Calibri" w:eastAsia="Times New Roman" w:hAnsi="Calibri" w:cs="Calibri"/>
                <w:color w:val="000000"/>
                <w:lang w:eastAsia="en-AU"/>
              </w:rPr>
            </w:pPr>
            <w:r w:rsidRPr="002B2EB0">
              <w:rPr>
                <w:rFonts w:ascii="Calibri" w:eastAsia="Times New Roman" w:hAnsi="Calibri" w:cs="Calibri"/>
                <w:color w:val="FF0000"/>
                <w:lang w:eastAsia="en-AU"/>
              </w:rPr>
              <w:t>-$27</w:t>
            </w:r>
          </w:p>
        </w:tc>
        <w:tc>
          <w:tcPr>
            <w:tcW w:w="1016" w:type="dxa"/>
            <w:tcBorders>
              <w:top w:val="nil"/>
              <w:left w:val="nil"/>
              <w:bottom w:val="single" w:sz="4" w:space="0" w:color="000000"/>
              <w:right w:val="nil"/>
            </w:tcBorders>
            <w:shd w:val="clear" w:color="auto" w:fill="auto"/>
            <w:vAlign w:val="center"/>
            <w:hideMark/>
          </w:tcPr>
          <w:p w14:paraId="1BCF39CA" w14:textId="21628196" w:rsidR="00B97BE7" w:rsidRPr="002B2EB0" w:rsidRDefault="00B97BE7" w:rsidP="00B97BE7">
            <w:pPr>
              <w:jc w:val="right"/>
              <w:rPr>
                <w:rFonts w:ascii="Calibri" w:eastAsia="Times New Roman" w:hAnsi="Calibri" w:cs="Calibri"/>
                <w:color w:val="000000"/>
                <w:lang w:eastAsia="en-AU"/>
              </w:rPr>
            </w:pPr>
            <w:r>
              <w:rPr>
                <w:rFonts w:ascii="Calibri" w:eastAsia="Times New Roman" w:hAnsi="Calibri" w:cs="Calibri"/>
                <w:color w:val="000000"/>
                <w:lang w:eastAsia="en-AU"/>
              </w:rPr>
              <w:t>+</w:t>
            </w:r>
            <w:r w:rsidRPr="002B2EB0">
              <w:rPr>
                <w:rFonts w:ascii="Calibri" w:eastAsia="Times New Roman" w:hAnsi="Calibri" w:cs="Calibri"/>
                <w:color w:val="000000"/>
                <w:lang w:eastAsia="en-AU"/>
              </w:rPr>
              <w:t>$1</w:t>
            </w:r>
            <w:r w:rsidR="002B093E">
              <w:rPr>
                <w:rFonts w:ascii="Calibri" w:eastAsia="Times New Roman" w:hAnsi="Calibri" w:cs="Calibri"/>
                <w:color w:val="000000"/>
                <w:lang w:eastAsia="en-AU"/>
              </w:rPr>
              <w:t>53</w:t>
            </w:r>
          </w:p>
        </w:tc>
      </w:tr>
    </w:tbl>
    <w:p w14:paraId="7F075234" w14:textId="56E99731" w:rsidR="008452B8" w:rsidRDefault="008452B8" w:rsidP="00B465EF">
      <w:pPr>
        <w:rPr>
          <w:bCs/>
        </w:rPr>
      </w:pPr>
    </w:p>
    <w:p w14:paraId="2D96582D" w14:textId="77777777" w:rsidR="00860F05" w:rsidRPr="009822B7" w:rsidRDefault="00860F05" w:rsidP="00860F05">
      <w:pPr>
        <w:ind w:left="993"/>
        <w:rPr>
          <w:i/>
          <w:iCs/>
          <w:u w:val="single"/>
        </w:rPr>
      </w:pPr>
      <w:r w:rsidRPr="009822B7">
        <w:rPr>
          <w:i/>
          <w:iCs/>
          <w:u w:val="single"/>
        </w:rPr>
        <w:t>Notes</w:t>
      </w:r>
    </w:p>
    <w:p w14:paraId="7BC17BA7" w14:textId="796D426E" w:rsidR="00860F05" w:rsidRDefault="00860F05" w:rsidP="00860F05">
      <w:pPr>
        <w:ind w:left="993"/>
        <w:rPr>
          <w:i/>
          <w:iCs/>
        </w:rPr>
      </w:pPr>
      <w:r w:rsidRPr="003D030E">
        <w:rPr>
          <w:i/>
          <w:iCs/>
        </w:rPr>
        <w:t xml:space="preserve">a. </w:t>
      </w:r>
      <w:r>
        <w:rPr>
          <w:i/>
          <w:iCs/>
        </w:rPr>
        <w:t xml:space="preserve">Proportion of national beef herd genotyped. Assume 7.5m </w:t>
      </w:r>
      <w:r w:rsidR="007364F4">
        <w:rPr>
          <w:i/>
          <w:iCs/>
        </w:rPr>
        <w:t xml:space="preserve">head p.a. with </w:t>
      </w:r>
      <w:r>
        <w:rPr>
          <w:i/>
          <w:iCs/>
        </w:rPr>
        <w:t>10% culled prior to sampling.</w:t>
      </w:r>
      <w:r w:rsidR="007364F4">
        <w:rPr>
          <w:i/>
          <w:iCs/>
        </w:rPr>
        <w:t xml:space="preserve">  </w:t>
      </w:r>
    </w:p>
    <w:p w14:paraId="48B1B68B" w14:textId="31E80E18" w:rsidR="00860F05" w:rsidRDefault="00860F05" w:rsidP="00860F05">
      <w:pPr>
        <w:ind w:left="993"/>
        <w:rPr>
          <w:i/>
          <w:iCs/>
        </w:rPr>
      </w:pPr>
      <w:r>
        <w:rPr>
          <w:i/>
          <w:iCs/>
        </w:rPr>
        <w:t xml:space="preserve">b. </w:t>
      </w:r>
      <w:r w:rsidR="002A014D">
        <w:rPr>
          <w:i/>
          <w:iCs/>
        </w:rPr>
        <w:t>Approximate traceability levels, as described previously</w:t>
      </w:r>
    </w:p>
    <w:p w14:paraId="64B4DC85" w14:textId="1F390617" w:rsidR="00860F05" w:rsidRDefault="00860F05" w:rsidP="00860F05">
      <w:pPr>
        <w:ind w:left="993"/>
        <w:rPr>
          <w:i/>
          <w:iCs/>
        </w:rPr>
      </w:pPr>
      <w:r>
        <w:rPr>
          <w:i/>
          <w:iCs/>
        </w:rPr>
        <w:t xml:space="preserve">c. </w:t>
      </w:r>
      <w:r w:rsidR="002A014D">
        <w:rPr>
          <w:i/>
          <w:iCs/>
        </w:rPr>
        <w:t>Allo</w:t>
      </w:r>
      <w:r w:rsidR="00BC34DE">
        <w:rPr>
          <w:i/>
          <w:iCs/>
        </w:rPr>
        <w:t xml:space="preserve">ws $1m p.a. for </w:t>
      </w:r>
      <w:r w:rsidR="00F0648C">
        <w:rPr>
          <w:i/>
          <w:iCs/>
        </w:rPr>
        <w:t xml:space="preserve">annual </w:t>
      </w:r>
      <w:r w:rsidR="00BC34DE">
        <w:rPr>
          <w:i/>
          <w:iCs/>
        </w:rPr>
        <w:t>operation of national genotype database</w:t>
      </w:r>
      <w:r w:rsidR="00F0648C">
        <w:rPr>
          <w:i/>
          <w:iCs/>
        </w:rPr>
        <w:t>, in addition to existing NLIS costs</w:t>
      </w:r>
      <w:r w:rsidR="003308FD">
        <w:rPr>
          <w:i/>
          <w:iCs/>
        </w:rPr>
        <w:t xml:space="preserve">. </w:t>
      </w:r>
      <w:r w:rsidR="005B0BA8">
        <w:rPr>
          <w:i/>
          <w:iCs/>
        </w:rPr>
        <w:t>It does not include development costs.  T</w:t>
      </w:r>
      <w:r w:rsidR="003308FD" w:rsidRPr="003308FD">
        <w:rPr>
          <w:i/>
          <w:iCs/>
        </w:rPr>
        <w:t xml:space="preserve">his figure is </w:t>
      </w:r>
      <w:proofErr w:type="gramStart"/>
      <w:r w:rsidR="003308FD" w:rsidRPr="003308FD">
        <w:rPr>
          <w:i/>
          <w:iCs/>
        </w:rPr>
        <w:t>uncertain</w:t>
      </w:r>
      <w:proofErr w:type="gramEnd"/>
      <w:r w:rsidR="003308FD" w:rsidRPr="003308FD">
        <w:rPr>
          <w:i/>
          <w:iCs/>
        </w:rPr>
        <w:t xml:space="preserve"> </w:t>
      </w:r>
      <w:r w:rsidR="005B0BA8">
        <w:rPr>
          <w:i/>
          <w:iCs/>
        </w:rPr>
        <w:t>but it</w:t>
      </w:r>
      <w:r w:rsidR="003308FD" w:rsidRPr="003308FD">
        <w:rPr>
          <w:i/>
          <w:iCs/>
        </w:rPr>
        <w:t xml:space="preserve"> is unlikely to affect the main conclusions</w:t>
      </w:r>
    </w:p>
    <w:p w14:paraId="739B729C" w14:textId="062702F3" w:rsidR="00860F05" w:rsidRDefault="00860F05" w:rsidP="00E44D3F">
      <w:pPr>
        <w:ind w:left="993"/>
        <w:rPr>
          <w:i/>
          <w:iCs/>
        </w:rPr>
      </w:pPr>
      <w:r>
        <w:rPr>
          <w:i/>
          <w:iCs/>
        </w:rPr>
        <w:t xml:space="preserve">d. </w:t>
      </w:r>
      <w:r w:rsidR="00C37D3C">
        <w:rPr>
          <w:i/>
          <w:iCs/>
        </w:rPr>
        <w:t xml:space="preserve">Genotyping at $33 per sample.  Assume 10% of animals culled prior to tissue sampling and 100,000 new bulls p.a., based on </w:t>
      </w:r>
      <w:r w:rsidR="00E44D3F">
        <w:rPr>
          <w:i/>
          <w:iCs/>
        </w:rPr>
        <w:t xml:space="preserve">annual requirement of new bulls estimated </w:t>
      </w:r>
      <w:r w:rsidR="00852B6D">
        <w:rPr>
          <w:i/>
          <w:iCs/>
        </w:rPr>
        <w:t xml:space="preserve">by </w:t>
      </w:r>
      <w:proofErr w:type="spellStart"/>
      <w:r w:rsidR="00852B6D">
        <w:rPr>
          <w:i/>
          <w:iCs/>
        </w:rPr>
        <w:t>Fennessy</w:t>
      </w:r>
      <w:proofErr w:type="spellEnd"/>
      <w:r w:rsidR="00852B6D">
        <w:rPr>
          <w:i/>
          <w:iCs/>
        </w:rPr>
        <w:t xml:space="preserve"> et al.</w:t>
      </w:r>
      <w:r w:rsidR="00526477">
        <w:rPr>
          <w:i/>
          <w:iCs/>
        </w:rPr>
        <w:t xml:space="preserve"> </w:t>
      </w:r>
      <w:r w:rsidR="00852B6D">
        <w:rPr>
          <w:i/>
          <w:iCs/>
        </w:rPr>
        <w:t>(2014)</w:t>
      </w:r>
      <w:r w:rsidR="00BB3C10" w:rsidRPr="00BB3C10">
        <w:rPr>
          <w:i/>
          <w:iCs/>
          <w:vertAlign w:val="superscript"/>
        </w:rPr>
        <w:fldChar w:fldCharType="begin"/>
      </w:r>
      <w:r w:rsidR="00BB3C10" w:rsidRPr="00BB3C10">
        <w:rPr>
          <w:i/>
          <w:iCs/>
          <w:vertAlign w:val="superscript"/>
        </w:rPr>
        <w:instrText xml:space="preserve"> NOTEREF _Ref92052042 \h  \* MERGEFORMAT </w:instrText>
      </w:r>
      <w:r w:rsidR="00BB3C10" w:rsidRPr="00BB3C10">
        <w:rPr>
          <w:i/>
          <w:iCs/>
          <w:vertAlign w:val="superscript"/>
        </w:rPr>
      </w:r>
      <w:r w:rsidR="00BB3C10" w:rsidRPr="00BB3C10">
        <w:rPr>
          <w:i/>
          <w:iCs/>
          <w:vertAlign w:val="superscript"/>
        </w:rPr>
        <w:fldChar w:fldCharType="separate"/>
      </w:r>
      <w:r w:rsidR="008D0D42">
        <w:rPr>
          <w:i/>
          <w:iCs/>
          <w:vertAlign w:val="superscript"/>
        </w:rPr>
        <w:t>13</w:t>
      </w:r>
      <w:r w:rsidR="00BB3C10" w:rsidRPr="00BB3C10">
        <w:rPr>
          <w:i/>
          <w:iCs/>
          <w:vertAlign w:val="superscript"/>
        </w:rPr>
        <w:fldChar w:fldCharType="end"/>
      </w:r>
      <w:r w:rsidR="00852B6D">
        <w:rPr>
          <w:i/>
          <w:iCs/>
        </w:rPr>
        <w:t xml:space="preserve"> </w:t>
      </w:r>
      <w:r w:rsidR="00E44D3F">
        <w:rPr>
          <w:i/>
          <w:iCs/>
        </w:rPr>
        <w:t>at 86,000</w:t>
      </w:r>
      <w:r w:rsidR="00C37D3C">
        <w:rPr>
          <w:i/>
          <w:iCs/>
        </w:rPr>
        <w:t xml:space="preserve">. </w:t>
      </w:r>
    </w:p>
    <w:p w14:paraId="5A5A07D8" w14:textId="6397EAD2" w:rsidR="008452B8" w:rsidRDefault="008452B8" w:rsidP="00B465EF">
      <w:pPr>
        <w:rPr>
          <w:bCs/>
        </w:rPr>
      </w:pPr>
    </w:p>
    <w:p w14:paraId="50FB07CF" w14:textId="3DC93226" w:rsidR="00B24815" w:rsidRDefault="005B541F" w:rsidP="00B465EF">
      <w:pPr>
        <w:rPr>
          <w:bCs/>
        </w:rPr>
      </w:pPr>
      <w:r>
        <w:rPr>
          <w:bCs/>
        </w:rPr>
        <w:t xml:space="preserve">This indicates that the additional value of traceability expected to be realised by genotyping the entire national herd is unlikely to </w:t>
      </w:r>
      <w:r w:rsidR="001238D7">
        <w:rPr>
          <w:bCs/>
        </w:rPr>
        <w:t>compensate for the additional costs involved.  However, genotyping half the herd</w:t>
      </w:r>
      <w:r w:rsidR="001C328E">
        <w:rPr>
          <w:bCs/>
        </w:rPr>
        <w:t xml:space="preserve"> is </w:t>
      </w:r>
      <w:r w:rsidR="0022357F">
        <w:rPr>
          <w:bCs/>
        </w:rPr>
        <w:t>estimated</w:t>
      </w:r>
      <w:r w:rsidR="001C328E">
        <w:rPr>
          <w:bCs/>
        </w:rPr>
        <w:t xml:space="preserve"> to lead to a net increase in benefits due to traceability of 1</w:t>
      </w:r>
      <w:r w:rsidR="00EF4727">
        <w:rPr>
          <w:bCs/>
        </w:rPr>
        <w:t>1</w:t>
      </w:r>
      <w:r w:rsidR="001C328E">
        <w:rPr>
          <w:bCs/>
        </w:rPr>
        <w:t>% compared with NLIS alone</w:t>
      </w:r>
      <w:r w:rsidR="0022357F">
        <w:rPr>
          <w:bCs/>
        </w:rPr>
        <w:t xml:space="preserve">; </w:t>
      </w:r>
      <w:r w:rsidR="00DD1901">
        <w:rPr>
          <w:bCs/>
        </w:rPr>
        <w:t xml:space="preserve">with </w:t>
      </w:r>
      <w:r w:rsidR="0022357F">
        <w:rPr>
          <w:bCs/>
        </w:rPr>
        <w:t xml:space="preserve">genotyping all sires </w:t>
      </w:r>
      <w:r w:rsidR="00DD1901">
        <w:rPr>
          <w:bCs/>
        </w:rPr>
        <w:t xml:space="preserve">increasing net benefits by </w:t>
      </w:r>
      <w:r w:rsidR="00EF4727">
        <w:rPr>
          <w:bCs/>
        </w:rPr>
        <w:t>37</w:t>
      </w:r>
      <w:r w:rsidR="00DD1901">
        <w:rPr>
          <w:bCs/>
        </w:rPr>
        <w:t>% compared with NLIS.</w:t>
      </w:r>
      <w:r w:rsidR="00C87655">
        <w:rPr>
          <w:bCs/>
        </w:rPr>
        <w:t xml:space="preserve">  </w:t>
      </w:r>
    </w:p>
    <w:p w14:paraId="1F3954DC" w14:textId="77777777" w:rsidR="00B24815" w:rsidRDefault="00B24815" w:rsidP="00B465EF">
      <w:pPr>
        <w:rPr>
          <w:bCs/>
        </w:rPr>
      </w:pPr>
    </w:p>
    <w:p w14:paraId="61902CDD" w14:textId="34DE6116" w:rsidR="00B24815" w:rsidRDefault="006A556C" w:rsidP="00AB0092">
      <w:pPr>
        <w:rPr>
          <w:bCs/>
        </w:rPr>
      </w:pPr>
      <w:r>
        <w:rPr>
          <w:bCs/>
        </w:rPr>
        <w:lastRenderedPageBreak/>
        <w:t>Obviously,</w:t>
      </w:r>
      <w:r w:rsidR="00C87655">
        <w:rPr>
          <w:bCs/>
        </w:rPr>
        <w:t xml:space="preserve"> these estimates are highly contingent on the </w:t>
      </w:r>
      <w:r w:rsidR="000E4C74">
        <w:rPr>
          <w:bCs/>
        </w:rPr>
        <w:t xml:space="preserve">veracity of the </w:t>
      </w:r>
      <w:r w:rsidR="0039529B">
        <w:rPr>
          <w:bCs/>
        </w:rPr>
        <w:t>model used by Dwyer and Clarke (</w:t>
      </w:r>
      <w:r w:rsidR="0039529B" w:rsidRPr="0039529B">
        <w:rPr>
          <w:bCs/>
          <w:i/>
          <w:iCs/>
        </w:rPr>
        <w:t>op cit.</w:t>
      </w:r>
      <w:r w:rsidR="0039529B">
        <w:rPr>
          <w:bCs/>
        </w:rPr>
        <w:t>)</w:t>
      </w:r>
      <w:r>
        <w:rPr>
          <w:bCs/>
        </w:rPr>
        <w:t>;</w:t>
      </w:r>
      <w:r w:rsidR="00834B23">
        <w:rPr>
          <w:bCs/>
        </w:rPr>
        <w:t xml:space="preserve"> and </w:t>
      </w:r>
      <w:r w:rsidR="00EF0590">
        <w:rPr>
          <w:bCs/>
        </w:rPr>
        <w:t xml:space="preserve">it is worth emphasizing that </w:t>
      </w:r>
      <w:r w:rsidR="00834B23">
        <w:rPr>
          <w:bCs/>
        </w:rPr>
        <w:t>w</w:t>
      </w:r>
      <w:r w:rsidR="00B24815">
        <w:rPr>
          <w:bCs/>
        </w:rPr>
        <w:t xml:space="preserve">e were unable to </w:t>
      </w:r>
      <w:r w:rsidR="00B24815" w:rsidRPr="00B24815">
        <w:rPr>
          <w:bCs/>
        </w:rPr>
        <w:t xml:space="preserve">obtain a copy of the source document </w:t>
      </w:r>
      <w:r w:rsidR="00834B23">
        <w:rPr>
          <w:bCs/>
        </w:rPr>
        <w:t xml:space="preserve">on </w:t>
      </w:r>
      <w:r w:rsidR="00B24815" w:rsidRPr="00B24815">
        <w:rPr>
          <w:bCs/>
        </w:rPr>
        <w:t xml:space="preserve">which </w:t>
      </w:r>
      <w:r w:rsidR="00834B23">
        <w:rPr>
          <w:bCs/>
        </w:rPr>
        <w:t>they</w:t>
      </w:r>
      <w:r w:rsidR="00B24815" w:rsidRPr="00B24815">
        <w:rPr>
          <w:bCs/>
        </w:rPr>
        <w:t xml:space="preserve"> </w:t>
      </w:r>
      <w:r w:rsidR="00834B23">
        <w:rPr>
          <w:bCs/>
        </w:rPr>
        <w:t>based</w:t>
      </w:r>
      <w:r w:rsidR="00B24815" w:rsidRPr="00B24815">
        <w:rPr>
          <w:bCs/>
        </w:rPr>
        <w:t xml:space="preserve"> their </w:t>
      </w:r>
      <w:r w:rsidR="0035143C">
        <w:rPr>
          <w:bCs/>
        </w:rPr>
        <w:t xml:space="preserve">model. </w:t>
      </w:r>
      <w:r w:rsidR="00834B23">
        <w:rPr>
          <w:bCs/>
        </w:rPr>
        <w:t xml:space="preserve"> </w:t>
      </w:r>
      <w:r w:rsidR="0035143C">
        <w:rPr>
          <w:bCs/>
        </w:rPr>
        <w:t xml:space="preserve"> </w:t>
      </w:r>
      <w:r w:rsidR="00834B23">
        <w:rPr>
          <w:bCs/>
        </w:rPr>
        <w:t xml:space="preserve">However, </w:t>
      </w:r>
      <w:r w:rsidR="00B12137">
        <w:rPr>
          <w:bCs/>
        </w:rPr>
        <w:t>we can be confident that t</w:t>
      </w:r>
      <w:r w:rsidR="00B24815" w:rsidRPr="00B12137">
        <w:rPr>
          <w:bCs/>
        </w:rPr>
        <w:t xml:space="preserve">raceability has value, </w:t>
      </w:r>
      <w:r w:rsidR="00B12137">
        <w:rPr>
          <w:bCs/>
        </w:rPr>
        <w:t xml:space="preserve">which has been </w:t>
      </w:r>
      <w:r w:rsidR="00B24815" w:rsidRPr="00B12137">
        <w:rPr>
          <w:bCs/>
        </w:rPr>
        <w:t>estimated for individual diseases by a range of authors</w:t>
      </w:r>
      <w:r w:rsidR="00B402B7">
        <w:rPr>
          <w:bCs/>
        </w:rPr>
        <w:t xml:space="preserve"> and found to be </w:t>
      </w:r>
      <w:r w:rsidR="00B24815" w:rsidRPr="00B402B7">
        <w:rPr>
          <w:bCs/>
        </w:rPr>
        <w:t>very high</w:t>
      </w:r>
      <w:r w:rsidR="004E25A0">
        <w:rPr>
          <w:bCs/>
        </w:rPr>
        <w:t xml:space="preserve"> and our sensitivity analyses (not reported here) suggest that the addition of </w:t>
      </w:r>
      <w:r w:rsidR="006A3E15">
        <w:rPr>
          <w:bCs/>
        </w:rPr>
        <w:t xml:space="preserve">genotyping to augment the existing NLIS system </w:t>
      </w:r>
      <w:r w:rsidR="00DC7248">
        <w:rPr>
          <w:bCs/>
        </w:rPr>
        <w:t xml:space="preserve">is most likely to be worth somewhere </w:t>
      </w:r>
      <w:r w:rsidR="00001095">
        <w:rPr>
          <w:bCs/>
        </w:rPr>
        <w:t xml:space="preserve">in the range of $5m - $27m p.a. </w:t>
      </w:r>
      <w:r w:rsidR="00613513">
        <w:rPr>
          <w:bCs/>
        </w:rPr>
        <w:t xml:space="preserve">for each </w:t>
      </w:r>
      <w:r w:rsidR="00AB0092">
        <w:rPr>
          <w:bCs/>
        </w:rPr>
        <w:t xml:space="preserve">extra </w:t>
      </w:r>
      <w:r w:rsidR="00613513">
        <w:rPr>
          <w:bCs/>
        </w:rPr>
        <w:t xml:space="preserve">10% of the herd </w:t>
      </w:r>
      <w:r w:rsidR="00AB0092">
        <w:rPr>
          <w:bCs/>
        </w:rPr>
        <w:t>that is genotyped.  This is</w:t>
      </w:r>
      <w:r w:rsidR="00B24815" w:rsidRPr="00613513">
        <w:rPr>
          <w:bCs/>
        </w:rPr>
        <w:t xml:space="preserve"> encouraging at an industry level.</w:t>
      </w:r>
      <w:r w:rsidR="00AB0092">
        <w:rPr>
          <w:bCs/>
        </w:rPr>
        <w:t xml:space="preserve">  </w:t>
      </w:r>
      <w:r w:rsidR="00B24815" w:rsidRPr="00613513">
        <w:rPr>
          <w:bCs/>
        </w:rPr>
        <w:t xml:space="preserve">However, achieving them comes at a significantly increased implementation cost, which we assume will fall predominantly or wholly on the individual farm enterprise or value chain – </w:t>
      </w:r>
      <w:proofErr w:type="gramStart"/>
      <w:r w:rsidR="00B24815" w:rsidRPr="00D4574C">
        <w:rPr>
          <w:bCs/>
          <w:i/>
          <w:iCs/>
        </w:rPr>
        <w:t>i</w:t>
      </w:r>
      <w:r w:rsidR="00D4574C" w:rsidRPr="00D4574C">
        <w:rPr>
          <w:bCs/>
          <w:i/>
          <w:iCs/>
        </w:rPr>
        <w:t>.</w:t>
      </w:r>
      <w:r w:rsidR="00B24815" w:rsidRPr="00D4574C">
        <w:rPr>
          <w:bCs/>
          <w:i/>
          <w:iCs/>
        </w:rPr>
        <w:t>e</w:t>
      </w:r>
      <w:r w:rsidR="00D4574C" w:rsidRPr="00D4574C">
        <w:rPr>
          <w:bCs/>
          <w:i/>
          <w:iCs/>
        </w:rPr>
        <w:t>.</w:t>
      </w:r>
      <w:proofErr w:type="gramEnd"/>
      <w:r w:rsidR="00B24815" w:rsidRPr="00613513">
        <w:rPr>
          <w:bCs/>
        </w:rPr>
        <w:t xml:space="preserve"> </w:t>
      </w:r>
      <w:r w:rsidR="00D4574C">
        <w:rPr>
          <w:bCs/>
        </w:rPr>
        <w:t>producers</w:t>
      </w:r>
      <w:r w:rsidR="00B24815" w:rsidRPr="00613513">
        <w:rPr>
          <w:bCs/>
        </w:rPr>
        <w:t xml:space="preserve"> will pay the </w:t>
      </w:r>
      <w:r w:rsidR="00D4574C">
        <w:rPr>
          <w:bCs/>
        </w:rPr>
        <w:t>genotyping</w:t>
      </w:r>
      <w:r w:rsidR="00B24815" w:rsidRPr="00613513">
        <w:rPr>
          <w:bCs/>
        </w:rPr>
        <w:t xml:space="preserve"> costs, just as they pay the costs </w:t>
      </w:r>
      <w:r w:rsidR="00D4574C">
        <w:rPr>
          <w:bCs/>
        </w:rPr>
        <w:t xml:space="preserve">of electronic identification </w:t>
      </w:r>
      <w:r w:rsidR="00B24815" w:rsidRPr="00613513">
        <w:rPr>
          <w:bCs/>
        </w:rPr>
        <w:t>now</w:t>
      </w:r>
      <w:r w:rsidR="00D4574C">
        <w:rPr>
          <w:bCs/>
        </w:rPr>
        <w:t xml:space="preserve">. </w:t>
      </w:r>
    </w:p>
    <w:p w14:paraId="523F4B9A" w14:textId="77777777" w:rsidR="00D4574C" w:rsidRPr="00613513" w:rsidRDefault="00D4574C" w:rsidP="00AB0092">
      <w:pPr>
        <w:rPr>
          <w:bCs/>
        </w:rPr>
      </w:pPr>
    </w:p>
    <w:p w14:paraId="0C7305C0" w14:textId="56355C5D" w:rsidR="00476EE3" w:rsidRDefault="006C0550" w:rsidP="00EA7753">
      <w:r>
        <w:t>Notably, however</w:t>
      </w:r>
      <w:r w:rsidR="00476EE3" w:rsidRPr="007F7162">
        <w:t xml:space="preserve">, </w:t>
      </w:r>
      <w:r w:rsidR="0059665F">
        <w:t>the additional be</w:t>
      </w:r>
      <w:r w:rsidR="009322C5">
        <w:t xml:space="preserve">nefits </w:t>
      </w:r>
      <w:r w:rsidR="00710E55">
        <w:t xml:space="preserve">of traceability </w:t>
      </w:r>
      <w:r w:rsidR="009322C5">
        <w:t xml:space="preserve">identified by </w:t>
      </w:r>
      <w:r w:rsidR="00683A17">
        <w:t xml:space="preserve">White </w:t>
      </w:r>
      <w:r w:rsidR="00683A17" w:rsidRPr="003D30A7">
        <w:rPr>
          <w:i/>
          <w:iCs/>
        </w:rPr>
        <w:t>et al</w:t>
      </w:r>
      <w:r w:rsidR="00683A17">
        <w:t xml:space="preserve">. (see box on page </w:t>
      </w:r>
      <w:r w:rsidR="00683A17">
        <w:fldChar w:fldCharType="begin"/>
      </w:r>
      <w:r w:rsidR="00683A17">
        <w:instrText xml:space="preserve"> PAGEREF  White_benefits \h </w:instrText>
      </w:r>
      <w:r w:rsidR="00683A17">
        <w:fldChar w:fldCharType="separate"/>
      </w:r>
      <w:r w:rsidR="008D0D42">
        <w:rPr>
          <w:noProof/>
        </w:rPr>
        <w:t>61</w:t>
      </w:r>
      <w:r w:rsidR="00683A17">
        <w:fldChar w:fldCharType="end"/>
      </w:r>
      <w:r w:rsidR="00710E55">
        <w:t>) are not included in</w:t>
      </w:r>
      <w:r w:rsidR="000B125C">
        <w:t xml:space="preserve"> </w:t>
      </w:r>
      <w:r w:rsidR="000B125C">
        <w:rPr>
          <w:bCs/>
        </w:rPr>
        <w:fldChar w:fldCharType="begin"/>
      </w:r>
      <w:r w:rsidR="000B125C">
        <w:rPr>
          <w:bCs/>
        </w:rPr>
        <w:instrText xml:space="preserve"> REF _Ref92052583 \h </w:instrText>
      </w:r>
      <w:r w:rsidR="000B125C">
        <w:rPr>
          <w:bCs/>
        </w:rPr>
      </w:r>
      <w:r w:rsidR="000B125C">
        <w:rPr>
          <w:bCs/>
        </w:rPr>
        <w:fldChar w:fldCharType="separate"/>
      </w:r>
      <w:r w:rsidR="008D0D42">
        <w:t xml:space="preserve">Table </w:t>
      </w:r>
      <w:r w:rsidR="008D0D42">
        <w:rPr>
          <w:noProof/>
        </w:rPr>
        <w:t>1</w:t>
      </w:r>
      <w:r w:rsidR="000B125C">
        <w:rPr>
          <w:bCs/>
        </w:rPr>
        <w:fldChar w:fldCharType="end"/>
      </w:r>
      <w:r w:rsidR="00683A17">
        <w:t xml:space="preserve">.  </w:t>
      </w:r>
      <w:r w:rsidR="00D36C07">
        <w:t>T</w:t>
      </w:r>
      <w:r w:rsidR="005E7FDE">
        <w:t xml:space="preserve">he additional value </w:t>
      </w:r>
      <w:r w:rsidR="00805FA0">
        <w:t xml:space="preserve">of these benefits </w:t>
      </w:r>
      <w:r w:rsidR="005E7FDE">
        <w:t>is likely to be appreciable</w:t>
      </w:r>
      <w:r w:rsidR="00D4574C">
        <w:t xml:space="preserve"> and </w:t>
      </w:r>
      <w:r w:rsidR="00805FA0">
        <w:t>ha</w:t>
      </w:r>
      <w:r w:rsidR="00FC76C8">
        <w:t>s</w:t>
      </w:r>
      <w:r w:rsidR="00805FA0">
        <w:t xml:space="preserve"> the potential to offset the additional farm-level costs.  </w:t>
      </w:r>
      <w:r w:rsidR="00FC76C8">
        <w:t xml:space="preserve">Consequently, </w:t>
      </w:r>
      <w:r w:rsidR="00D36C07">
        <w:t>i</w:t>
      </w:r>
      <w:r w:rsidR="00BE6E23">
        <w:t xml:space="preserve">n the following section we attempt to evaluate </w:t>
      </w:r>
      <w:r w:rsidR="00D36C07">
        <w:t>some of the</w:t>
      </w:r>
      <w:r w:rsidR="00BE6E23">
        <w:t xml:space="preserve"> ancillary benefits that might </w:t>
      </w:r>
      <w:r w:rsidR="00CA3005">
        <w:t>accrue</w:t>
      </w:r>
      <w:r w:rsidR="00BE6E23">
        <w:t xml:space="preserve"> th</w:t>
      </w:r>
      <w:r w:rsidR="00CA3005">
        <w:t>rough</w:t>
      </w:r>
      <w:r w:rsidR="00BE6E23">
        <w:t xml:space="preserve"> genotyping</w:t>
      </w:r>
      <w:r w:rsidR="00E46A46">
        <w:t>.</w:t>
      </w:r>
    </w:p>
    <w:p w14:paraId="589EE1BC" w14:textId="77777777" w:rsidR="00CC5032" w:rsidRDefault="00CC5032" w:rsidP="00B465EF">
      <w:pPr>
        <w:rPr>
          <w:b/>
        </w:rPr>
      </w:pPr>
    </w:p>
    <w:p w14:paraId="4D9D56C5" w14:textId="528C17CC" w:rsidR="00B465EF" w:rsidRDefault="00B465EF" w:rsidP="00A067DB">
      <w:pPr>
        <w:pStyle w:val="Heading3"/>
      </w:pPr>
      <w:bookmarkStart w:id="156" w:name="_Toc95983407"/>
      <w:r>
        <w:t>Ancillary benefits</w:t>
      </w:r>
      <w:r w:rsidRPr="00D24E9E">
        <w:t xml:space="preserve"> </w:t>
      </w:r>
      <w:r w:rsidR="001F6B32">
        <w:t xml:space="preserve">from DNA </w:t>
      </w:r>
      <w:r w:rsidR="00BE6102">
        <w:t>information</w:t>
      </w:r>
      <w:bookmarkEnd w:id="156"/>
    </w:p>
    <w:p w14:paraId="25C9B88F" w14:textId="11E469E1" w:rsidR="00086B93" w:rsidRDefault="00086B93" w:rsidP="00BE6102">
      <w:pPr>
        <w:keepNext/>
        <w:keepLines/>
      </w:pPr>
    </w:p>
    <w:p w14:paraId="06CF6E63" w14:textId="13958AA9" w:rsidR="00B465EF" w:rsidRDefault="00086B93" w:rsidP="00086B93">
      <w:r>
        <w:t xml:space="preserve">Modelling the magnitude of potential ancillary benefits requires assumptions to be made about levels of genotyping </w:t>
      </w:r>
      <w:r w:rsidR="00B465EF">
        <w:t xml:space="preserve">within </w:t>
      </w:r>
      <w:r w:rsidR="007C55A4">
        <w:t xml:space="preserve">the </w:t>
      </w:r>
      <w:r w:rsidR="00B465EF">
        <w:t xml:space="preserve">seedstock sector </w:t>
      </w:r>
      <w:r>
        <w:t xml:space="preserve">as well as in other parts of the production pipeline.  Rates of improvement generated in the seedstock sector will, after a delay, lead to equivalent rates of gain in the commercial sector.  This was described by </w:t>
      </w:r>
      <w:r w:rsidRPr="001D6D2C">
        <w:t xml:space="preserve">Santos </w:t>
      </w:r>
      <w:r w:rsidRPr="001D6D2C">
        <w:rPr>
          <w:i/>
          <w:iCs/>
        </w:rPr>
        <w:t>et al</w:t>
      </w:r>
      <w:r>
        <w:t>. (2018)</w:t>
      </w:r>
      <w:r w:rsidR="006B67AD">
        <w:rPr>
          <w:rStyle w:val="FootnoteReference"/>
        </w:rPr>
        <w:footnoteReference w:id="63"/>
      </w:r>
      <w:r>
        <w:t xml:space="preserve"> with reference to the Australian sheep industry, who also examined </w:t>
      </w:r>
      <w:r w:rsidRPr="00086B93">
        <w:t>the genetic and economic impact of performance recording and genotyping in commercial sheep</w:t>
      </w:r>
      <w:r>
        <w:t xml:space="preserve"> (</w:t>
      </w:r>
      <w:proofErr w:type="gramStart"/>
      <w:r w:rsidRPr="00E579CA">
        <w:rPr>
          <w:i/>
          <w:iCs/>
        </w:rPr>
        <w:t>i.e</w:t>
      </w:r>
      <w:r>
        <w:t>.</w:t>
      </w:r>
      <w:proofErr w:type="gramEnd"/>
      <w:r>
        <w:t xml:space="preserve"> sheep not in the seedstock sector).  In short, commercial data has the potential to improve selection accuracies in the seedstock sector as well as reduce the delay taken for the benefits to flow through the industry.  </w:t>
      </w:r>
    </w:p>
    <w:p w14:paraId="08A30C84" w14:textId="15E94F05" w:rsidR="00086B93" w:rsidRDefault="00086B93" w:rsidP="00086B93"/>
    <w:p w14:paraId="2B5EBD73" w14:textId="4164CE51" w:rsidR="00B465EF" w:rsidRDefault="00086B93" w:rsidP="001B608A">
      <w:r>
        <w:t xml:space="preserve">We have attempted to model the dynamics resulting from the above factors with both </w:t>
      </w:r>
      <w:r w:rsidR="00B465EF">
        <w:t xml:space="preserve">limited and widespread </w:t>
      </w:r>
      <w:r>
        <w:t>levels of adoption.</w:t>
      </w:r>
    </w:p>
    <w:p w14:paraId="6C96BED7" w14:textId="77777777" w:rsidR="00B465EF" w:rsidRDefault="00B465EF" w:rsidP="00B465EF"/>
    <w:p w14:paraId="6E2424AE" w14:textId="0B4F54E8" w:rsidR="00B465EF" w:rsidRPr="00C83D90" w:rsidRDefault="00B465EF" w:rsidP="0006185E">
      <w:pPr>
        <w:pStyle w:val="Heading3"/>
      </w:pPr>
      <w:bookmarkStart w:id="157" w:name="_Toc95983408"/>
      <w:r w:rsidRPr="00C83D90">
        <w:t>Additional data for genomic selection</w:t>
      </w:r>
      <w:bookmarkEnd w:id="157"/>
      <w:r w:rsidRPr="00C83D90">
        <w:t xml:space="preserve"> </w:t>
      </w:r>
    </w:p>
    <w:p w14:paraId="7BA01AAC" w14:textId="7A73A4D5" w:rsidR="00B465EF" w:rsidRDefault="00B465EF" w:rsidP="0006185E">
      <w:pPr>
        <w:pStyle w:val="ListParagraph"/>
        <w:keepNext/>
        <w:keepLines/>
        <w:ind w:left="0"/>
      </w:pPr>
    </w:p>
    <w:p w14:paraId="5FFAF7B1" w14:textId="4643914F" w:rsidR="0062294B" w:rsidRDefault="00C83D90" w:rsidP="00C83D90">
      <w:pPr>
        <w:pStyle w:val="ListParagraph"/>
        <w:ind w:left="0"/>
      </w:pPr>
      <w:r>
        <w:t xml:space="preserve">The relationship between the </w:t>
      </w:r>
      <w:r w:rsidR="00B465EF">
        <w:t xml:space="preserve">volume of reference data and </w:t>
      </w:r>
      <w:r>
        <w:t xml:space="preserve">the </w:t>
      </w:r>
      <w:r w:rsidR="00B465EF">
        <w:t xml:space="preserve">accuracy of genomic selection </w:t>
      </w:r>
      <w:r>
        <w:t xml:space="preserve">has been well described </w:t>
      </w:r>
      <w:r w:rsidR="00B465EF">
        <w:t>(</w:t>
      </w:r>
      <w:proofErr w:type="gramStart"/>
      <w:r w:rsidR="00B465EF" w:rsidRPr="0006185E">
        <w:rPr>
          <w:i/>
          <w:iCs/>
        </w:rPr>
        <w:t>e</w:t>
      </w:r>
      <w:r w:rsidRPr="0006185E">
        <w:rPr>
          <w:i/>
          <w:iCs/>
        </w:rPr>
        <w:t>.</w:t>
      </w:r>
      <w:r w:rsidR="00B465EF" w:rsidRPr="0006185E">
        <w:rPr>
          <w:i/>
          <w:iCs/>
        </w:rPr>
        <w:t>g</w:t>
      </w:r>
      <w:r>
        <w:t>.</w:t>
      </w:r>
      <w:proofErr w:type="gramEnd"/>
      <w:r w:rsidR="00B465EF">
        <w:t xml:space="preserve"> </w:t>
      </w:r>
      <w:proofErr w:type="spellStart"/>
      <w:r>
        <w:t>Meuwissen</w:t>
      </w:r>
      <w:proofErr w:type="spellEnd"/>
      <w:r>
        <w:t xml:space="preserve"> </w:t>
      </w:r>
      <w:r w:rsidRPr="00B13198">
        <w:rPr>
          <w:i/>
          <w:iCs/>
        </w:rPr>
        <w:t>et al</w:t>
      </w:r>
      <w:r>
        <w:rPr>
          <w:i/>
          <w:iCs/>
        </w:rPr>
        <w:t>.</w:t>
      </w:r>
      <w:r>
        <w:t xml:space="preserve"> 2001</w:t>
      </w:r>
      <w:r>
        <w:rPr>
          <w:rStyle w:val="FootnoteReference"/>
        </w:rPr>
        <w:footnoteReference w:id="64"/>
      </w:r>
      <w:r>
        <w:t>;</w:t>
      </w:r>
      <w:r w:rsidR="00B465EF">
        <w:t>Goddard and Hayes, 2009</w:t>
      </w:r>
      <w:r>
        <w:rPr>
          <w:rStyle w:val="FootnoteReference"/>
        </w:rPr>
        <w:footnoteReference w:id="65"/>
      </w:r>
      <w:r w:rsidR="00B465EF">
        <w:t>)</w:t>
      </w:r>
      <w:r>
        <w:t xml:space="preserve"> and is widely accepted.  </w:t>
      </w:r>
      <w:r w:rsidR="006C6C4E">
        <w:t xml:space="preserve">In this context, reference data refers to data collected on animals that provide </w:t>
      </w:r>
      <w:r w:rsidR="00A4639F">
        <w:t>both genotypic and phenotypic information; and these collectively form what is widely referred to as a “</w:t>
      </w:r>
      <w:r w:rsidR="0060196D">
        <w:t xml:space="preserve">genomic </w:t>
      </w:r>
      <w:r w:rsidR="00A4639F">
        <w:t xml:space="preserve">reference population”.  </w:t>
      </w:r>
    </w:p>
    <w:p w14:paraId="41E6B922" w14:textId="77777777" w:rsidR="0062294B" w:rsidRDefault="0062294B" w:rsidP="00C83D90">
      <w:pPr>
        <w:pStyle w:val="ListParagraph"/>
        <w:ind w:left="0"/>
      </w:pPr>
    </w:p>
    <w:p w14:paraId="482C353D" w14:textId="39FD34FE" w:rsidR="00B465EF" w:rsidRDefault="00C83D90" w:rsidP="00C83D90">
      <w:pPr>
        <w:pStyle w:val="ListParagraph"/>
        <w:ind w:left="0"/>
      </w:pPr>
      <w:r>
        <w:t>Rates of genetic gain and the impact of additional genomic information at an industry level depend on the:</w:t>
      </w:r>
    </w:p>
    <w:p w14:paraId="1112D7F7" w14:textId="1B0B80D2" w:rsidR="00B465EF" w:rsidRDefault="00C83D90" w:rsidP="00374617">
      <w:pPr>
        <w:pStyle w:val="ListParagraph"/>
        <w:numPr>
          <w:ilvl w:val="0"/>
          <w:numId w:val="14"/>
        </w:numPr>
      </w:pPr>
      <w:r>
        <w:t>n</w:t>
      </w:r>
      <w:r w:rsidR="00B465EF">
        <w:t>umber of seedstock cows</w:t>
      </w:r>
    </w:p>
    <w:p w14:paraId="1AF3D79B" w14:textId="00C72308" w:rsidR="00B465EF" w:rsidRDefault="00C83D90" w:rsidP="00374617">
      <w:pPr>
        <w:pStyle w:val="ListParagraph"/>
        <w:numPr>
          <w:ilvl w:val="0"/>
          <w:numId w:val="14"/>
        </w:numPr>
      </w:pPr>
      <w:r>
        <w:t>n</w:t>
      </w:r>
      <w:r w:rsidR="00B465EF">
        <w:t>umber of bulls entering production per year per cow</w:t>
      </w:r>
    </w:p>
    <w:p w14:paraId="17A3039E" w14:textId="56B640FD" w:rsidR="00B465EF" w:rsidRDefault="00C83D90" w:rsidP="00374617">
      <w:pPr>
        <w:pStyle w:val="ListParagraph"/>
        <w:numPr>
          <w:ilvl w:val="0"/>
          <w:numId w:val="14"/>
        </w:numPr>
      </w:pPr>
      <w:r>
        <w:t>n</w:t>
      </w:r>
      <w:r w:rsidR="00B465EF">
        <w:t xml:space="preserve">umber of </w:t>
      </w:r>
      <w:proofErr w:type="gramStart"/>
      <w:r w:rsidR="00B465EF">
        <w:t>lifetime</w:t>
      </w:r>
      <w:proofErr w:type="gramEnd"/>
      <w:r w:rsidR="00B465EF">
        <w:t xml:space="preserve"> </w:t>
      </w:r>
      <w:proofErr w:type="spellStart"/>
      <w:r w:rsidR="00B465EF">
        <w:t>matings</w:t>
      </w:r>
      <w:proofErr w:type="spellEnd"/>
      <w:r w:rsidR="00B465EF">
        <w:t xml:space="preserve"> of those bulls</w:t>
      </w:r>
    </w:p>
    <w:p w14:paraId="68DBC43B" w14:textId="5ADDA207" w:rsidR="00C83D90" w:rsidRDefault="00C83D90" w:rsidP="00374617">
      <w:pPr>
        <w:pStyle w:val="ListParagraph"/>
        <w:numPr>
          <w:ilvl w:val="0"/>
          <w:numId w:val="14"/>
        </w:numPr>
      </w:pPr>
      <w:r>
        <w:lastRenderedPageBreak/>
        <w:t>c</w:t>
      </w:r>
      <w:r w:rsidR="00B465EF">
        <w:t xml:space="preserve">urrent rate of genetic progress in </w:t>
      </w:r>
      <w:r>
        <w:t xml:space="preserve">dollar terms (typically measured in units of an economic index or </w:t>
      </w:r>
      <w:r w:rsidR="00B465EF">
        <w:t>$Index</w:t>
      </w:r>
      <w:r>
        <w:t xml:space="preserve"> expressed as dollars </w:t>
      </w:r>
      <w:r w:rsidR="00B465EF">
        <w:t>per cow mated per year)</w:t>
      </w:r>
    </w:p>
    <w:p w14:paraId="4075F409" w14:textId="68DC88BE" w:rsidR="00C83D90" w:rsidRDefault="00A04C8B" w:rsidP="00374617">
      <w:pPr>
        <w:pStyle w:val="ListParagraph"/>
        <w:numPr>
          <w:ilvl w:val="0"/>
          <w:numId w:val="14"/>
        </w:numPr>
      </w:pPr>
      <w:r>
        <w:t xml:space="preserve">the increase in accuracy due to the extra information </w:t>
      </w:r>
      <w:r w:rsidR="00E83E78">
        <w:t>(</w:t>
      </w:r>
      <w:r>
        <w:t xml:space="preserve">where accuracy is the </w:t>
      </w:r>
      <w:r w:rsidR="00E83E78">
        <w:t>correlation between true and estimated breeding value)</w:t>
      </w:r>
      <w:r w:rsidR="00C83D90">
        <w:t xml:space="preserve"> </w:t>
      </w:r>
    </w:p>
    <w:p w14:paraId="6B9257BB" w14:textId="77777777" w:rsidR="00D94F4E" w:rsidRDefault="00D94F4E" w:rsidP="004F2D6F">
      <w:pPr>
        <w:ind w:left="360"/>
      </w:pPr>
    </w:p>
    <w:p w14:paraId="113D4D57" w14:textId="3487659A" w:rsidR="00B465EF" w:rsidRPr="001B608A" w:rsidRDefault="005B08C8" w:rsidP="00B465EF">
      <w:pPr>
        <w:rPr>
          <w:iCs/>
        </w:rPr>
      </w:pPr>
      <w:r>
        <w:rPr>
          <w:iCs/>
        </w:rPr>
        <w:t xml:space="preserve">Appendix </w:t>
      </w:r>
      <w:r w:rsidR="008B4061">
        <w:rPr>
          <w:iCs/>
        </w:rPr>
        <w:t>2</w:t>
      </w:r>
      <w:r>
        <w:rPr>
          <w:iCs/>
        </w:rPr>
        <w:t xml:space="preserve"> </w:t>
      </w:r>
      <w:r w:rsidR="00C83D90">
        <w:rPr>
          <w:iCs/>
        </w:rPr>
        <w:t xml:space="preserve">contains a presentation </w:t>
      </w:r>
      <w:r w:rsidR="00EE3543">
        <w:rPr>
          <w:iCs/>
        </w:rPr>
        <w:t>(</w:t>
      </w:r>
      <w:r w:rsidR="00B465EF" w:rsidRPr="001B608A">
        <w:rPr>
          <w:iCs/>
        </w:rPr>
        <w:t>developed previously for a sheep breeding forum</w:t>
      </w:r>
      <w:r w:rsidR="00D81787">
        <w:rPr>
          <w:iCs/>
        </w:rPr>
        <w:t>)</w:t>
      </w:r>
      <w:r w:rsidR="00B465EF" w:rsidRPr="001B608A">
        <w:rPr>
          <w:iCs/>
        </w:rPr>
        <w:t xml:space="preserve">, </w:t>
      </w:r>
      <w:r w:rsidR="00D81787">
        <w:rPr>
          <w:iCs/>
        </w:rPr>
        <w:t xml:space="preserve">which </w:t>
      </w:r>
      <w:r w:rsidR="00B465EF" w:rsidRPr="001B608A">
        <w:rPr>
          <w:iCs/>
        </w:rPr>
        <w:t>outlin</w:t>
      </w:r>
      <w:r w:rsidR="0060196D">
        <w:rPr>
          <w:iCs/>
        </w:rPr>
        <w:t>es</w:t>
      </w:r>
      <w:r w:rsidR="00B465EF" w:rsidRPr="001B608A">
        <w:rPr>
          <w:iCs/>
        </w:rPr>
        <w:t xml:space="preserve"> the parameters </w:t>
      </w:r>
      <w:r w:rsidR="00C83D90">
        <w:rPr>
          <w:iCs/>
        </w:rPr>
        <w:t xml:space="preserve">that </w:t>
      </w:r>
      <w:r w:rsidR="00B465EF" w:rsidRPr="001B608A">
        <w:rPr>
          <w:iCs/>
        </w:rPr>
        <w:t>determin</w:t>
      </w:r>
      <w:r w:rsidR="00C83D90">
        <w:rPr>
          <w:iCs/>
        </w:rPr>
        <w:t>e</w:t>
      </w:r>
      <w:r w:rsidR="00B465EF" w:rsidRPr="001B608A">
        <w:rPr>
          <w:iCs/>
        </w:rPr>
        <w:t xml:space="preserve"> the value of additional records for genomic selection. These are basically:</w:t>
      </w:r>
    </w:p>
    <w:p w14:paraId="77CCAAB0" w14:textId="77777777" w:rsidR="00B465EF" w:rsidRPr="001B608A" w:rsidRDefault="00B465EF" w:rsidP="00374617">
      <w:pPr>
        <w:pStyle w:val="ListParagraph"/>
        <w:numPr>
          <w:ilvl w:val="0"/>
          <w:numId w:val="13"/>
        </w:numPr>
        <w:spacing w:after="160" w:line="259" w:lineRule="auto"/>
        <w:rPr>
          <w:iCs/>
        </w:rPr>
      </w:pPr>
      <w:r w:rsidRPr="001B608A">
        <w:rPr>
          <w:iCs/>
        </w:rPr>
        <w:t>The number of such records</w:t>
      </w:r>
    </w:p>
    <w:p w14:paraId="01BD28F6" w14:textId="77777777" w:rsidR="00B465EF" w:rsidRPr="001B608A" w:rsidRDefault="00B465EF" w:rsidP="00374617">
      <w:pPr>
        <w:pStyle w:val="ListParagraph"/>
        <w:numPr>
          <w:ilvl w:val="0"/>
          <w:numId w:val="13"/>
        </w:numPr>
        <w:spacing w:after="160" w:line="259" w:lineRule="auto"/>
        <w:rPr>
          <w:iCs/>
        </w:rPr>
      </w:pPr>
      <w:r w:rsidRPr="001B608A">
        <w:rPr>
          <w:iCs/>
        </w:rPr>
        <w:t>The correlation of the trait(s) with the breeding objective of the population</w:t>
      </w:r>
    </w:p>
    <w:p w14:paraId="4031515F" w14:textId="20B3EA7A" w:rsidR="00B465EF" w:rsidRDefault="00EC185B" w:rsidP="00B465EF">
      <w:pPr>
        <w:rPr>
          <w:iCs/>
        </w:rPr>
      </w:pPr>
      <w:r>
        <w:rPr>
          <w:iCs/>
        </w:rPr>
        <w:t xml:space="preserve">As an illustration, </w:t>
      </w:r>
      <w:r w:rsidR="00B465EF" w:rsidRPr="001B608A">
        <w:rPr>
          <w:iCs/>
        </w:rPr>
        <w:t>a</w:t>
      </w:r>
      <w:r w:rsidR="00C83D90">
        <w:rPr>
          <w:iCs/>
        </w:rPr>
        <w:t xml:space="preserve">ssume a </w:t>
      </w:r>
      <w:r w:rsidR="00B465EF" w:rsidRPr="001B608A">
        <w:rPr>
          <w:iCs/>
        </w:rPr>
        <w:t>situation where 50% of young animals are genotyped (</w:t>
      </w:r>
      <w:proofErr w:type="gramStart"/>
      <w:r w:rsidR="00B465EF" w:rsidRPr="001B608A">
        <w:rPr>
          <w:i/>
        </w:rPr>
        <w:t>i</w:t>
      </w:r>
      <w:r w:rsidR="00C83D90" w:rsidRPr="001B608A">
        <w:rPr>
          <w:i/>
        </w:rPr>
        <w:t>.</w:t>
      </w:r>
      <w:r w:rsidR="00B465EF" w:rsidRPr="001B608A">
        <w:rPr>
          <w:i/>
        </w:rPr>
        <w:t>e</w:t>
      </w:r>
      <w:r w:rsidR="00C83D90" w:rsidRPr="001B608A">
        <w:rPr>
          <w:i/>
        </w:rPr>
        <w:t>.</w:t>
      </w:r>
      <w:proofErr w:type="gramEnd"/>
      <w:r w:rsidR="00C83D90">
        <w:rPr>
          <w:iCs/>
        </w:rPr>
        <w:t xml:space="preserve"> approximately </w:t>
      </w:r>
      <w:r w:rsidR="00B465EF" w:rsidRPr="001B608A">
        <w:rPr>
          <w:iCs/>
        </w:rPr>
        <w:t>3.75m per year</w:t>
      </w:r>
      <w:r w:rsidR="00C83D90">
        <w:rPr>
          <w:iCs/>
        </w:rPr>
        <w:t xml:space="preserve"> in the case of beef cattle</w:t>
      </w:r>
      <w:r w:rsidR="00B465EF" w:rsidRPr="001B608A">
        <w:rPr>
          <w:iCs/>
        </w:rPr>
        <w:t>)</w:t>
      </w:r>
      <w:r w:rsidR="00C83D90">
        <w:rPr>
          <w:iCs/>
        </w:rPr>
        <w:t>.  If</w:t>
      </w:r>
      <w:r w:rsidR="00B465EF" w:rsidRPr="001B608A">
        <w:rPr>
          <w:iCs/>
        </w:rPr>
        <w:t xml:space="preserve"> all those animals </w:t>
      </w:r>
      <w:r w:rsidR="00C83D90">
        <w:rPr>
          <w:iCs/>
        </w:rPr>
        <w:t xml:space="preserve">provided </w:t>
      </w:r>
      <w:r w:rsidR="000D0160">
        <w:rPr>
          <w:iCs/>
        </w:rPr>
        <w:t xml:space="preserve">phenotypic </w:t>
      </w:r>
      <w:r w:rsidR="00B465EF" w:rsidRPr="001B608A">
        <w:rPr>
          <w:iCs/>
        </w:rPr>
        <w:t xml:space="preserve">data, and that data was correlated 100% with the </w:t>
      </w:r>
      <w:r w:rsidR="00C83D90">
        <w:rPr>
          <w:iCs/>
        </w:rPr>
        <w:t xml:space="preserve">economic breeding </w:t>
      </w:r>
      <w:r w:rsidR="00B465EF" w:rsidRPr="001B608A">
        <w:rPr>
          <w:iCs/>
        </w:rPr>
        <w:t>objective, then there would be 3.75m “effective records” added to the reference population each year</w:t>
      </w:r>
      <w:r w:rsidR="0010171A">
        <w:rPr>
          <w:iCs/>
        </w:rPr>
        <w:t xml:space="preserve">, </w:t>
      </w:r>
      <w:r w:rsidR="00B465EF" w:rsidRPr="001B608A">
        <w:rPr>
          <w:iCs/>
        </w:rPr>
        <w:t xml:space="preserve">which would generate accuracy of genomic selection </w:t>
      </w:r>
      <w:r w:rsidR="0010171A">
        <w:rPr>
          <w:iCs/>
        </w:rPr>
        <w:t>that</w:t>
      </w:r>
      <w:r w:rsidR="00542839">
        <w:rPr>
          <w:iCs/>
        </w:rPr>
        <w:t xml:space="preserve"> in theory approach</w:t>
      </w:r>
      <w:r w:rsidR="005618DC">
        <w:rPr>
          <w:iCs/>
        </w:rPr>
        <w:t>es</w:t>
      </w:r>
      <w:r w:rsidR="00B465EF" w:rsidRPr="001B608A">
        <w:rPr>
          <w:iCs/>
        </w:rPr>
        <w:t xml:space="preserve"> 100%.</w:t>
      </w:r>
    </w:p>
    <w:p w14:paraId="0D30E98C" w14:textId="4D83B26B" w:rsidR="00C83D90" w:rsidRDefault="00C83D90" w:rsidP="00B465EF">
      <w:pPr>
        <w:rPr>
          <w:iCs/>
        </w:rPr>
      </w:pPr>
    </w:p>
    <w:p w14:paraId="7C78E5BC" w14:textId="5B359764" w:rsidR="00176D52" w:rsidRDefault="00F974B9" w:rsidP="00B465EF">
      <w:pPr>
        <w:rPr>
          <w:iCs/>
        </w:rPr>
      </w:pPr>
      <w:r>
        <w:rPr>
          <w:iCs/>
        </w:rPr>
        <w:t>Such a high level of phenotyping is of course impractical, so i</w:t>
      </w:r>
      <w:r w:rsidR="00B465EF" w:rsidRPr="001B608A">
        <w:rPr>
          <w:iCs/>
        </w:rPr>
        <w:t xml:space="preserve">n </w:t>
      </w:r>
      <w:r>
        <w:rPr>
          <w:iCs/>
        </w:rPr>
        <w:t>our</w:t>
      </w:r>
      <w:r w:rsidR="00B465EF" w:rsidRPr="001B608A">
        <w:rPr>
          <w:iCs/>
        </w:rPr>
        <w:t xml:space="preserve"> modelling, we have assumed that only a fraction of animals genotyped also </w:t>
      </w:r>
      <w:r w:rsidR="000D0160">
        <w:rPr>
          <w:iCs/>
        </w:rPr>
        <w:t xml:space="preserve">provide phenotypic </w:t>
      </w:r>
      <w:r w:rsidR="00B465EF" w:rsidRPr="001B608A">
        <w:rPr>
          <w:iCs/>
        </w:rPr>
        <w:t xml:space="preserve">data, and that data is only weakly correlated with the </w:t>
      </w:r>
      <w:r w:rsidR="004F6D3A">
        <w:rPr>
          <w:iCs/>
        </w:rPr>
        <w:t xml:space="preserve">breeding </w:t>
      </w:r>
      <w:r w:rsidR="00B465EF" w:rsidRPr="001B608A">
        <w:rPr>
          <w:iCs/>
        </w:rPr>
        <w:t>objective</w:t>
      </w:r>
      <w:r>
        <w:rPr>
          <w:iCs/>
        </w:rPr>
        <w:t xml:space="preserve">. </w:t>
      </w:r>
      <w:r w:rsidR="00D724EC">
        <w:rPr>
          <w:iCs/>
        </w:rPr>
        <w:t xml:space="preserve"> </w:t>
      </w:r>
      <w:r w:rsidR="00572913">
        <w:rPr>
          <w:iCs/>
        </w:rPr>
        <w:t>(</w:t>
      </w:r>
      <w:r w:rsidR="00B53057">
        <w:rPr>
          <w:iCs/>
        </w:rPr>
        <w:t>This</w:t>
      </w:r>
      <w:r w:rsidR="00B53057" w:rsidRPr="00B53057">
        <w:t xml:space="preserve"> </w:t>
      </w:r>
      <w:r w:rsidR="00B53057">
        <w:rPr>
          <w:iCs/>
        </w:rPr>
        <w:t>is b</w:t>
      </w:r>
      <w:r w:rsidR="00B53057" w:rsidRPr="00B53057">
        <w:rPr>
          <w:iCs/>
        </w:rPr>
        <w:t xml:space="preserve">ecause records obtained from commercial animals are less accurate and cannot be </w:t>
      </w:r>
      <w:r w:rsidR="00B53057">
        <w:rPr>
          <w:iCs/>
        </w:rPr>
        <w:t xml:space="preserve">appropriately </w:t>
      </w:r>
      <w:r w:rsidR="00B53057" w:rsidRPr="00B53057">
        <w:rPr>
          <w:iCs/>
        </w:rPr>
        <w:t xml:space="preserve">adjusted for </w:t>
      </w:r>
      <w:r w:rsidR="00B53057">
        <w:rPr>
          <w:iCs/>
        </w:rPr>
        <w:t>many environmental effects</w:t>
      </w:r>
      <w:r w:rsidR="00572913">
        <w:rPr>
          <w:iCs/>
        </w:rPr>
        <w:t>)</w:t>
      </w:r>
      <w:r w:rsidR="00B53057">
        <w:rPr>
          <w:iCs/>
        </w:rPr>
        <w:t xml:space="preserve">.  </w:t>
      </w:r>
      <w:r w:rsidR="00433C87">
        <w:rPr>
          <w:iCs/>
        </w:rPr>
        <w:t>Under these assumptions, we estimate that</w:t>
      </w:r>
      <w:r w:rsidR="00B465EF" w:rsidRPr="001B608A">
        <w:rPr>
          <w:iCs/>
        </w:rPr>
        <w:t xml:space="preserve"> </w:t>
      </w:r>
      <w:r w:rsidR="00433C87">
        <w:rPr>
          <w:iCs/>
        </w:rPr>
        <w:t xml:space="preserve">an additional </w:t>
      </w:r>
      <w:r w:rsidR="00B465EF" w:rsidRPr="001B608A">
        <w:rPr>
          <w:iCs/>
        </w:rPr>
        <w:t xml:space="preserve">4,500 effective records </w:t>
      </w:r>
      <w:r w:rsidR="005A6F20">
        <w:rPr>
          <w:iCs/>
        </w:rPr>
        <w:t xml:space="preserve">would lead to an increase in selection accuracy (and therefore rate of genetic gain) of 20% compared with current levels.  </w:t>
      </w:r>
      <w:r w:rsidR="00074456">
        <w:rPr>
          <w:iCs/>
        </w:rPr>
        <w:t xml:space="preserve">As there are </w:t>
      </w:r>
      <w:r w:rsidR="001B6A31">
        <w:rPr>
          <w:iCs/>
        </w:rPr>
        <w:t xml:space="preserve">three main groupings of beef cattle breeds (European, </w:t>
      </w:r>
      <w:proofErr w:type="gramStart"/>
      <w:r w:rsidR="001B6A31">
        <w:rPr>
          <w:iCs/>
        </w:rPr>
        <w:t>British</w:t>
      </w:r>
      <w:proofErr w:type="gramEnd"/>
      <w:r w:rsidR="001B6A31">
        <w:rPr>
          <w:iCs/>
        </w:rPr>
        <w:t xml:space="preserve"> and Tropical), </w:t>
      </w:r>
      <w:r w:rsidR="00DC09D3">
        <w:rPr>
          <w:iCs/>
        </w:rPr>
        <w:t xml:space="preserve">the total number of </w:t>
      </w:r>
      <w:r w:rsidR="00927E02">
        <w:rPr>
          <w:iCs/>
        </w:rPr>
        <w:t xml:space="preserve">effective </w:t>
      </w:r>
      <w:r w:rsidR="00DC09D3">
        <w:rPr>
          <w:iCs/>
        </w:rPr>
        <w:t xml:space="preserve">records </w:t>
      </w:r>
      <w:r w:rsidR="006A2C15">
        <w:rPr>
          <w:iCs/>
        </w:rPr>
        <w:t xml:space="preserve">required to achieve this aim is </w:t>
      </w:r>
      <w:r w:rsidR="0091159D">
        <w:rPr>
          <w:iCs/>
        </w:rPr>
        <w:t xml:space="preserve">13,500.  </w:t>
      </w:r>
      <w:proofErr w:type="gramStart"/>
      <w:r w:rsidR="00B465EF" w:rsidRPr="001B608A">
        <w:rPr>
          <w:iCs/>
        </w:rPr>
        <w:t>Th</w:t>
      </w:r>
      <w:r w:rsidR="0091159D">
        <w:rPr>
          <w:iCs/>
        </w:rPr>
        <w:t>us</w:t>
      </w:r>
      <w:proofErr w:type="gramEnd"/>
      <w:r w:rsidR="0091159D">
        <w:rPr>
          <w:iCs/>
        </w:rPr>
        <w:t xml:space="preserve"> the</w:t>
      </w:r>
      <w:r w:rsidR="00B465EF" w:rsidRPr="001B608A">
        <w:rPr>
          <w:iCs/>
        </w:rPr>
        <w:t xml:space="preserve"> ratio of effective </w:t>
      </w:r>
      <w:r w:rsidR="006D3689">
        <w:rPr>
          <w:iCs/>
        </w:rPr>
        <w:t xml:space="preserve">phenotypic </w:t>
      </w:r>
      <w:r w:rsidR="00B465EF" w:rsidRPr="001B608A">
        <w:rPr>
          <w:iCs/>
        </w:rPr>
        <w:t xml:space="preserve">records to animals genotyped being modelled here is </w:t>
      </w:r>
      <w:r w:rsidR="00F20F37">
        <w:rPr>
          <w:iCs/>
        </w:rPr>
        <w:t>13,500</w:t>
      </w:r>
      <w:r w:rsidR="003B6368">
        <w:rPr>
          <w:iCs/>
        </w:rPr>
        <w:t xml:space="preserve">, or </w:t>
      </w:r>
      <w:r w:rsidR="00FF5CE3">
        <w:rPr>
          <w:iCs/>
        </w:rPr>
        <w:t xml:space="preserve">about </w:t>
      </w:r>
      <w:r w:rsidR="003B6368">
        <w:rPr>
          <w:iCs/>
        </w:rPr>
        <w:t>13,5</w:t>
      </w:r>
      <w:r w:rsidR="00B465EF" w:rsidRPr="001B608A">
        <w:rPr>
          <w:iCs/>
        </w:rPr>
        <w:t>00/</w:t>
      </w:r>
      <w:r w:rsidR="00E053F6">
        <w:rPr>
          <w:iCs/>
        </w:rPr>
        <w:t>7</w:t>
      </w:r>
      <w:r w:rsidR="00B465EF" w:rsidRPr="001B608A">
        <w:rPr>
          <w:iCs/>
        </w:rPr>
        <w:t>,5</w:t>
      </w:r>
      <w:r w:rsidR="00E053F6">
        <w:rPr>
          <w:iCs/>
        </w:rPr>
        <w:t>0</w:t>
      </w:r>
      <w:r w:rsidR="00B465EF" w:rsidRPr="001B608A">
        <w:rPr>
          <w:iCs/>
        </w:rPr>
        <w:t xml:space="preserve">0,000 = </w:t>
      </w:r>
      <w:r w:rsidR="003B6368">
        <w:rPr>
          <w:iCs/>
        </w:rPr>
        <w:t>0.</w:t>
      </w:r>
      <w:r w:rsidR="00E053F6">
        <w:rPr>
          <w:iCs/>
        </w:rPr>
        <w:t>18</w:t>
      </w:r>
      <w:r w:rsidR="00B465EF" w:rsidRPr="001B608A">
        <w:rPr>
          <w:iCs/>
        </w:rPr>
        <w:t>%</w:t>
      </w:r>
      <w:r w:rsidR="003B6368">
        <w:rPr>
          <w:iCs/>
        </w:rPr>
        <w:t xml:space="preserve"> of the </w:t>
      </w:r>
      <w:r w:rsidR="00373103">
        <w:rPr>
          <w:iCs/>
        </w:rPr>
        <w:t xml:space="preserve">annual crop of calves weaned.  </w:t>
      </w:r>
      <w:r w:rsidR="00DC20E1">
        <w:rPr>
          <w:iCs/>
        </w:rPr>
        <w:t xml:space="preserve">For comparison, the same logic implies that ~30,000 </w:t>
      </w:r>
      <w:r w:rsidR="00795E79">
        <w:rPr>
          <w:iCs/>
        </w:rPr>
        <w:t xml:space="preserve">additional </w:t>
      </w:r>
      <w:r w:rsidR="00DC20E1">
        <w:rPr>
          <w:iCs/>
        </w:rPr>
        <w:t>records</w:t>
      </w:r>
      <w:r w:rsidR="00795E79">
        <w:rPr>
          <w:iCs/>
        </w:rPr>
        <w:t xml:space="preserve"> </w:t>
      </w:r>
      <w:r w:rsidR="009A3A92">
        <w:rPr>
          <w:iCs/>
        </w:rPr>
        <w:t xml:space="preserve">would </w:t>
      </w:r>
      <w:r w:rsidR="00795E79">
        <w:rPr>
          <w:iCs/>
        </w:rPr>
        <w:t xml:space="preserve">be required to </w:t>
      </w:r>
      <w:r w:rsidR="009A3A92">
        <w:rPr>
          <w:iCs/>
        </w:rPr>
        <w:t xml:space="preserve">increase selection accuracies </w:t>
      </w:r>
      <w:r w:rsidR="00CD3655">
        <w:rPr>
          <w:iCs/>
        </w:rPr>
        <w:t xml:space="preserve">by about 35% </w:t>
      </w:r>
      <w:r w:rsidR="001B7D7E">
        <w:rPr>
          <w:iCs/>
        </w:rPr>
        <w:t>above current levels</w:t>
      </w:r>
      <w:r w:rsidR="00E053F6">
        <w:rPr>
          <w:iCs/>
        </w:rPr>
        <w:t>, or 0.4% of the annual calves weaned</w:t>
      </w:r>
      <w:r w:rsidR="001B7D7E">
        <w:rPr>
          <w:iCs/>
        </w:rPr>
        <w:t>.</w:t>
      </w:r>
      <w:r w:rsidR="005A11DA">
        <w:rPr>
          <w:iCs/>
        </w:rPr>
        <w:t xml:space="preserve">  </w:t>
      </w:r>
      <w:r w:rsidR="0086521E">
        <w:rPr>
          <w:iCs/>
        </w:rPr>
        <w:t xml:space="preserve">By </w:t>
      </w:r>
      <w:r w:rsidR="0086521E" w:rsidRPr="00EA3054">
        <w:rPr>
          <w:iCs/>
        </w:rPr>
        <w:t xml:space="preserve">modelling </w:t>
      </w:r>
      <w:r w:rsidR="00B93639" w:rsidRPr="00EA3054">
        <w:rPr>
          <w:iCs/>
        </w:rPr>
        <w:t>the resulting increases in genetic progress and the flow of benefits through the industry</w:t>
      </w:r>
      <w:r w:rsidR="00D03064" w:rsidRPr="00EA3054">
        <w:rPr>
          <w:iCs/>
        </w:rPr>
        <w:t xml:space="preserve"> over </w:t>
      </w:r>
      <w:proofErr w:type="gramStart"/>
      <w:r w:rsidR="00D03064" w:rsidRPr="00EA3054">
        <w:rPr>
          <w:iCs/>
        </w:rPr>
        <w:t>a number of</w:t>
      </w:r>
      <w:proofErr w:type="gramEnd"/>
      <w:r w:rsidR="00D03064" w:rsidRPr="00EA3054">
        <w:rPr>
          <w:iCs/>
        </w:rPr>
        <w:t xml:space="preserve"> years, we can calculate the average annual benefit.  </w:t>
      </w:r>
      <w:r w:rsidR="006D7D41">
        <w:rPr>
          <w:iCs/>
        </w:rPr>
        <w:t>This is summarised in Appendix 3.</w:t>
      </w:r>
    </w:p>
    <w:p w14:paraId="6377E8DB" w14:textId="7976E23E" w:rsidR="0021384F" w:rsidRDefault="0021384F" w:rsidP="00B465EF">
      <w:pPr>
        <w:rPr>
          <w:iCs/>
        </w:rPr>
      </w:pPr>
    </w:p>
    <w:p w14:paraId="60D24E65" w14:textId="2762EE69" w:rsidR="0021384F" w:rsidRDefault="00CB0C67" w:rsidP="00B465EF">
      <w:pPr>
        <w:rPr>
          <w:iCs/>
        </w:rPr>
      </w:pPr>
      <w:r>
        <w:rPr>
          <w:iCs/>
        </w:rPr>
        <w:t>Note that o</w:t>
      </w:r>
      <w:r w:rsidR="0021384F">
        <w:rPr>
          <w:iCs/>
        </w:rPr>
        <w:t xml:space="preserve">btaining these additional phenotypic records will obviously come at a cost.  We have not included this cost in our modelling </w:t>
      </w:r>
      <w:r w:rsidR="0059205E">
        <w:rPr>
          <w:iCs/>
        </w:rPr>
        <w:t>a</w:t>
      </w:r>
      <w:r w:rsidR="00CD3655">
        <w:rPr>
          <w:iCs/>
        </w:rPr>
        <w:t xml:space="preserve">s it is such a small proportion of the </w:t>
      </w:r>
      <w:r w:rsidR="00ED7011">
        <w:rPr>
          <w:iCs/>
        </w:rPr>
        <w:t xml:space="preserve">national </w:t>
      </w:r>
      <w:r w:rsidR="00CD3655">
        <w:rPr>
          <w:iCs/>
        </w:rPr>
        <w:t>herd</w:t>
      </w:r>
      <w:r w:rsidR="0059205E">
        <w:rPr>
          <w:iCs/>
        </w:rPr>
        <w:t xml:space="preserve">, </w:t>
      </w:r>
      <w:r w:rsidR="00ED7011">
        <w:rPr>
          <w:iCs/>
        </w:rPr>
        <w:t xml:space="preserve">the required data </w:t>
      </w:r>
      <w:r w:rsidR="00CD3655">
        <w:rPr>
          <w:iCs/>
        </w:rPr>
        <w:t>can be accumulated over several years</w:t>
      </w:r>
      <w:r w:rsidR="00ED7011">
        <w:rPr>
          <w:iCs/>
        </w:rPr>
        <w:t xml:space="preserve"> and the cost could probably be </w:t>
      </w:r>
      <w:r w:rsidR="0059205E">
        <w:rPr>
          <w:iCs/>
        </w:rPr>
        <w:t>absorbed by the industry</w:t>
      </w:r>
      <w:r w:rsidR="00574FDA">
        <w:rPr>
          <w:iCs/>
        </w:rPr>
        <w:t>. Nevertheless, any implementation</w:t>
      </w:r>
      <w:r w:rsidR="0059205E">
        <w:rPr>
          <w:iCs/>
        </w:rPr>
        <w:t xml:space="preserve"> </w:t>
      </w:r>
      <w:r w:rsidR="00574FDA">
        <w:rPr>
          <w:iCs/>
        </w:rPr>
        <w:t xml:space="preserve">of such a model would need to consider </w:t>
      </w:r>
      <w:r w:rsidR="003D0741">
        <w:rPr>
          <w:iCs/>
        </w:rPr>
        <w:t>what</w:t>
      </w:r>
      <w:r w:rsidR="00574FDA">
        <w:rPr>
          <w:iCs/>
        </w:rPr>
        <w:t xml:space="preserve"> incentives </w:t>
      </w:r>
      <w:r w:rsidR="003D0741">
        <w:rPr>
          <w:iCs/>
        </w:rPr>
        <w:t>might drive the collection of this data by individual producers.</w:t>
      </w:r>
    </w:p>
    <w:p w14:paraId="2B22F6D8" w14:textId="77777777" w:rsidR="00D93FCA" w:rsidRPr="00FF375C" w:rsidRDefault="00D93FCA" w:rsidP="00B465EF">
      <w:pPr>
        <w:rPr>
          <w:iCs/>
        </w:rPr>
      </w:pPr>
    </w:p>
    <w:p w14:paraId="5ABB2081" w14:textId="23D36828" w:rsidR="00B465EF" w:rsidRDefault="007724FA" w:rsidP="00112ACB">
      <w:pPr>
        <w:pStyle w:val="Heading3"/>
      </w:pPr>
      <w:bookmarkStart w:id="158" w:name="_Toc95983409"/>
      <w:r>
        <w:t>G</w:t>
      </w:r>
      <w:r w:rsidR="00B465EF" w:rsidRPr="00D07156">
        <w:t xml:space="preserve">enomic screening </w:t>
      </w:r>
      <w:r w:rsidR="00C87605">
        <w:t>to guide management decisions</w:t>
      </w:r>
      <w:bookmarkEnd w:id="158"/>
    </w:p>
    <w:p w14:paraId="31853EC0" w14:textId="38BB0053" w:rsidR="00112ACB" w:rsidRDefault="00112ACB" w:rsidP="001B608A"/>
    <w:p w14:paraId="07B3FB55" w14:textId="257E98B2" w:rsidR="00CB6256" w:rsidRDefault="00D75245" w:rsidP="00CB6256">
      <w:r>
        <w:t xml:space="preserve">As described previously, genomic tests are already being used in the beef production sector </w:t>
      </w:r>
      <w:r w:rsidR="00173195">
        <w:t xml:space="preserve">to inform management decisions, where </w:t>
      </w:r>
      <w:r>
        <w:t xml:space="preserve">young commercial cattle are </w:t>
      </w:r>
      <w:proofErr w:type="spellStart"/>
      <w:r>
        <w:t>genomically</w:t>
      </w:r>
      <w:proofErr w:type="spellEnd"/>
      <w:r>
        <w:t xml:space="preserve"> tested to predict adult performance or feedlot performance.  </w:t>
      </w:r>
      <w:r w:rsidR="00BD6662">
        <w:t>Appendix 4 uses a simple example to demonstrate the principle involved</w:t>
      </w:r>
      <w:r w:rsidR="000A71EA">
        <w:t xml:space="preserve">.  </w:t>
      </w:r>
      <w:r w:rsidR="00CB6256">
        <w:t xml:space="preserve">Using actual data, Hine </w:t>
      </w:r>
      <w:r w:rsidR="00CB6256" w:rsidRPr="000254A9">
        <w:rPr>
          <w:i/>
          <w:iCs/>
        </w:rPr>
        <w:t>et al</w:t>
      </w:r>
      <w:r w:rsidR="00CB6256">
        <w:t>. (2021)</w:t>
      </w:r>
      <w:r w:rsidR="00CB6256">
        <w:fldChar w:fldCharType="begin"/>
      </w:r>
      <w:r w:rsidR="00CB6256">
        <w:instrText xml:space="preserve"> NOTEREF _Ref88996187 \f \h </w:instrText>
      </w:r>
      <w:r w:rsidR="00CB6256">
        <w:fldChar w:fldCharType="separate"/>
      </w:r>
      <w:r w:rsidR="008D0D42" w:rsidRPr="008D0D42">
        <w:rPr>
          <w:rStyle w:val="FootnoteReference"/>
        </w:rPr>
        <w:t>48</w:t>
      </w:r>
      <w:r w:rsidR="00CB6256">
        <w:fldChar w:fldCharType="end"/>
      </w:r>
      <w:r w:rsidR="00CB6256">
        <w:t xml:space="preserve"> recently reported the differentials that could be created by </w:t>
      </w:r>
      <w:proofErr w:type="spellStart"/>
      <w:r w:rsidR="00CB6256">
        <w:t>genomically</w:t>
      </w:r>
      <w:proofErr w:type="spellEnd"/>
      <w:r w:rsidR="00CB6256">
        <w:t xml:space="preserve"> testing steers in a commercial feedlot with the </w:t>
      </w:r>
      <w:proofErr w:type="spellStart"/>
      <w:r w:rsidR="00CB6256">
        <w:t>AngusSELECT</w:t>
      </w:r>
      <w:proofErr w:type="spellEnd"/>
      <w:r w:rsidR="00CB6256">
        <w:t xml:space="preserve"> product and using a reference population of 2</w:t>
      </w:r>
      <w:r w:rsidR="000F6B1B">
        <w:t>,</w:t>
      </w:r>
      <w:r w:rsidR="00CB6256">
        <w:t xml:space="preserve">973 steers.  The accuracies of genomic predictions for carcase weight and marbling score were 75% and 73%, respectively.  When steers were ranked according to their predicted carcase values, those in the top quartile had actual carcase values some 20% higher than those in the bottom quartile, in both short-fed and long-fed cohorts, equating to differentials of $354 and $712, respectively.  </w:t>
      </w:r>
    </w:p>
    <w:p w14:paraId="1EBD9CA9" w14:textId="77777777" w:rsidR="00CB6256" w:rsidRDefault="00CB6256" w:rsidP="00CB6256"/>
    <w:p w14:paraId="7FB75427" w14:textId="147CC9BF" w:rsidR="00D75245" w:rsidRDefault="00CB6256" w:rsidP="00D75245">
      <w:r>
        <w:lastRenderedPageBreak/>
        <w:t>At an industry level</w:t>
      </w:r>
      <w:r w:rsidR="000A71EA">
        <w:t xml:space="preserve">, </w:t>
      </w:r>
      <w:r w:rsidR="00BD6662">
        <w:t xml:space="preserve">the </w:t>
      </w:r>
      <w:r w:rsidR="00D75245">
        <w:t xml:space="preserve">extent to which the production sector can benefit from </w:t>
      </w:r>
      <w:r w:rsidR="000A71EA">
        <w:t>the</w:t>
      </w:r>
      <w:r w:rsidR="00D75245">
        <w:t xml:space="preserve"> additional information </w:t>
      </w:r>
      <w:r w:rsidR="000A71EA">
        <w:t xml:space="preserve">afforded by genomic predictions </w:t>
      </w:r>
      <w:r w:rsidR="00D75245">
        <w:t>will depend on:</w:t>
      </w:r>
    </w:p>
    <w:p w14:paraId="372454CE" w14:textId="77777777" w:rsidR="00D75245" w:rsidRDefault="00D75245" w:rsidP="00D75245">
      <w:pPr>
        <w:pStyle w:val="ListParagraph"/>
        <w:numPr>
          <w:ilvl w:val="0"/>
          <w:numId w:val="14"/>
        </w:numPr>
      </w:pPr>
      <w:r>
        <w:t xml:space="preserve">the extent of between-sector contracting </w:t>
      </w:r>
    </w:p>
    <w:p w14:paraId="07D62766" w14:textId="77777777" w:rsidR="00D75245" w:rsidRDefault="00D75245" w:rsidP="00D75245">
      <w:pPr>
        <w:pStyle w:val="ListParagraph"/>
        <w:numPr>
          <w:ilvl w:val="0"/>
          <w:numId w:val="14"/>
        </w:numPr>
      </w:pPr>
      <w:r>
        <w:t>the accessibility of relevant reference data</w:t>
      </w:r>
    </w:p>
    <w:p w14:paraId="3DB22F40" w14:textId="77777777" w:rsidR="00D75245" w:rsidRPr="00F51E80" w:rsidRDefault="00D75245" w:rsidP="00D75245">
      <w:pPr>
        <w:pStyle w:val="ListParagraph"/>
        <w:numPr>
          <w:ilvl w:val="0"/>
          <w:numId w:val="14"/>
        </w:numPr>
      </w:pPr>
      <w:r w:rsidRPr="00F51E80">
        <w:t>whether this simply shifts benefits between enterprises, and/or reduces opportunity costs (</w:t>
      </w:r>
      <w:proofErr w:type="gramStart"/>
      <w:r w:rsidRPr="00F51E80">
        <w:rPr>
          <w:i/>
          <w:iCs/>
        </w:rPr>
        <w:t>i.e.</w:t>
      </w:r>
      <w:proofErr w:type="gramEnd"/>
      <w:r w:rsidRPr="00F51E80">
        <w:t xml:space="preserve"> whether animals culled using this information are diverted from a path where they would generate an industry loss).</w:t>
      </w:r>
    </w:p>
    <w:p w14:paraId="5DAE2EB8" w14:textId="77777777" w:rsidR="00BA3329" w:rsidRDefault="00BA3329" w:rsidP="00FE5FDA"/>
    <w:p w14:paraId="674504FD" w14:textId="30FCD45E" w:rsidR="00B465EF" w:rsidRDefault="00FE5FDA" w:rsidP="00533A39">
      <w:r>
        <w:t xml:space="preserve">We have developed a simple model to examine the general case </w:t>
      </w:r>
      <w:r w:rsidR="00CE710E">
        <w:t>for using genomic screening in commercial populations.</w:t>
      </w:r>
      <w:r w:rsidR="00112ACB">
        <w:t xml:space="preserve">  </w:t>
      </w:r>
      <w:r w:rsidR="00B465EF">
        <w:t>Th</w:t>
      </w:r>
      <w:r w:rsidR="00533A39">
        <w:t>e</w:t>
      </w:r>
      <w:r w:rsidR="00B465EF">
        <w:t xml:space="preserve"> </w:t>
      </w:r>
      <w:r w:rsidR="001F6884">
        <w:t>principle</w:t>
      </w:r>
      <w:r w:rsidR="00740FF2">
        <w:t xml:space="preserve"> </w:t>
      </w:r>
      <w:r w:rsidR="00B465EF">
        <w:t>can be applied to any testing purpose</w:t>
      </w:r>
      <w:r w:rsidR="00533A39">
        <w:t xml:space="preserve">, such as </w:t>
      </w:r>
      <w:r w:rsidR="00B465EF">
        <w:t xml:space="preserve">screening replacement heifers, screening for animals requiring preventive treatment (to reduce risk of some known disease or condition), different feeding regimes (as shown here, but could be extended to grain </w:t>
      </w:r>
      <w:r w:rsidR="00B465EF" w:rsidRPr="00740FF2">
        <w:rPr>
          <w:i/>
          <w:iCs/>
        </w:rPr>
        <w:t>v</w:t>
      </w:r>
      <w:r w:rsidR="00740FF2" w:rsidRPr="00740FF2">
        <w:rPr>
          <w:i/>
          <w:iCs/>
        </w:rPr>
        <w:t>s</w:t>
      </w:r>
      <w:r w:rsidR="00B465EF">
        <w:t xml:space="preserve"> grass, </w:t>
      </w:r>
      <w:proofErr w:type="gramStart"/>
      <w:r w:rsidR="00B465EF">
        <w:t>short-fed</w:t>
      </w:r>
      <w:proofErr w:type="gramEnd"/>
      <w:r w:rsidR="00B465EF">
        <w:t xml:space="preserve">, </w:t>
      </w:r>
      <w:r w:rsidR="00B465EF" w:rsidRPr="00740FF2">
        <w:rPr>
          <w:i/>
          <w:iCs/>
        </w:rPr>
        <w:t>etc</w:t>
      </w:r>
      <w:r w:rsidR="00740FF2">
        <w:t>.</w:t>
      </w:r>
      <w:r w:rsidR="00B465EF">
        <w:t>) and others.</w:t>
      </w:r>
    </w:p>
    <w:p w14:paraId="6E6BE141" w14:textId="77777777" w:rsidR="00CB417E" w:rsidRDefault="00CB417E" w:rsidP="00533A39"/>
    <w:p w14:paraId="0F7BFB34" w14:textId="2D516A48" w:rsidR="00B465EF" w:rsidRDefault="00740FF2" w:rsidP="00740FF2">
      <w:pPr>
        <w:spacing w:after="160" w:line="259" w:lineRule="auto"/>
      </w:pPr>
      <w:r>
        <w:t xml:space="preserve">It </w:t>
      </w:r>
      <w:r w:rsidR="00B465EF">
        <w:t xml:space="preserve">is not intended to imply that this is how genomic screening tests could or will be marketed, or their properties explained - but it does capture the principles of evaluating return on investment in such a test. </w:t>
      </w:r>
      <w:r w:rsidR="006C7DF6">
        <w:t xml:space="preserve"> </w:t>
      </w:r>
      <w:r w:rsidR="00B465EF">
        <w:t>Here, it is used to show how we can estimate the return to industry from applying genomic screening tools.</w:t>
      </w:r>
    </w:p>
    <w:p w14:paraId="729718EE" w14:textId="05B87EDB" w:rsidR="00B465EF" w:rsidRDefault="00CB417E" w:rsidP="00014DE8">
      <w:pPr>
        <w:spacing w:after="160" w:line="259" w:lineRule="auto"/>
      </w:pPr>
      <w:r>
        <w:t>T</w:t>
      </w:r>
      <w:r w:rsidR="00014DE8">
        <w:t xml:space="preserve">hree </w:t>
      </w:r>
      <w:r w:rsidR="00B465EF">
        <w:t xml:space="preserve">scenarios have been </w:t>
      </w:r>
      <w:r w:rsidR="00425E89">
        <w:t>modelled</w:t>
      </w:r>
      <w:r w:rsidR="00B465EF">
        <w:t>:</w:t>
      </w:r>
    </w:p>
    <w:p w14:paraId="29A44D03" w14:textId="77777777" w:rsidR="00B465EF" w:rsidRDefault="00B465EF" w:rsidP="00374617">
      <w:pPr>
        <w:pStyle w:val="ListParagraph"/>
        <w:numPr>
          <w:ilvl w:val="0"/>
          <w:numId w:val="12"/>
        </w:numPr>
        <w:spacing w:after="160" w:line="259" w:lineRule="auto"/>
      </w:pPr>
      <w:r>
        <w:t>Screening for short-fed steers</w:t>
      </w:r>
    </w:p>
    <w:p w14:paraId="1F2B2AF5" w14:textId="77777777" w:rsidR="00B465EF" w:rsidRDefault="00B465EF" w:rsidP="00374617">
      <w:pPr>
        <w:pStyle w:val="ListParagraph"/>
        <w:numPr>
          <w:ilvl w:val="0"/>
          <w:numId w:val="12"/>
        </w:numPr>
        <w:spacing w:after="160" w:line="259" w:lineRule="auto"/>
      </w:pPr>
      <w:r>
        <w:t>Screening for long-fed steers</w:t>
      </w:r>
    </w:p>
    <w:p w14:paraId="561BBBB0" w14:textId="77777777" w:rsidR="00B465EF" w:rsidRDefault="00B465EF" w:rsidP="00374617">
      <w:pPr>
        <w:pStyle w:val="ListParagraph"/>
        <w:numPr>
          <w:ilvl w:val="0"/>
          <w:numId w:val="12"/>
        </w:numPr>
        <w:spacing w:after="160" w:line="259" w:lineRule="auto"/>
      </w:pPr>
      <w:r>
        <w:t>Screening for heifer replacements</w:t>
      </w:r>
    </w:p>
    <w:p w14:paraId="69A50D5E" w14:textId="70C5BDBC" w:rsidR="00283F49" w:rsidRPr="00464FF7" w:rsidRDefault="00B465EF" w:rsidP="003B6C0E">
      <w:pPr>
        <w:spacing w:after="160" w:line="259" w:lineRule="auto"/>
      </w:pPr>
      <w:r>
        <w:t xml:space="preserve">We assume that </w:t>
      </w:r>
      <w:r w:rsidR="00A83631">
        <w:t xml:space="preserve">approximately 500,000 </w:t>
      </w:r>
      <w:r>
        <w:t xml:space="preserve">animals genotyped </w:t>
      </w:r>
      <w:r w:rsidR="00462109">
        <w:t xml:space="preserve">have their data submitted for </w:t>
      </w:r>
      <w:r>
        <w:t xml:space="preserve">genomic </w:t>
      </w:r>
      <w:r w:rsidR="00462109">
        <w:t>prediction</w:t>
      </w:r>
      <w:r w:rsidR="00572E31">
        <w:t xml:space="preserve"> and subsequently screened using the results</w:t>
      </w:r>
      <w:r w:rsidR="00A83631">
        <w:t xml:space="preserve">, which is a relatively small proportion of the annual </w:t>
      </w:r>
      <w:r w:rsidR="003B6C0E">
        <w:t>number weaned</w:t>
      </w:r>
      <w:r w:rsidR="00ED7AA0">
        <w:t>.</w:t>
      </w:r>
      <w:r w:rsidR="00572E31">
        <w:t xml:space="preserve"> </w:t>
      </w:r>
      <w:r>
        <w:t xml:space="preserve">The accuracy </w:t>
      </w:r>
      <w:r w:rsidR="00CF0696">
        <w:t xml:space="preserve">assumed for </w:t>
      </w:r>
      <w:r>
        <w:t xml:space="preserve">the genomic tests is as for genomic selection at the respective levels of overall genotyping </w:t>
      </w:r>
      <w:proofErr w:type="gramStart"/>
      <w:r w:rsidRPr="00CF0696">
        <w:rPr>
          <w:i/>
          <w:iCs/>
        </w:rPr>
        <w:t>i</w:t>
      </w:r>
      <w:r w:rsidR="00CF0696" w:rsidRPr="00CF0696">
        <w:rPr>
          <w:i/>
          <w:iCs/>
        </w:rPr>
        <w:t>.</w:t>
      </w:r>
      <w:r w:rsidRPr="00CF0696">
        <w:rPr>
          <w:i/>
          <w:iCs/>
        </w:rPr>
        <w:t>e</w:t>
      </w:r>
      <w:r w:rsidR="00CF0696" w:rsidRPr="00CF0696">
        <w:rPr>
          <w:i/>
          <w:iCs/>
        </w:rPr>
        <w:t>.</w:t>
      </w:r>
      <w:proofErr w:type="gramEnd"/>
      <w:r>
        <w:t xml:space="preserve"> 45% or 60%. This simple approach likely overestimates the accuracy of genomic screening tests – which will depend on the accuracy of genomic EBVs </w:t>
      </w:r>
      <w:r w:rsidR="0009773B">
        <w:t xml:space="preserve">(estimated breeding values) </w:t>
      </w:r>
      <w:r>
        <w:t xml:space="preserve">in the reference and the screened animals’ relatedness to the reference. </w:t>
      </w:r>
      <w:r w:rsidR="00283F49">
        <w:t xml:space="preserve"> </w:t>
      </w:r>
    </w:p>
    <w:p w14:paraId="4EE488BA" w14:textId="765C2A32" w:rsidR="00B465EF" w:rsidRDefault="00B465EF" w:rsidP="0090709A">
      <w:pPr>
        <w:spacing w:after="160" w:line="259" w:lineRule="auto"/>
      </w:pPr>
      <w:r>
        <w:t>Given that we have only included</w:t>
      </w:r>
      <w:r w:rsidR="001A2922">
        <w:t xml:space="preserve"> three</w:t>
      </w:r>
      <w:r>
        <w:t xml:space="preserve"> genomic screening examples</w:t>
      </w:r>
      <w:r w:rsidR="00E94492">
        <w:t xml:space="preserve"> in Appendix 4</w:t>
      </w:r>
      <w:r w:rsidR="0006266D">
        <w:t xml:space="preserve"> </w:t>
      </w:r>
      <w:r w:rsidR="003A5A49">
        <w:t>but</w:t>
      </w:r>
      <w:r w:rsidR="0006266D">
        <w:t xml:space="preserve"> there are likely to be many more</w:t>
      </w:r>
      <w:r>
        <w:t>, the industry benefits available</w:t>
      </w:r>
      <w:r w:rsidR="00A50A52">
        <w:t xml:space="preserve"> may </w:t>
      </w:r>
      <w:proofErr w:type="gramStart"/>
      <w:r w:rsidR="00A50A52">
        <w:t xml:space="preserve">actually </w:t>
      </w:r>
      <w:r w:rsidR="007A7F3E">
        <w:t>be</w:t>
      </w:r>
      <w:proofErr w:type="gramEnd"/>
      <w:r w:rsidR="007A7F3E">
        <w:t xml:space="preserve"> </w:t>
      </w:r>
      <w:r>
        <w:t>underestimated if other applications are developed.</w:t>
      </w:r>
    </w:p>
    <w:p w14:paraId="099CC0AF" w14:textId="0F82723B" w:rsidR="00E94492" w:rsidRDefault="00E94492" w:rsidP="00E94492">
      <w:pPr>
        <w:pStyle w:val="Heading3"/>
      </w:pPr>
      <w:bookmarkStart w:id="159" w:name="_Toc95983410"/>
      <w:r>
        <w:t>Total benefits</w:t>
      </w:r>
      <w:bookmarkEnd w:id="159"/>
    </w:p>
    <w:p w14:paraId="1A475F38" w14:textId="77777777" w:rsidR="00E94492" w:rsidRDefault="00E94492" w:rsidP="00464FF7">
      <w:pPr>
        <w:spacing w:line="259" w:lineRule="auto"/>
      </w:pPr>
    </w:p>
    <w:p w14:paraId="77989F8E" w14:textId="561C3A49" w:rsidR="00772ACD" w:rsidRPr="00A3025D" w:rsidRDefault="00464FF7" w:rsidP="000B4C30">
      <w:pPr>
        <w:spacing w:line="259" w:lineRule="auto"/>
      </w:pPr>
      <w:r>
        <w:t xml:space="preserve">Some results from our </w:t>
      </w:r>
      <w:r w:rsidR="005D1D35">
        <w:t xml:space="preserve">modelling </w:t>
      </w:r>
      <w:r>
        <w:t xml:space="preserve">are summarised in </w:t>
      </w:r>
      <w:r w:rsidR="00B8464E">
        <w:fldChar w:fldCharType="begin"/>
      </w:r>
      <w:r w:rsidR="00B8464E">
        <w:instrText xml:space="preserve"> REF _Ref92196725 \h </w:instrText>
      </w:r>
      <w:r w:rsidR="00B8464E">
        <w:fldChar w:fldCharType="separate"/>
      </w:r>
      <w:r w:rsidR="008D0D42" w:rsidRPr="00576FA5">
        <w:t xml:space="preserve">Table </w:t>
      </w:r>
      <w:r w:rsidR="008D0D42">
        <w:rPr>
          <w:noProof/>
        </w:rPr>
        <w:t>2</w:t>
      </w:r>
      <w:r w:rsidR="00B8464E">
        <w:fldChar w:fldCharType="end"/>
      </w:r>
      <w:r w:rsidR="0060520A">
        <w:t xml:space="preserve">, with benefits aggregated across traceability, genetic </w:t>
      </w:r>
      <w:proofErr w:type="gramStart"/>
      <w:r w:rsidR="0060520A">
        <w:t>gain</w:t>
      </w:r>
      <w:proofErr w:type="gramEnd"/>
      <w:r w:rsidR="0060520A">
        <w:t xml:space="preserve"> and screening applications.</w:t>
      </w:r>
      <w:r w:rsidR="00AF2FC3">
        <w:t xml:space="preserve"> </w:t>
      </w:r>
      <w:r w:rsidR="00B8464E">
        <w:t xml:space="preserve"> </w:t>
      </w:r>
      <w:r w:rsidR="00AF2FC3">
        <w:t xml:space="preserve">For the sire-only scenario, there are no additional genetic benefits </w:t>
      </w:r>
      <w:r w:rsidR="00AD79F7">
        <w:t xml:space="preserve">indicated, because increasing the amount of reference data would require additional genotyping as well as additional phenotyping.  </w:t>
      </w:r>
      <w:r w:rsidR="00A06581">
        <w:t xml:space="preserve">It is worth noting, however, that if every beef sire is genotyped, then it is relatively straightforward to </w:t>
      </w:r>
      <w:r w:rsidR="006663A3">
        <w:t xml:space="preserve">compute their </w:t>
      </w:r>
      <w:r w:rsidR="00A06581">
        <w:t>breeding value</w:t>
      </w:r>
      <w:r w:rsidR="006663A3">
        <w:t>s</w:t>
      </w:r>
      <w:r w:rsidR="000B4C30">
        <w:t>;</w:t>
      </w:r>
      <w:r w:rsidR="006663A3">
        <w:t xml:space="preserve"> and this information could potentially influence bull buying decisions, thereby driving better </w:t>
      </w:r>
      <w:r w:rsidR="006663A3" w:rsidRPr="00A3025D">
        <w:t xml:space="preserve">practices </w:t>
      </w:r>
      <w:r w:rsidR="000B4C30" w:rsidRPr="00A3025D">
        <w:t>across the seedstock sector.  No attempt has been made to evaluate such additional benefits.</w:t>
      </w:r>
    </w:p>
    <w:p w14:paraId="05E2B6EA" w14:textId="77777777" w:rsidR="00772ACD" w:rsidRPr="00A3025D" w:rsidRDefault="00772ACD" w:rsidP="0090709A">
      <w:pPr>
        <w:spacing w:after="160" w:line="259" w:lineRule="auto"/>
      </w:pPr>
    </w:p>
    <w:p w14:paraId="40152DF5" w14:textId="59300EBC" w:rsidR="00EF34CD" w:rsidRDefault="00EF34CD" w:rsidP="00475E28">
      <w:pPr>
        <w:pStyle w:val="Caption"/>
      </w:pPr>
      <w:bookmarkStart w:id="160" w:name="_Ref92196725"/>
      <w:bookmarkStart w:id="161" w:name="_Toc95983445"/>
      <w:r w:rsidRPr="00576FA5">
        <w:lastRenderedPageBreak/>
        <w:t xml:space="preserve">Table </w:t>
      </w:r>
      <w:r>
        <w:fldChar w:fldCharType="begin"/>
      </w:r>
      <w:r>
        <w:instrText>SEQ Table \* ARABIC</w:instrText>
      </w:r>
      <w:r>
        <w:fldChar w:fldCharType="separate"/>
      </w:r>
      <w:r w:rsidR="008D0D42">
        <w:rPr>
          <w:noProof/>
        </w:rPr>
        <w:t>2</w:t>
      </w:r>
      <w:r>
        <w:fldChar w:fldCharType="end"/>
      </w:r>
      <w:bookmarkEnd w:id="160"/>
      <w:r w:rsidRPr="00576FA5">
        <w:t>. Net benefits of using genotyping as an aid to traceability</w:t>
      </w:r>
      <w:r>
        <w:t xml:space="preserve"> in beef.</w:t>
      </w:r>
      <w:bookmarkEnd w:id="161"/>
      <w:r>
        <w:t xml:space="preserve">  </w:t>
      </w:r>
    </w:p>
    <w:p w14:paraId="37D583DB" w14:textId="25F92C6E" w:rsidR="00174FC6" w:rsidRDefault="00174FC6" w:rsidP="00F84023">
      <w:pPr>
        <w:keepNext/>
        <w:keepLines/>
        <w:ind w:left="993"/>
        <w:rPr>
          <w:i/>
          <w:iCs/>
          <w:u w:val="single"/>
        </w:rPr>
      </w:pPr>
    </w:p>
    <w:tbl>
      <w:tblPr>
        <w:tblW w:w="4737" w:type="pct"/>
        <w:tblLook w:val="04A0" w:firstRow="1" w:lastRow="0" w:firstColumn="1" w:lastColumn="0" w:noHBand="0" w:noVBand="1"/>
      </w:tblPr>
      <w:tblGrid>
        <w:gridCol w:w="659"/>
        <w:gridCol w:w="11"/>
        <w:gridCol w:w="3941"/>
        <w:gridCol w:w="985"/>
        <w:gridCol w:w="986"/>
        <w:gridCol w:w="986"/>
        <w:gridCol w:w="983"/>
      </w:tblGrid>
      <w:tr w:rsidR="002B7079" w:rsidRPr="00174FC6" w14:paraId="6DD016FD" w14:textId="77777777" w:rsidTr="00375536">
        <w:trPr>
          <w:trHeight w:val="315"/>
        </w:trPr>
        <w:tc>
          <w:tcPr>
            <w:tcW w:w="377" w:type="pct"/>
            <w:tcBorders>
              <w:right w:val="nil"/>
            </w:tcBorders>
            <w:shd w:val="clear" w:color="auto" w:fill="auto"/>
            <w:vAlign w:val="center"/>
            <w:hideMark/>
          </w:tcPr>
          <w:p w14:paraId="15EA1A71" w14:textId="77777777" w:rsidR="00174FC6" w:rsidRPr="00174FC6" w:rsidRDefault="00174FC6" w:rsidP="00F84023">
            <w:pPr>
              <w:keepNext/>
              <w:keepLines/>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  Note</w:t>
            </w:r>
          </w:p>
        </w:tc>
        <w:tc>
          <w:tcPr>
            <w:tcW w:w="2314" w:type="pct"/>
            <w:gridSpan w:val="2"/>
            <w:tcBorders>
              <w:left w:val="nil"/>
              <w:bottom w:val="single" w:sz="4" w:space="0" w:color="auto"/>
              <w:right w:val="nil"/>
            </w:tcBorders>
            <w:shd w:val="clear" w:color="auto" w:fill="auto"/>
            <w:vAlign w:val="center"/>
            <w:hideMark/>
          </w:tcPr>
          <w:p w14:paraId="51051354" w14:textId="77777777" w:rsidR="00174FC6" w:rsidRPr="00174FC6" w:rsidRDefault="00174FC6" w:rsidP="00F84023">
            <w:pPr>
              <w:keepNext/>
              <w:keepLines/>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  Parameter</w:t>
            </w:r>
          </w:p>
        </w:tc>
        <w:tc>
          <w:tcPr>
            <w:tcW w:w="577" w:type="pct"/>
            <w:tcBorders>
              <w:left w:val="nil"/>
              <w:bottom w:val="single" w:sz="4" w:space="0" w:color="auto"/>
              <w:right w:val="nil"/>
            </w:tcBorders>
            <w:shd w:val="clear" w:color="auto" w:fill="auto"/>
            <w:vAlign w:val="center"/>
            <w:hideMark/>
          </w:tcPr>
          <w:p w14:paraId="4AC352C9" w14:textId="2F39CB93" w:rsidR="00174FC6" w:rsidRPr="00174FC6" w:rsidRDefault="00174FC6" w:rsidP="00F84023">
            <w:pPr>
              <w:keepNext/>
              <w:keepLines/>
              <w:jc w:val="center"/>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NLIS</w:t>
            </w:r>
          </w:p>
        </w:tc>
        <w:tc>
          <w:tcPr>
            <w:tcW w:w="1732" w:type="pct"/>
            <w:gridSpan w:val="3"/>
            <w:tcBorders>
              <w:left w:val="nil"/>
              <w:bottom w:val="single" w:sz="4" w:space="0" w:color="auto"/>
              <w:right w:val="nil"/>
            </w:tcBorders>
            <w:shd w:val="clear" w:color="auto" w:fill="auto"/>
            <w:vAlign w:val="center"/>
            <w:hideMark/>
          </w:tcPr>
          <w:p w14:paraId="424BB79F" w14:textId="4F12284A" w:rsidR="00174FC6" w:rsidRPr="00174FC6" w:rsidRDefault="00174FC6" w:rsidP="00F84023">
            <w:pPr>
              <w:keepNext/>
              <w:keepLines/>
              <w:jc w:val="center"/>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NLIS &amp; genotyping</w:t>
            </w:r>
          </w:p>
        </w:tc>
      </w:tr>
      <w:tr w:rsidR="00A3025D" w:rsidRPr="00174FC6" w14:paraId="60BA925B" w14:textId="77777777" w:rsidTr="00375536">
        <w:trPr>
          <w:trHeight w:val="300"/>
        </w:trPr>
        <w:tc>
          <w:tcPr>
            <w:tcW w:w="2691" w:type="pct"/>
            <w:gridSpan w:val="3"/>
            <w:tcBorders>
              <w:bottom w:val="nil"/>
              <w:right w:val="nil"/>
            </w:tcBorders>
            <w:shd w:val="clear" w:color="auto" w:fill="auto"/>
            <w:vAlign w:val="center"/>
            <w:hideMark/>
          </w:tcPr>
          <w:p w14:paraId="630EEC02" w14:textId="77777777" w:rsidR="00174FC6" w:rsidRPr="00174FC6" w:rsidRDefault="00174FC6" w:rsidP="00F84023">
            <w:pPr>
              <w:keepNext/>
              <w:keepLines/>
              <w:ind w:firstLineChars="300" w:firstLine="663"/>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 </w:t>
            </w:r>
          </w:p>
        </w:tc>
        <w:tc>
          <w:tcPr>
            <w:tcW w:w="577" w:type="pct"/>
            <w:tcBorders>
              <w:left w:val="nil"/>
              <w:bottom w:val="nil"/>
              <w:right w:val="nil"/>
            </w:tcBorders>
            <w:shd w:val="clear" w:color="auto" w:fill="auto"/>
            <w:vAlign w:val="center"/>
            <w:hideMark/>
          </w:tcPr>
          <w:p w14:paraId="4E80EB8E" w14:textId="77777777" w:rsidR="00174FC6" w:rsidRPr="00174FC6" w:rsidRDefault="00174FC6" w:rsidP="00F84023">
            <w:pPr>
              <w:keepNext/>
              <w:keepLines/>
              <w:ind w:firstLineChars="300" w:firstLine="663"/>
              <w:rPr>
                <w:rFonts w:ascii="Calibri" w:eastAsia="Times New Roman" w:hAnsi="Calibri" w:cs="Calibri"/>
                <w:b/>
                <w:bCs/>
                <w:color w:val="000000"/>
                <w:lang w:eastAsia="en-AU"/>
              </w:rPr>
            </w:pPr>
          </w:p>
        </w:tc>
        <w:tc>
          <w:tcPr>
            <w:tcW w:w="578" w:type="pct"/>
            <w:tcBorders>
              <w:left w:val="nil"/>
              <w:bottom w:val="nil"/>
              <w:right w:val="nil"/>
            </w:tcBorders>
            <w:shd w:val="clear" w:color="auto" w:fill="auto"/>
            <w:vAlign w:val="center"/>
            <w:hideMark/>
          </w:tcPr>
          <w:p w14:paraId="42D996D4"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8" w:type="pct"/>
            <w:tcBorders>
              <w:left w:val="nil"/>
              <w:bottom w:val="nil"/>
              <w:right w:val="nil"/>
            </w:tcBorders>
            <w:shd w:val="clear" w:color="auto" w:fill="auto"/>
            <w:vAlign w:val="center"/>
            <w:hideMark/>
          </w:tcPr>
          <w:p w14:paraId="307C209A" w14:textId="77777777" w:rsidR="00174FC6" w:rsidRPr="00174FC6" w:rsidRDefault="00174FC6" w:rsidP="00F84023">
            <w:pPr>
              <w:keepNext/>
              <w:keepLines/>
              <w:jc w:val="center"/>
              <w:rPr>
                <w:rFonts w:ascii="Times New Roman" w:eastAsia="Times New Roman" w:hAnsi="Times New Roman" w:cs="Times New Roman"/>
                <w:sz w:val="20"/>
                <w:szCs w:val="20"/>
                <w:lang w:eastAsia="en-AU"/>
              </w:rPr>
            </w:pPr>
          </w:p>
        </w:tc>
        <w:tc>
          <w:tcPr>
            <w:tcW w:w="576" w:type="pct"/>
            <w:tcBorders>
              <w:left w:val="nil"/>
              <w:bottom w:val="nil"/>
              <w:right w:val="nil"/>
            </w:tcBorders>
            <w:shd w:val="clear" w:color="auto" w:fill="auto"/>
            <w:vAlign w:val="center"/>
            <w:hideMark/>
          </w:tcPr>
          <w:p w14:paraId="24FB88C4" w14:textId="77777777" w:rsidR="00174FC6" w:rsidRPr="00174FC6" w:rsidRDefault="00174FC6" w:rsidP="00F84023">
            <w:pPr>
              <w:keepNext/>
              <w:keepLines/>
              <w:jc w:val="center"/>
              <w:rPr>
                <w:rFonts w:ascii="Times New Roman" w:eastAsia="Times New Roman" w:hAnsi="Times New Roman" w:cs="Times New Roman"/>
                <w:sz w:val="20"/>
                <w:szCs w:val="20"/>
                <w:lang w:eastAsia="en-AU"/>
              </w:rPr>
            </w:pPr>
          </w:p>
        </w:tc>
      </w:tr>
      <w:tr w:rsidR="000434EF" w:rsidRPr="00174FC6" w14:paraId="20278406" w14:textId="77777777" w:rsidTr="00375536">
        <w:trPr>
          <w:trHeight w:val="300"/>
        </w:trPr>
        <w:tc>
          <w:tcPr>
            <w:tcW w:w="377" w:type="pct"/>
            <w:tcBorders>
              <w:top w:val="nil"/>
              <w:bottom w:val="nil"/>
              <w:right w:val="nil"/>
            </w:tcBorders>
            <w:shd w:val="clear" w:color="auto" w:fill="auto"/>
            <w:vAlign w:val="center"/>
            <w:hideMark/>
          </w:tcPr>
          <w:p w14:paraId="708D8E03" w14:textId="77777777" w:rsidR="00174FC6" w:rsidRPr="00174FC6" w:rsidRDefault="00174FC6" w:rsidP="00F84023">
            <w:pPr>
              <w:keepNext/>
              <w:keepLines/>
              <w:jc w:val="center"/>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a</w:t>
            </w:r>
          </w:p>
        </w:tc>
        <w:tc>
          <w:tcPr>
            <w:tcW w:w="2314" w:type="pct"/>
            <w:gridSpan w:val="2"/>
            <w:tcBorders>
              <w:top w:val="nil"/>
              <w:left w:val="nil"/>
              <w:bottom w:val="nil"/>
              <w:right w:val="nil"/>
            </w:tcBorders>
            <w:shd w:val="clear" w:color="auto" w:fill="auto"/>
            <w:vAlign w:val="center"/>
            <w:hideMark/>
          </w:tcPr>
          <w:p w14:paraId="018E0AF2"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Proportion genotyped</w:t>
            </w:r>
          </w:p>
        </w:tc>
        <w:tc>
          <w:tcPr>
            <w:tcW w:w="577" w:type="pct"/>
            <w:tcBorders>
              <w:top w:val="nil"/>
              <w:left w:val="nil"/>
              <w:bottom w:val="nil"/>
              <w:right w:val="nil"/>
            </w:tcBorders>
            <w:shd w:val="clear" w:color="auto" w:fill="auto"/>
            <w:vAlign w:val="bottom"/>
            <w:hideMark/>
          </w:tcPr>
          <w:p w14:paraId="41469126"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4B3B313A" w14:textId="77777777" w:rsidR="00174FC6" w:rsidRPr="00174FC6" w:rsidRDefault="00174FC6" w:rsidP="00F84023">
            <w:pPr>
              <w:keepNext/>
              <w:keepLines/>
              <w:jc w:val="center"/>
              <w:rPr>
                <w:rFonts w:ascii="Calibri" w:eastAsia="Times New Roman" w:hAnsi="Calibri" w:cs="Calibri"/>
                <w:color w:val="000000"/>
                <w:lang w:eastAsia="en-AU"/>
              </w:rPr>
            </w:pPr>
            <w:r w:rsidRPr="00174FC6">
              <w:rPr>
                <w:rFonts w:ascii="Calibri" w:eastAsia="Times New Roman" w:hAnsi="Calibri" w:cs="Calibri"/>
                <w:color w:val="000000"/>
                <w:lang w:eastAsia="en-AU"/>
              </w:rPr>
              <w:t>50%</w:t>
            </w:r>
          </w:p>
        </w:tc>
        <w:tc>
          <w:tcPr>
            <w:tcW w:w="578" w:type="pct"/>
            <w:tcBorders>
              <w:top w:val="nil"/>
              <w:left w:val="nil"/>
              <w:bottom w:val="nil"/>
              <w:right w:val="nil"/>
            </w:tcBorders>
            <w:shd w:val="clear" w:color="auto" w:fill="auto"/>
            <w:vAlign w:val="center"/>
            <w:hideMark/>
          </w:tcPr>
          <w:p w14:paraId="38DC5BE2" w14:textId="77777777" w:rsidR="00174FC6" w:rsidRPr="00174FC6" w:rsidRDefault="00174FC6" w:rsidP="00F84023">
            <w:pPr>
              <w:keepNext/>
              <w:keepLines/>
              <w:jc w:val="center"/>
              <w:rPr>
                <w:rFonts w:ascii="Calibri" w:eastAsia="Times New Roman" w:hAnsi="Calibri" w:cs="Calibri"/>
                <w:color w:val="000000"/>
                <w:lang w:eastAsia="en-AU"/>
              </w:rPr>
            </w:pPr>
            <w:r w:rsidRPr="00174FC6">
              <w:rPr>
                <w:rFonts w:ascii="Calibri" w:eastAsia="Times New Roman" w:hAnsi="Calibri" w:cs="Calibri"/>
                <w:color w:val="000000"/>
                <w:lang w:eastAsia="en-AU"/>
              </w:rPr>
              <w:t>100%</w:t>
            </w:r>
          </w:p>
        </w:tc>
        <w:tc>
          <w:tcPr>
            <w:tcW w:w="576" w:type="pct"/>
            <w:tcBorders>
              <w:top w:val="nil"/>
              <w:left w:val="nil"/>
              <w:bottom w:val="nil"/>
              <w:right w:val="nil"/>
            </w:tcBorders>
            <w:shd w:val="clear" w:color="auto" w:fill="auto"/>
            <w:vAlign w:val="center"/>
            <w:hideMark/>
          </w:tcPr>
          <w:p w14:paraId="78BDB075" w14:textId="77777777" w:rsidR="00174FC6" w:rsidRPr="00174FC6" w:rsidRDefault="00174FC6" w:rsidP="00F84023">
            <w:pPr>
              <w:keepNext/>
              <w:keepLines/>
              <w:jc w:val="center"/>
              <w:rPr>
                <w:rFonts w:ascii="Calibri" w:eastAsia="Times New Roman" w:hAnsi="Calibri" w:cs="Calibri"/>
                <w:color w:val="000000"/>
                <w:lang w:eastAsia="en-AU"/>
              </w:rPr>
            </w:pPr>
            <w:r w:rsidRPr="00174FC6">
              <w:rPr>
                <w:rFonts w:ascii="Calibri" w:eastAsia="Times New Roman" w:hAnsi="Calibri" w:cs="Calibri"/>
                <w:color w:val="000000"/>
                <w:lang w:eastAsia="en-AU"/>
              </w:rPr>
              <w:t>Sires</w:t>
            </w:r>
          </w:p>
        </w:tc>
      </w:tr>
      <w:tr w:rsidR="000434EF" w:rsidRPr="00174FC6" w14:paraId="3F556EF4" w14:textId="77777777" w:rsidTr="00375536">
        <w:trPr>
          <w:trHeight w:val="330"/>
        </w:trPr>
        <w:tc>
          <w:tcPr>
            <w:tcW w:w="377" w:type="pct"/>
            <w:tcBorders>
              <w:top w:val="nil"/>
              <w:bottom w:val="nil"/>
              <w:right w:val="nil"/>
            </w:tcBorders>
            <w:shd w:val="clear" w:color="auto" w:fill="auto"/>
            <w:vAlign w:val="center"/>
            <w:hideMark/>
          </w:tcPr>
          <w:p w14:paraId="2700960D" w14:textId="77777777" w:rsidR="00174FC6" w:rsidRPr="00174FC6" w:rsidRDefault="00174FC6" w:rsidP="00F84023">
            <w:pPr>
              <w:keepNext/>
              <w:keepLines/>
              <w:jc w:val="center"/>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b</w:t>
            </w:r>
          </w:p>
        </w:tc>
        <w:tc>
          <w:tcPr>
            <w:tcW w:w="2314" w:type="pct"/>
            <w:gridSpan w:val="2"/>
            <w:tcBorders>
              <w:top w:val="nil"/>
              <w:left w:val="nil"/>
              <w:bottom w:val="nil"/>
              <w:right w:val="nil"/>
            </w:tcBorders>
            <w:shd w:val="clear" w:color="auto" w:fill="auto"/>
            <w:vAlign w:val="center"/>
            <w:hideMark/>
          </w:tcPr>
          <w:p w14:paraId="5C892938"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 xml:space="preserve">Number </w:t>
            </w:r>
            <w:proofErr w:type="spellStart"/>
            <w:r w:rsidRPr="00174FC6">
              <w:rPr>
                <w:rFonts w:ascii="Calibri" w:eastAsia="Times New Roman" w:hAnsi="Calibri" w:cs="Calibri"/>
                <w:color w:val="000000"/>
                <w:lang w:eastAsia="en-AU"/>
              </w:rPr>
              <w:t>phenotyped</w:t>
            </w:r>
            <w:proofErr w:type="spellEnd"/>
            <w:r w:rsidRPr="00174FC6">
              <w:rPr>
                <w:rFonts w:ascii="Calibri" w:eastAsia="Times New Roman" w:hAnsi="Calibri" w:cs="Calibri"/>
                <w:color w:val="000000"/>
                <w:lang w:eastAsia="en-AU"/>
              </w:rPr>
              <w:t xml:space="preserve"> p.a. for genomic reference (both sexes) </w:t>
            </w:r>
          </w:p>
        </w:tc>
        <w:tc>
          <w:tcPr>
            <w:tcW w:w="577" w:type="pct"/>
            <w:tcBorders>
              <w:top w:val="nil"/>
              <w:left w:val="nil"/>
              <w:bottom w:val="nil"/>
              <w:right w:val="nil"/>
            </w:tcBorders>
            <w:shd w:val="clear" w:color="auto" w:fill="auto"/>
            <w:vAlign w:val="bottom"/>
            <w:hideMark/>
          </w:tcPr>
          <w:p w14:paraId="14FF218A"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1AB65698" w14:textId="77777777" w:rsidR="00174FC6" w:rsidRPr="00174FC6" w:rsidRDefault="00174FC6" w:rsidP="00F84023">
            <w:pPr>
              <w:keepNext/>
              <w:keepLines/>
              <w:jc w:val="center"/>
              <w:rPr>
                <w:rFonts w:ascii="Calibri" w:eastAsia="Times New Roman" w:hAnsi="Calibri" w:cs="Calibri"/>
                <w:lang w:eastAsia="en-AU"/>
              </w:rPr>
            </w:pPr>
            <w:r w:rsidRPr="00174FC6">
              <w:rPr>
                <w:rFonts w:ascii="Calibri" w:eastAsia="Times New Roman" w:hAnsi="Calibri" w:cs="Calibri"/>
                <w:lang w:eastAsia="en-AU"/>
              </w:rPr>
              <w:t>13,500</w:t>
            </w:r>
          </w:p>
        </w:tc>
        <w:tc>
          <w:tcPr>
            <w:tcW w:w="578" w:type="pct"/>
            <w:tcBorders>
              <w:top w:val="nil"/>
              <w:left w:val="nil"/>
              <w:bottom w:val="nil"/>
              <w:right w:val="nil"/>
            </w:tcBorders>
            <w:shd w:val="clear" w:color="auto" w:fill="auto"/>
            <w:vAlign w:val="center"/>
            <w:hideMark/>
          </w:tcPr>
          <w:p w14:paraId="6024C62E" w14:textId="77777777" w:rsidR="00174FC6" w:rsidRPr="00174FC6" w:rsidRDefault="00174FC6" w:rsidP="00F84023">
            <w:pPr>
              <w:keepNext/>
              <w:keepLines/>
              <w:jc w:val="center"/>
              <w:rPr>
                <w:rFonts w:ascii="Calibri" w:eastAsia="Times New Roman" w:hAnsi="Calibri" w:cs="Calibri"/>
                <w:lang w:eastAsia="en-AU"/>
              </w:rPr>
            </w:pPr>
            <w:r w:rsidRPr="00174FC6">
              <w:rPr>
                <w:rFonts w:ascii="Calibri" w:eastAsia="Times New Roman" w:hAnsi="Calibri" w:cs="Calibri"/>
                <w:lang w:eastAsia="en-AU"/>
              </w:rPr>
              <w:t>30,000</w:t>
            </w:r>
          </w:p>
        </w:tc>
        <w:tc>
          <w:tcPr>
            <w:tcW w:w="576" w:type="pct"/>
            <w:tcBorders>
              <w:top w:val="nil"/>
              <w:left w:val="nil"/>
              <w:bottom w:val="nil"/>
              <w:right w:val="nil"/>
            </w:tcBorders>
            <w:shd w:val="clear" w:color="auto" w:fill="auto"/>
            <w:vAlign w:val="center"/>
            <w:hideMark/>
          </w:tcPr>
          <w:p w14:paraId="7DD3BF0E" w14:textId="77777777" w:rsidR="00174FC6" w:rsidRPr="00174FC6" w:rsidRDefault="00174FC6" w:rsidP="00F84023">
            <w:pPr>
              <w:keepNext/>
              <w:keepLines/>
              <w:jc w:val="center"/>
              <w:rPr>
                <w:rFonts w:ascii="Calibri" w:eastAsia="Times New Roman" w:hAnsi="Calibri" w:cs="Calibri"/>
                <w:lang w:eastAsia="en-AU"/>
              </w:rPr>
            </w:pPr>
            <w:r w:rsidRPr="00174FC6">
              <w:rPr>
                <w:rFonts w:ascii="Calibri" w:eastAsia="Times New Roman" w:hAnsi="Calibri" w:cs="Calibri"/>
                <w:lang w:eastAsia="en-AU"/>
              </w:rPr>
              <w:t>0</w:t>
            </w:r>
          </w:p>
        </w:tc>
      </w:tr>
      <w:tr w:rsidR="000434EF" w:rsidRPr="00174FC6" w14:paraId="367CB952" w14:textId="77777777" w:rsidTr="00375536">
        <w:trPr>
          <w:trHeight w:val="300"/>
        </w:trPr>
        <w:tc>
          <w:tcPr>
            <w:tcW w:w="377" w:type="pct"/>
            <w:tcBorders>
              <w:top w:val="nil"/>
              <w:bottom w:val="nil"/>
              <w:right w:val="nil"/>
            </w:tcBorders>
            <w:shd w:val="clear" w:color="auto" w:fill="auto"/>
            <w:vAlign w:val="center"/>
            <w:hideMark/>
          </w:tcPr>
          <w:p w14:paraId="4B8E4BA6" w14:textId="77777777" w:rsidR="00174FC6" w:rsidRPr="00174FC6" w:rsidRDefault="00174FC6" w:rsidP="00F84023">
            <w:pPr>
              <w:keepNext/>
              <w:keepLines/>
              <w:jc w:val="center"/>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c</w:t>
            </w:r>
          </w:p>
        </w:tc>
        <w:tc>
          <w:tcPr>
            <w:tcW w:w="2314" w:type="pct"/>
            <w:gridSpan w:val="2"/>
            <w:tcBorders>
              <w:top w:val="nil"/>
              <w:left w:val="nil"/>
              <w:bottom w:val="nil"/>
              <w:right w:val="nil"/>
            </w:tcBorders>
            <w:shd w:val="clear" w:color="auto" w:fill="auto"/>
            <w:vAlign w:val="center"/>
            <w:hideMark/>
          </w:tcPr>
          <w:p w14:paraId="2CF9044F"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Prediction accuracy</w:t>
            </w:r>
          </w:p>
        </w:tc>
        <w:tc>
          <w:tcPr>
            <w:tcW w:w="577" w:type="pct"/>
            <w:tcBorders>
              <w:top w:val="nil"/>
              <w:left w:val="nil"/>
              <w:bottom w:val="nil"/>
              <w:right w:val="nil"/>
            </w:tcBorders>
            <w:shd w:val="clear" w:color="auto" w:fill="auto"/>
            <w:vAlign w:val="bottom"/>
            <w:hideMark/>
          </w:tcPr>
          <w:p w14:paraId="68271ED7"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3FD71DA2" w14:textId="77777777" w:rsidR="00174FC6" w:rsidRPr="00174FC6" w:rsidRDefault="00174FC6" w:rsidP="00F84023">
            <w:pPr>
              <w:keepNext/>
              <w:keepLines/>
              <w:jc w:val="center"/>
              <w:rPr>
                <w:rFonts w:ascii="Calibri" w:eastAsia="Times New Roman" w:hAnsi="Calibri" w:cs="Calibri"/>
                <w:color w:val="000000"/>
                <w:lang w:eastAsia="en-AU"/>
              </w:rPr>
            </w:pPr>
            <w:r w:rsidRPr="00174FC6">
              <w:rPr>
                <w:rFonts w:ascii="Calibri" w:eastAsia="Times New Roman" w:hAnsi="Calibri" w:cs="Calibri"/>
                <w:color w:val="000000"/>
                <w:lang w:eastAsia="en-AU"/>
              </w:rPr>
              <w:t>45%</w:t>
            </w:r>
          </w:p>
        </w:tc>
        <w:tc>
          <w:tcPr>
            <w:tcW w:w="578" w:type="pct"/>
            <w:tcBorders>
              <w:top w:val="nil"/>
              <w:left w:val="nil"/>
              <w:bottom w:val="nil"/>
              <w:right w:val="nil"/>
            </w:tcBorders>
            <w:shd w:val="clear" w:color="auto" w:fill="auto"/>
            <w:vAlign w:val="center"/>
            <w:hideMark/>
          </w:tcPr>
          <w:p w14:paraId="3A98AF89" w14:textId="77777777" w:rsidR="00174FC6" w:rsidRPr="00174FC6" w:rsidRDefault="00174FC6" w:rsidP="00F84023">
            <w:pPr>
              <w:keepNext/>
              <w:keepLines/>
              <w:jc w:val="center"/>
              <w:rPr>
                <w:rFonts w:ascii="Calibri" w:eastAsia="Times New Roman" w:hAnsi="Calibri" w:cs="Calibri"/>
                <w:color w:val="000000"/>
                <w:lang w:eastAsia="en-AU"/>
              </w:rPr>
            </w:pPr>
            <w:r w:rsidRPr="00174FC6">
              <w:rPr>
                <w:rFonts w:ascii="Calibri" w:eastAsia="Times New Roman" w:hAnsi="Calibri" w:cs="Calibri"/>
                <w:color w:val="000000"/>
                <w:lang w:eastAsia="en-AU"/>
              </w:rPr>
              <w:t>60%</w:t>
            </w:r>
          </w:p>
        </w:tc>
        <w:tc>
          <w:tcPr>
            <w:tcW w:w="576" w:type="pct"/>
            <w:tcBorders>
              <w:top w:val="nil"/>
              <w:left w:val="nil"/>
              <w:bottom w:val="nil"/>
              <w:right w:val="nil"/>
            </w:tcBorders>
            <w:shd w:val="clear" w:color="auto" w:fill="auto"/>
            <w:vAlign w:val="center"/>
            <w:hideMark/>
          </w:tcPr>
          <w:p w14:paraId="0E92F2E3" w14:textId="77777777" w:rsidR="00174FC6" w:rsidRPr="00174FC6" w:rsidRDefault="00174FC6" w:rsidP="00F84023">
            <w:pPr>
              <w:keepNext/>
              <w:keepLines/>
              <w:jc w:val="center"/>
              <w:rPr>
                <w:rFonts w:ascii="Calibri" w:eastAsia="Times New Roman" w:hAnsi="Calibri" w:cs="Calibri"/>
                <w:color w:val="000000"/>
                <w:lang w:eastAsia="en-AU"/>
              </w:rPr>
            </w:pPr>
            <w:proofErr w:type="spellStart"/>
            <w:r w:rsidRPr="00174FC6">
              <w:rPr>
                <w:rFonts w:ascii="Calibri" w:eastAsia="Times New Roman" w:hAnsi="Calibri" w:cs="Calibri"/>
                <w:color w:val="000000"/>
                <w:lang w:eastAsia="en-AU"/>
              </w:rPr>
              <w:t>na</w:t>
            </w:r>
            <w:proofErr w:type="spellEnd"/>
          </w:p>
        </w:tc>
      </w:tr>
      <w:tr w:rsidR="009E557F" w:rsidRPr="009E557F" w14:paraId="54BD952F" w14:textId="77777777" w:rsidTr="00375536">
        <w:trPr>
          <w:trHeight w:val="300"/>
        </w:trPr>
        <w:tc>
          <w:tcPr>
            <w:tcW w:w="377" w:type="pct"/>
            <w:tcBorders>
              <w:top w:val="nil"/>
              <w:bottom w:val="nil"/>
              <w:right w:val="nil"/>
            </w:tcBorders>
            <w:shd w:val="clear" w:color="auto" w:fill="auto"/>
            <w:vAlign w:val="center"/>
            <w:hideMark/>
          </w:tcPr>
          <w:p w14:paraId="69DE43DF" w14:textId="77777777" w:rsidR="00174FC6" w:rsidRPr="00174FC6" w:rsidRDefault="00174FC6" w:rsidP="00F84023">
            <w:pPr>
              <w:keepNext/>
              <w:keepLines/>
              <w:jc w:val="center"/>
              <w:rPr>
                <w:rFonts w:ascii="Calibri" w:eastAsia="Times New Roman" w:hAnsi="Calibri" w:cs="Calibri"/>
                <w:sz w:val="18"/>
                <w:szCs w:val="18"/>
                <w:lang w:eastAsia="en-AU"/>
              </w:rPr>
            </w:pPr>
            <w:r w:rsidRPr="00174FC6">
              <w:rPr>
                <w:rFonts w:ascii="Calibri" w:eastAsia="Times New Roman" w:hAnsi="Calibri" w:cs="Calibri"/>
                <w:sz w:val="18"/>
                <w:szCs w:val="18"/>
                <w:lang w:eastAsia="en-AU"/>
              </w:rPr>
              <w:t>d</w:t>
            </w:r>
          </w:p>
        </w:tc>
        <w:tc>
          <w:tcPr>
            <w:tcW w:w="2314" w:type="pct"/>
            <w:gridSpan w:val="2"/>
            <w:tcBorders>
              <w:top w:val="nil"/>
              <w:left w:val="nil"/>
              <w:bottom w:val="nil"/>
              <w:right w:val="nil"/>
            </w:tcBorders>
            <w:shd w:val="clear" w:color="auto" w:fill="auto"/>
            <w:vAlign w:val="center"/>
            <w:hideMark/>
          </w:tcPr>
          <w:p w14:paraId="0EDEADFD" w14:textId="715AFFDB" w:rsidR="00174FC6" w:rsidRPr="00174FC6" w:rsidRDefault="00BE693D" w:rsidP="00F84023">
            <w:pPr>
              <w:keepNext/>
              <w:keepLines/>
              <w:rPr>
                <w:rFonts w:ascii="Calibri" w:eastAsia="Times New Roman" w:hAnsi="Calibri" w:cs="Calibri"/>
                <w:lang w:eastAsia="en-AU"/>
              </w:rPr>
            </w:pPr>
            <w:r w:rsidRPr="009E557F">
              <w:rPr>
                <w:rFonts w:ascii="Calibri" w:eastAsia="Times New Roman" w:hAnsi="Calibri" w:cs="Calibri"/>
                <w:lang w:eastAsia="en-AU"/>
              </w:rPr>
              <w:t>Pr</w:t>
            </w:r>
            <w:r w:rsidR="009E557F" w:rsidRPr="009E557F">
              <w:rPr>
                <w:rFonts w:ascii="Calibri" w:eastAsia="Times New Roman" w:hAnsi="Calibri" w:cs="Calibri"/>
                <w:lang w:eastAsia="en-AU"/>
              </w:rPr>
              <w:t xml:space="preserve">oportion </w:t>
            </w:r>
            <w:r w:rsidR="00174FC6" w:rsidRPr="00174FC6">
              <w:rPr>
                <w:rFonts w:ascii="Calibri" w:eastAsia="Times New Roman" w:hAnsi="Calibri" w:cs="Calibri"/>
                <w:lang w:eastAsia="en-AU"/>
              </w:rPr>
              <w:t xml:space="preserve">managed </w:t>
            </w:r>
            <w:r w:rsidR="009E557F" w:rsidRPr="009E557F">
              <w:rPr>
                <w:rFonts w:ascii="Calibri" w:eastAsia="Times New Roman" w:hAnsi="Calibri" w:cs="Calibri"/>
                <w:lang w:eastAsia="en-AU"/>
              </w:rPr>
              <w:t>using</w:t>
            </w:r>
            <w:r w:rsidR="00174FC6" w:rsidRPr="00174FC6">
              <w:rPr>
                <w:rFonts w:ascii="Calibri" w:eastAsia="Times New Roman" w:hAnsi="Calibri" w:cs="Calibri"/>
                <w:lang w:eastAsia="en-AU"/>
              </w:rPr>
              <w:t xml:space="preserve"> DNA test</w:t>
            </w:r>
          </w:p>
        </w:tc>
        <w:tc>
          <w:tcPr>
            <w:tcW w:w="577" w:type="pct"/>
            <w:tcBorders>
              <w:top w:val="nil"/>
              <w:left w:val="nil"/>
              <w:bottom w:val="nil"/>
              <w:right w:val="nil"/>
            </w:tcBorders>
            <w:shd w:val="clear" w:color="auto" w:fill="auto"/>
            <w:vAlign w:val="bottom"/>
            <w:hideMark/>
          </w:tcPr>
          <w:p w14:paraId="0FC56C93" w14:textId="77777777" w:rsidR="00174FC6" w:rsidRPr="00174FC6" w:rsidRDefault="00174FC6" w:rsidP="00F84023">
            <w:pPr>
              <w:keepNext/>
              <w:keepLines/>
              <w:rPr>
                <w:rFonts w:ascii="Calibri" w:eastAsia="Times New Roman" w:hAnsi="Calibri" w:cs="Calibri"/>
                <w:lang w:eastAsia="en-AU"/>
              </w:rPr>
            </w:pPr>
          </w:p>
        </w:tc>
        <w:tc>
          <w:tcPr>
            <w:tcW w:w="578" w:type="pct"/>
            <w:tcBorders>
              <w:top w:val="nil"/>
              <w:left w:val="nil"/>
              <w:bottom w:val="nil"/>
              <w:right w:val="nil"/>
            </w:tcBorders>
            <w:shd w:val="clear" w:color="auto" w:fill="auto"/>
            <w:vAlign w:val="center"/>
            <w:hideMark/>
          </w:tcPr>
          <w:p w14:paraId="23E2F695" w14:textId="12674DCA" w:rsidR="00174FC6" w:rsidRPr="00174FC6" w:rsidRDefault="009E557F" w:rsidP="00F84023">
            <w:pPr>
              <w:keepNext/>
              <w:keepLines/>
              <w:jc w:val="center"/>
              <w:rPr>
                <w:rFonts w:ascii="Calibri" w:eastAsia="Times New Roman" w:hAnsi="Calibri" w:cs="Calibri"/>
                <w:lang w:eastAsia="en-AU"/>
              </w:rPr>
            </w:pPr>
            <w:r w:rsidRPr="00090856">
              <w:rPr>
                <w:rFonts w:ascii="Calibri" w:eastAsia="Times New Roman" w:hAnsi="Calibri" w:cs="Calibri"/>
                <w:lang w:eastAsia="en-AU"/>
              </w:rPr>
              <w:t>33.3%</w:t>
            </w:r>
          </w:p>
        </w:tc>
        <w:tc>
          <w:tcPr>
            <w:tcW w:w="578" w:type="pct"/>
            <w:tcBorders>
              <w:top w:val="nil"/>
              <w:left w:val="nil"/>
              <w:bottom w:val="nil"/>
              <w:right w:val="nil"/>
            </w:tcBorders>
            <w:shd w:val="clear" w:color="auto" w:fill="auto"/>
            <w:vAlign w:val="center"/>
            <w:hideMark/>
          </w:tcPr>
          <w:p w14:paraId="551A67ED" w14:textId="2D65694C" w:rsidR="00174FC6" w:rsidRPr="00174FC6" w:rsidRDefault="009E557F" w:rsidP="00F84023">
            <w:pPr>
              <w:keepNext/>
              <w:keepLines/>
              <w:jc w:val="center"/>
              <w:rPr>
                <w:rFonts w:ascii="Calibri" w:eastAsia="Times New Roman" w:hAnsi="Calibri" w:cs="Calibri"/>
                <w:lang w:eastAsia="en-AU"/>
              </w:rPr>
            </w:pPr>
            <w:r w:rsidRPr="00090856">
              <w:rPr>
                <w:rFonts w:ascii="Calibri" w:eastAsia="Times New Roman" w:hAnsi="Calibri" w:cs="Calibri"/>
                <w:lang w:eastAsia="en-AU"/>
              </w:rPr>
              <w:t>33.3%</w:t>
            </w:r>
          </w:p>
        </w:tc>
        <w:tc>
          <w:tcPr>
            <w:tcW w:w="576" w:type="pct"/>
            <w:tcBorders>
              <w:top w:val="nil"/>
              <w:left w:val="nil"/>
              <w:bottom w:val="nil"/>
              <w:right w:val="nil"/>
            </w:tcBorders>
            <w:shd w:val="clear" w:color="auto" w:fill="auto"/>
            <w:vAlign w:val="center"/>
            <w:hideMark/>
          </w:tcPr>
          <w:p w14:paraId="7111D8F8" w14:textId="77777777" w:rsidR="00174FC6" w:rsidRPr="00174FC6" w:rsidRDefault="00174FC6" w:rsidP="00F84023">
            <w:pPr>
              <w:keepNext/>
              <w:keepLines/>
              <w:jc w:val="center"/>
              <w:rPr>
                <w:rFonts w:ascii="Calibri" w:eastAsia="Times New Roman" w:hAnsi="Calibri" w:cs="Calibri"/>
                <w:lang w:eastAsia="en-AU"/>
              </w:rPr>
            </w:pPr>
            <w:r w:rsidRPr="00174FC6">
              <w:rPr>
                <w:rFonts w:ascii="Calibri" w:eastAsia="Times New Roman" w:hAnsi="Calibri" w:cs="Calibri"/>
                <w:lang w:eastAsia="en-AU"/>
              </w:rPr>
              <w:t>0</w:t>
            </w:r>
          </w:p>
        </w:tc>
      </w:tr>
      <w:tr w:rsidR="00BE693D" w:rsidRPr="00174FC6" w14:paraId="448246A3" w14:textId="77777777" w:rsidTr="00375536">
        <w:trPr>
          <w:trHeight w:val="300"/>
        </w:trPr>
        <w:tc>
          <w:tcPr>
            <w:tcW w:w="2691" w:type="pct"/>
            <w:gridSpan w:val="3"/>
            <w:tcBorders>
              <w:top w:val="nil"/>
              <w:bottom w:val="nil"/>
              <w:right w:val="nil"/>
            </w:tcBorders>
            <w:shd w:val="clear" w:color="auto" w:fill="auto"/>
            <w:vAlign w:val="center"/>
            <w:hideMark/>
          </w:tcPr>
          <w:p w14:paraId="081105EB"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 </w:t>
            </w:r>
          </w:p>
        </w:tc>
        <w:tc>
          <w:tcPr>
            <w:tcW w:w="577" w:type="pct"/>
            <w:tcBorders>
              <w:top w:val="nil"/>
              <w:left w:val="nil"/>
              <w:bottom w:val="nil"/>
              <w:right w:val="nil"/>
            </w:tcBorders>
            <w:shd w:val="clear" w:color="auto" w:fill="auto"/>
            <w:vAlign w:val="center"/>
            <w:hideMark/>
          </w:tcPr>
          <w:p w14:paraId="101CB3AF"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bottom"/>
            <w:hideMark/>
          </w:tcPr>
          <w:p w14:paraId="3825F39A"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8" w:type="pct"/>
            <w:tcBorders>
              <w:top w:val="nil"/>
              <w:left w:val="nil"/>
              <w:bottom w:val="nil"/>
              <w:right w:val="nil"/>
            </w:tcBorders>
            <w:shd w:val="clear" w:color="auto" w:fill="auto"/>
            <w:vAlign w:val="bottom"/>
            <w:hideMark/>
          </w:tcPr>
          <w:p w14:paraId="22FF292C"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6" w:type="pct"/>
            <w:tcBorders>
              <w:top w:val="nil"/>
              <w:left w:val="nil"/>
              <w:bottom w:val="nil"/>
              <w:right w:val="nil"/>
            </w:tcBorders>
            <w:shd w:val="clear" w:color="auto" w:fill="auto"/>
            <w:vAlign w:val="center"/>
            <w:hideMark/>
          </w:tcPr>
          <w:p w14:paraId="31DB48BD" w14:textId="77777777" w:rsidR="00174FC6" w:rsidRPr="00174FC6" w:rsidRDefault="00174FC6" w:rsidP="00F84023">
            <w:pPr>
              <w:keepNext/>
              <w:keepLines/>
              <w:rPr>
                <w:rFonts w:ascii="Times New Roman" w:eastAsia="Times New Roman" w:hAnsi="Times New Roman" w:cs="Times New Roman"/>
                <w:sz w:val="20"/>
                <w:szCs w:val="20"/>
                <w:lang w:eastAsia="en-AU"/>
              </w:rPr>
            </w:pPr>
          </w:p>
        </w:tc>
      </w:tr>
      <w:tr w:rsidR="00BE693D" w:rsidRPr="00174FC6" w14:paraId="35B66C2C" w14:textId="77777777" w:rsidTr="00375536">
        <w:trPr>
          <w:trHeight w:val="300"/>
        </w:trPr>
        <w:tc>
          <w:tcPr>
            <w:tcW w:w="2691" w:type="pct"/>
            <w:gridSpan w:val="3"/>
            <w:tcBorders>
              <w:top w:val="nil"/>
              <w:bottom w:val="nil"/>
              <w:right w:val="nil"/>
            </w:tcBorders>
            <w:shd w:val="clear" w:color="auto" w:fill="auto"/>
            <w:vAlign w:val="center"/>
            <w:hideMark/>
          </w:tcPr>
          <w:p w14:paraId="54DCBC19" w14:textId="77777777" w:rsidR="00174FC6" w:rsidRPr="00174FC6" w:rsidRDefault="00174FC6" w:rsidP="00F84023">
            <w:pPr>
              <w:keepNext/>
              <w:keepLines/>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Cost ($m p.a., industry)</w:t>
            </w:r>
          </w:p>
        </w:tc>
        <w:tc>
          <w:tcPr>
            <w:tcW w:w="577" w:type="pct"/>
            <w:tcBorders>
              <w:top w:val="nil"/>
              <w:left w:val="nil"/>
              <w:bottom w:val="nil"/>
              <w:right w:val="nil"/>
            </w:tcBorders>
            <w:shd w:val="clear" w:color="auto" w:fill="auto"/>
            <w:vAlign w:val="center"/>
            <w:hideMark/>
          </w:tcPr>
          <w:p w14:paraId="3328DF9A" w14:textId="77777777" w:rsidR="00174FC6" w:rsidRPr="00174FC6" w:rsidRDefault="00174FC6" w:rsidP="00F84023">
            <w:pPr>
              <w:keepNext/>
              <w:keepLines/>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bottom"/>
            <w:hideMark/>
          </w:tcPr>
          <w:p w14:paraId="4216EC97"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8" w:type="pct"/>
            <w:tcBorders>
              <w:top w:val="nil"/>
              <w:left w:val="nil"/>
              <w:bottom w:val="nil"/>
              <w:right w:val="nil"/>
            </w:tcBorders>
            <w:shd w:val="clear" w:color="auto" w:fill="auto"/>
            <w:vAlign w:val="bottom"/>
            <w:hideMark/>
          </w:tcPr>
          <w:p w14:paraId="047F27F0"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6" w:type="pct"/>
            <w:tcBorders>
              <w:top w:val="nil"/>
              <w:left w:val="nil"/>
              <w:bottom w:val="nil"/>
              <w:right w:val="nil"/>
            </w:tcBorders>
            <w:shd w:val="clear" w:color="auto" w:fill="auto"/>
            <w:vAlign w:val="center"/>
            <w:hideMark/>
          </w:tcPr>
          <w:p w14:paraId="1D2BD5D1" w14:textId="77777777" w:rsidR="00174FC6" w:rsidRPr="00174FC6" w:rsidRDefault="00174FC6" w:rsidP="00F84023">
            <w:pPr>
              <w:keepNext/>
              <w:keepLines/>
              <w:rPr>
                <w:rFonts w:ascii="Times New Roman" w:eastAsia="Times New Roman" w:hAnsi="Times New Roman" w:cs="Times New Roman"/>
                <w:sz w:val="20"/>
                <w:szCs w:val="20"/>
                <w:lang w:eastAsia="en-AU"/>
              </w:rPr>
            </w:pPr>
          </w:p>
        </w:tc>
      </w:tr>
      <w:tr w:rsidR="000434EF" w:rsidRPr="00174FC6" w14:paraId="51B75FEF" w14:textId="77777777" w:rsidTr="00375536">
        <w:trPr>
          <w:trHeight w:val="300"/>
        </w:trPr>
        <w:tc>
          <w:tcPr>
            <w:tcW w:w="377" w:type="pct"/>
            <w:tcBorders>
              <w:top w:val="nil"/>
              <w:bottom w:val="nil"/>
              <w:right w:val="nil"/>
            </w:tcBorders>
            <w:shd w:val="clear" w:color="auto" w:fill="auto"/>
            <w:vAlign w:val="center"/>
            <w:hideMark/>
          </w:tcPr>
          <w:p w14:paraId="3260A522" w14:textId="2387C6DD" w:rsidR="00174FC6" w:rsidRPr="00174FC6" w:rsidRDefault="005A78AC" w:rsidP="00F84023">
            <w:pPr>
              <w:keepNext/>
              <w:keepLines/>
              <w:jc w:val="center"/>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 </w:t>
            </w:r>
            <w:r w:rsidRPr="005A78AC">
              <w:rPr>
                <w:rFonts w:ascii="Calibri" w:eastAsia="Times New Roman" w:hAnsi="Calibri" w:cs="Calibri"/>
                <w:color w:val="000000"/>
                <w:sz w:val="18"/>
                <w:szCs w:val="18"/>
                <w:lang w:eastAsia="en-AU"/>
              </w:rPr>
              <w:t>e</w:t>
            </w:r>
          </w:p>
        </w:tc>
        <w:tc>
          <w:tcPr>
            <w:tcW w:w="2314" w:type="pct"/>
            <w:gridSpan w:val="2"/>
            <w:tcBorders>
              <w:top w:val="nil"/>
              <w:left w:val="nil"/>
              <w:bottom w:val="nil"/>
              <w:right w:val="nil"/>
            </w:tcBorders>
            <w:shd w:val="clear" w:color="auto" w:fill="auto"/>
            <w:vAlign w:val="center"/>
            <w:hideMark/>
          </w:tcPr>
          <w:p w14:paraId="40ABD854"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National</w:t>
            </w:r>
          </w:p>
        </w:tc>
        <w:tc>
          <w:tcPr>
            <w:tcW w:w="577" w:type="pct"/>
            <w:tcBorders>
              <w:top w:val="nil"/>
              <w:left w:val="nil"/>
              <w:bottom w:val="nil"/>
              <w:right w:val="nil"/>
            </w:tcBorders>
            <w:shd w:val="clear" w:color="auto" w:fill="auto"/>
            <w:vAlign w:val="center"/>
            <w:hideMark/>
          </w:tcPr>
          <w:p w14:paraId="1B96D33A"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$5</w:t>
            </w:r>
          </w:p>
        </w:tc>
        <w:tc>
          <w:tcPr>
            <w:tcW w:w="578" w:type="pct"/>
            <w:tcBorders>
              <w:top w:val="nil"/>
              <w:left w:val="nil"/>
              <w:bottom w:val="nil"/>
              <w:right w:val="nil"/>
            </w:tcBorders>
            <w:shd w:val="clear" w:color="auto" w:fill="auto"/>
            <w:vAlign w:val="center"/>
            <w:hideMark/>
          </w:tcPr>
          <w:p w14:paraId="04322134"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$6</w:t>
            </w:r>
          </w:p>
        </w:tc>
        <w:tc>
          <w:tcPr>
            <w:tcW w:w="578" w:type="pct"/>
            <w:tcBorders>
              <w:top w:val="nil"/>
              <w:left w:val="nil"/>
              <w:bottom w:val="nil"/>
              <w:right w:val="nil"/>
            </w:tcBorders>
            <w:shd w:val="clear" w:color="auto" w:fill="auto"/>
            <w:vAlign w:val="center"/>
            <w:hideMark/>
          </w:tcPr>
          <w:p w14:paraId="12308629"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$6</w:t>
            </w:r>
          </w:p>
        </w:tc>
        <w:tc>
          <w:tcPr>
            <w:tcW w:w="576" w:type="pct"/>
            <w:tcBorders>
              <w:top w:val="nil"/>
              <w:left w:val="nil"/>
              <w:bottom w:val="nil"/>
              <w:right w:val="nil"/>
            </w:tcBorders>
            <w:shd w:val="clear" w:color="auto" w:fill="auto"/>
            <w:vAlign w:val="center"/>
            <w:hideMark/>
          </w:tcPr>
          <w:p w14:paraId="6A978432"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$6</w:t>
            </w:r>
          </w:p>
        </w:tc>
      </w:tr>
      <w:tr w:rsidR="000434EF" w:rsidRPr="00174FC6" w14:paraId="3ABB9449" w14:textId="77777777" w:rsidTr="00375536">
        <w:trPr>
          <w:trHeight w:val="300"/>
        </w:trPr>
        <w:tc>
          <w:tcPr>
            <w:tcW w:w="377" w:type="pct"/>
            <w:tcBorders>
              <w:top w:val="nil"/>
              <w:bottom w:val="nil"/>
              <w:right w:val="nil"/>
            </w:tcBorders>
            <w:shd w:val="clear" w:color="auto" w:fill="auto"/>
            <w:vAlign w:val="center"/>
            <w:hideMark/>
          </w:tcPr>
          <w:p w14:paraId="02E831A3" w14:textId="7588D759" w:rsidR="00174FC6" w:rsidRPr="00174FC6" w:rsidRDefault="005A78AC" w:rsidP="00F84023">
            <w:pPr>
              <w:keepNext/>
              <w:keepLines/>
              <w:jc w:val="center"/>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 </w:t>
            </w:r>
            <w:r w:rsidRPr="005A78AC">
              <w:rPr>
                <w:rFonts w:ascii="Calibri" w:eastAsia="Times New Roman" w:hAnsi="Calibri" w:cs="Calibri"/>
                <w:color w:val="000000"/>
                <w:sz w:val="18"/>
                <w:szCs w:val="18"/>
                <w:lang w:eastAsia="en-AU"/>
              </w:rPr>
              <w:t>e</w:t>
            </w:r>
          </w:p>
        </w:tc>
        <w:tc>
          <w:tcPr>
            <w:tcW w:w="2314" w:type="pct"/>
            <w:gridSpan w:val="2"/>
            <w:tcBorders>
              <w:top w:val="nil"/>
              <w:left w:val="nil"/>
              <w:bottom w:val="nil"/>
              <w:right w:val="nil"/>
            </w:tcBorders>
            <w:shd w:val="clear" w:color="auto" w:fill="auto"/>
            <w:vAlign w:val="center"/>
            <w:hideMark/>
          </w:tcPr>
          <w:p w14:paraId="20C4FD94"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Implementation (tags, readers, labour)</w:t>
            </w:r>
          </w:p>
        </w:tc>
        <w:tc>
          <w:tcPr>
            <w:tcW w:w="577" w:type="pct"/>
            <w:tcBorders>
              <w:top w:val="nil"/>
              <w:left w:val="nil"/>
              <w:bottom w:val="nil"/>
              <w:right w:val="nil"/>
            </w:tcBorders>
            <w:shd w:val="clear" w:color="auto" w:fill="auto"/>
            <w:vAlign w:val="center"/>
            <w:hideMark/>
          </w:tcPr>
          <w:p w14:paraId="4040D58F"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$45</w:t>
            </w:r>
          </w:p>
        </w:tc>
        <w:tc>
          <w:tcPr>
            <w:tcW w:w="578" w:type="pct"/>
            <w:tcBorders>
              <w:top w:val="nil"/>
              <w:left w:val="nil"/>
              <w:bottom w:val="nil"/>
              <w:right w:val="nil"/>
            </w:tcBorders>
            <w:shd w:val="clear" w:color="auto" w:fill="auto"/>
            <w:vAlign w:val="center"/>
            <w:hideMark/>
          </w:tcPr>
          <w:p w14:paraId="124DA1AC"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$45</w:t>
            </w:r>
          </w:p>
        </w:tc>
        <w:tc>
          <w:tcPr>
            <w:tcW w:w="578" w:type="pct"/>
            <w:tcBorders>
              <w:top w:val="nil"/>
              <w:left w:val="nil"/>
              <w:bottom w:val="nil"/>
              <w:right w:val="nil"/>
            </w:tcBorders>
            <w:shd w:val="clear" w:color="auto" w:fill="auto"/>
            <w:vAlign w:val="center"/>
            <w:hideMark/>
          </w:tcPr>
          <w:p w14:paraId="47400B57"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$45</w:t>
            </w:r>
          </w:p>
        </w:tc>
        <w:tc>
          <w:tcPr>
            <w:tcW w:w="576" w:type="pct"/>
            <w:tcBorders>
              <w:top w:val="nil"/>
              <w:left w:val="nil"/>
              <w:bottom w:val="nil"/>
              <w:right w:val="nil"/>
            </w:tcBorders>
            <w:shd w:val="clear" w:color="auto" w:fill="auto"/>
            <w:vAlign w:val="center"/>
            <w:hideMark/>
          </w:tcPr>
          <w:p w14:paraId="7EFFE9DC"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$45</w:t>
            </w:r>
          </w:p>
        </w:tc>
      </w:tr>
      <w:tr w:rsidR="000434EF" w:rsidRPr="00174FC6" w14:paraId="143EB65B" w14:textId="77777777" w:rsidTr="00375536">
        <w:trPr>
          <w:trHeight w:val="300"/>
        </w:trPr>
        <w:tc>
          <w:tcPr>
            <w:tcW w:w="377" w:type="pct"/>
            <w:tcBorders>
              <w:top w:val="nil"/>
              <w:bottom w:val="nil"/>
              <w:right w:val="nil"/>
            </w:tcBorders>
            <w:shd w:val="clear" w:color="auto" w:fill="auto"/>
            <w:vAlign w:val="center"/>
            <w:hideMark/>
          </w:tcPr>
          <w:p w14:paraId="493475A2" w14:textId="31792926" w:rsidR="00174FC6" w:rsidRPr="00174FC6" w:rsidRDefault="005A78AC" w:rsidP="00F84023">
            <w:pPr>
              <w:keepNext/>
              <w:keepLines/>
              <w:jc w:val="center"/>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 </w:t>
            </w:r>
            <w:r w:rsidRPr="005A78AC">
              <w:rPr>
                <w:rFonts w:ascii="Calibri" w:eastAsia="Times New Roman" w:hAnsi="Calibri" w:cs="Calibri"/>
                <w:color w:val="000000"/>
                <w:sz w:val="18"/>
                <w:szCs w:val="18"/>
                <w:lang w:eastAsia="en-AU"/>
              </w:rPr>
              <w:t>e</w:t>
            </w:r>
          </w:p>
        </w:tc>
        <w:tc>
          <w:tcPr>
            <w:tcW w:w="2314" w:type="pct"/>
            <w:gridSpan w:val="2"/>
            <w:tcBorders>
              <w:top w:val="nil"/>
              <w:left w:val="nil"/>
              <w:bottom w:val="nil"/>
              <w:right w:val="nil"/>
            </w:tcBorders>
            <w:shd w:val="clear" w:color="auto" w:fill="auto"/>
            <w:vAlign w:val="center"/>
            <w:hideMark/>
          </w:tcPr>
          <w:p w14:paraId="7C919BC5"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Implementation (genotyping – beef)</w:t>
            </w:r>
          </w:p>
        </w:tc>
        <w:tc>
          <w:tcPr>
            <w:tcW w:w="577" w:type="pct"/>
            <w:tcBorders>
              <w:top w:val="nil"/>
              <w:left w:val="nil"/>
              <w:bottom w:val="nil"/>
              <w:right w:val="nil"/>
            </w:tcBorders>
            <w:shd w:val="clear" w:color="auto" w:fill="auto"/>
            <w:vAlign w:val="center"/>
            <w:hideMark/>
          </w:tcPr>
          <w:p w14:paraId="7911BF30"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38E0808F"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$111</w:t>
            </w:r>
          </w:p>
        </w:tc>
        <w:tc>
          <w:tcPr>
            <w:tcW w:w="578" w:type="pct"/>
            <w:tcBorders>
              <w:top w:val="nil"/>
              <w:left w:val="nil"/>
              <w:bottom w:val="nil"/>
              <w:right w:val="nil"/>
            </w:tcBorders>
            <w:shd w:val="clear" w:color="auto" w:fill="auto"/>
            <w:vAlign w:val="center"/>
            <w:hideMark/>
          </w:tcPr>
          <w:p w14:paraId="17B0CBFD"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$223</w:t>
            </w:r>
          </w:p>
        </w:tc>
        <w:tc>
          <w:tcPr>
            <w:tcW w:w="576" w:type="pct"/>
            <w:tcBorders>
              <w:top w:val="nil"/>
              <w:left w:val="nil"/>
              <w:bottom w:val="nil"/>
              <w:right w:val="nil"/>
            </w:tcBorders>
            <w:shd w:val="clear" w:color="auto" w:fill="auto"/>
            <w:vAlign w:val="center"/>
            <w:hideMark/>
          </w:tcPr>
          <w:p w14:paraId="748E5ACF"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$3</w:t>
            </w:r>
          </w:p>
        </w:tc>
      </w:tr>
      <w:tr w:rsidR="000434EF" w:rsidRPr="00174FC6" w14:paraId="4CF420DE" w14:textId="77777777" w:rsidTr="00375536">
        <w:trPr>
          <w:trHeight w:val="300"/>
        </w:trPr>
        <w:tc>
          <w:tcPr>
            <w:tcW w:w="377" w:type="pct"/>
            <w:tcBorders>
              <w:top w:val="nil"/>
              <w:bottom w:val="nil"/>
              <w:right w:val="nil"/>
            </w:tcBorders>
            <w:shd w:val="clear" w:color="auto" w:fill="auto"/>
            <w:vAlign w:val="center"/>
            <w:hideMark/>
          </w:tcPr>
          <w:p w14:paraId="44E67DFA" w14:textId="428E30F3"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 </w:t>
            </w:r>
          </w:p>
        </w:tc>
        <w:tc>
          <w:tcPr>
            <w:tcW w:w="2314" w:type="pct"/>
            <w:gridSpan w:val="2"/>
            <w:tcBorders>
              <w:top w:val="nil"/>
              <w:left w:val="nil"/>
              <w:bottom w:val="nil"/>
              <w:right w:val="nil"/>
            </w:tcBorders>
            <w:shd w:val="clear" w:color="auto" w:fill="auto"/>
            <w:vAlign w:val="center"/>
            <w:hideMark/>
          </w:tcPr>
          <w:p w14:paraId="597BAD25" w14:textId="77777777" w:rsidR="00174FC6" w:rsidRPr="00174FC6" w:rsidRDefault="00174FC6" w:rsidP="00F84023">
            <w:pPr>
              <w:keepNext/>
              <w:keepLines/>
              <w:jc w:val="right"/>
              <w:rPr>
                <w:rFonts w:ascii="Calibri" w:eastAsia="Times New Roman" w:hAnsi="Calibri" w:cs="Calibri"/>
                <w:color w:val="000000"/>
                <w:lang w:eastAsia="en-AU"/>
              </w:rPr>
            </w:pPr>
          </w:p>
        </w:tc>
        <w:tc>
          <w:tcPr>
            <w:tcW w:w="577" w:type="pct"/>
            <w:tcBorders>
              <w:top w:val="nil"/>
              <w:left w:val="nil"/>
              <w:bottom w:val="nil"/>
              <w:right w:val="nil"/>
            </w:tcBorders>
            <w:shd w:val="clear" w:color="auto" w:fill="auto"/>
            <w:vAlign w:val="center"/>
            <w:hideMark/>
          </w:tcPr>
          <w:p w14:paraId="78AE4FA9"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8" w:type="pct"/>
            <w:tcBorders>
              <w:top w:val="nil"/>
              <w:left w:val="nil"/>
              <w:bottom w:val="nil"/>
              <w:right w:val="nil"/>
            </w:tcBorders>
            <w:shd w:val="clear" w:color="auto" w:fill="auto"/>
            <w:vAlign w:val="center"/>
            <w:hideMark/>
          </w:tcPr>
          <w:p w14:paraId="523303D3"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8" w:type="pct"/>
            <w:tcBorders>
              <w:top w:val="nil"/>
              <w:left w:val="nil"/>
              <w:bottom w:val="nil"/>
              <w:right w:val="nil"/>
            </w:tcBorders>
            <w:shd w:val="clear" w:color="auto" w:fill="auto"/>
            <w:vAlign w:val="center"/>
            <w:hideMark/>
          </w:tcPr>
          <w:p w14:paraId="0A269231"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6" w:type="pct"/>
            <w:tcBorders>
              <w:top w:val="nil"/>
              <w:left w:val="nil"/>
              <w:bottom w:val="nil"/>
              <w:right w:val="nil"/>
            </w:tcBorders>
            <w:shd w:val="clear" w:color="auto" w:fill="auto"/>
            <w:vAlign w:val="center"/>
            <w:hideMark/>
          </w:tcPr>
          <w:p w14:paraId="04C321CB" w14:textId="77777777" w:rsidR="00174FC6" w:rsidRPr="00174FC6" w:rsidRDefault="00174FC6" w:rsidP="00F84023">
            <w:pPr>
              <w:keepNext/>
              <w:keepLines/>
              <w:rPr>
                <w:rFonts w:ascii="Times New Roman" w:eastAsia="Times New Roman" w:hAnsi="Times New Roman" w:cs="Times New Roman"/>
                <w:sz w:val="20"/>
                <w:szCs w:val="20"/>
                <w:lang w:eastAsia="en-AU"/>
              </w:rPr>
            </w:pPr>
          </w:p>
        </w:tc>
      </w:tr>
      <w:tr w:rsidR="00BE693D" w:rsidRPr="00174FC6" w14:paraId="6B3BA363" w14:textId="77777777" w:rsidTr="00375536">
        <w:trPr>
          <w:trHeight w:val="300"/>
        </w:trPr>
        <w:tc>
          <w:tcPr>
            <w:tcW w:w="2691" w:type="pct"/>
            <w:gridSpan w:val="3"/>
            <w:tcBorders>
              <w:top w:val="nil"/>
              <w:bottom w:val="nil"/>
              <w:right w:val="nil"/>
            </w:tcBorders>
            <w:shd w:val="clear" w:color="auto" w:fill="auto"/>
            <w:vAlign w:val="center"/>
            <w:hideMark/>
          </w:tcPr>
          <w:p w14:paraId="4C9DC05C" w14:textId="2F416887" w:rsidR="00174FC6" w:rsidRPr="00174FC6" w:rsidRDefault="00174FC6" w:rsidP="00F84023">
            <w:pPr>
              <w:keepNext/>
              <w:keepLines/>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Benefit ($m p.a., industry – beef)</w:t>
            </w:r>
          </w:p>
        </w:tc>
        <w:tc>
          <w:tcPr>
            <w:tcW w:w="577" w:type="pct"/>
            <w:tcBorders>
              <w:top w:val="nil"/>
              <w:left w:val="nil"/>
              <w:bottom w:val="nil"/>
              <w:right w:val="nil"/>
            </w:tcBorders>
            <w:shd w:val="clear" w:color="auto" w:fill="auto"/>
            <w:vAlign w:val="center"/>
            <w:hideMark/>
          </w:tcPr>
          <w:p w14:paraId="5AE96FD9" w14:textId="77777777" w:rsidR="00174FC6" w:rsidRPr="00174FC6" w:rsidRDefault="00174FC6" w:rsidP="00F84023">
            <w:pPr>
              <w:keepNext/>
              <w:keepLines/>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center"/>
            <w:hideMark/>
          </w:tcPr>
          <w:p w14:paraId="4874BD49" w14:textId="77777777" w:rsidR="00174FC6" w:rsidRPr="00174FC6" w:rsidRDefault="00174FC6" w:rsidP="00F84023">
            <w:pPr>
              <w:keepNext/>
              <w:keepLines/>
              <w:jc w:val="right"/>
              <w:rPr>
                <w:rFonts w:ascii="Times New Roman" w:eastAsia="Times New Roman" w:hAnsi="Times New Roman" w:cs="Times New Roman"/>
                <w:sz w:val="20"/>
                <w:szCs w:val="20"/>
                <w:lang w:eastAsia="en-AU"/>
              </w:rPr>
            </w:pPr>
          </w:p>
        </w:tc>
        <w:tc>
          <w:tcPr>
            <w:tcW w:w="578" w:type="pct"/>
            <w:tcBorders>
              <w:top w:val="nil"/>
              <w:left w:val="nil"/>
              <w:bottom w:val="nil"/>
              <w:right w:val="nil"/>
            </w:tcBorders>
            <w:shd w:val="clear" w:color="auto" w:fill="auto"/>
            <w:vAlign w:val="center"/>
            <w:hideMark/>
          </w:tcPr>
          <w:p w14:paraId="418E711C"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6" w:type="pct"/>
            <w:tcBorders>
              <w:top w:val="nil"/>
              <w:left w:val="nil"/>
              <w:bottom w:val="nil"/>
              <w:right w:val="nil"/>
            </w:tcBorders>
            <w:shd w:val="clear" w:color="auto" w:fill="auto"/>
            <w:vAlign w:val="center"/>
            <w:hideMark/>
          </w:tcPr>
          <w:p w14:paraId="109625FA" w14:textId="77777777" w:rsidR="00174FC6" w:rsidRPr="00174FC6" w:rsidRDefault="00174FC6" w:rsidP="00F84023">
            <w:pPr>
              <w:keepNext/>
              <w:keepLines/>
              <w:rPr>
                <w:rFonts w:ascii="Times New Roman" w:eastAsia="Times New Roman" w:hAnsi="Times New Roman" w:cs="Times New Roman"/>
                <w:sz w:val="20"/>
                <w:szCs w:val="20"/>
                <w:lang w:eastAsia="en-AU"/>
              </w:rPr>
            </w:pPr>
          </w:p>
        </w:tc>
      </w:tr>
      <w:tr w:rsidR="000434EF" w:rsidRPr="00174FC6" w14:paraId="067321EA" w14:textId="77777777" w:rsidTr="00375536">
        <w:trPr>
          <w:trHeight w:val="300"/>
        </w:trPr>
        <w:tc>
          <w:tcPr>
            <w:tcW w:w="377" w:type="pct"/>
            <w:tcBorders>
              <w:top w:val="nil"/>
              <w:bottom w:val="nil"/>
              <w:right w:val="nil"/>
            </w:tcBorders>
            <w:shd w:val="clear" w:color="auto" w:fill="auto"/>
            <w:vAlign w:val="center"/>
            <w:hideMark/>
          </w:tcPr>
          <w:p w14:paraId="69F7F650" w14:textId="486CA4EE" w:rsidR="00174FC6" w:rsidRPr="00174FC6" w:rsidRDefault="005A78AC" w:rsidP="00F84023">
            <w:pPr>
              <w:keepNext/>
              <w:keepLines/>
              <w:jc w:val="center"/>
              <w:rPr>
                <w:rFonts w:ascii="Calibri" w:eastAsia="Times New Roman" w:hAnsi="Calibri" w:cs="Calibri"/>
                <w:color w:val="000000"/>
                <w:sz w:val="18"/>
                <w:szCs w:val="18"/>
                <w:lang w:eastAsia="en-AU"/>
              </w:rPr>
            </w:pPr>
            <w:r w:rsidRPr="00174FC6">
              <w:rPr>
                <w:rFonts w:ascii="Calibri" w:eastAsia="Times New Roman" w:hAnsi="Calibri" w:cs="Calibri"/>
                <w:color w:val="000000"/>
                <w:sz w:val="18"/>
                <w:szCs w:val="18"/>
                <w:lang w:eastAsia="en-AU"/>
              </w:rPr>
              <w:t> </w:t>
            </w:r>
            <w:r w:rsidRPr="005A78AC">
              <w:rPr>
                <w:rFonts w:ascii="Calibri" w:eastAsia="Times New Roman" w:hAnsi="Calibri" w:cs="Calibri"/>
                <w:color w:val="000000"/>
                <w:sz w:val="18"/>
                <w:szCs w:val="18"/>
                <w:lang w:eastAsia="en-AU"/>
              </w:rPr>
              <w:t>e</w:t>
            </w:r>
          </w:p>
        </w:tc>
        <w:tc>
          <w:tcPr>
            <w:tcW w:w="2314" w:type="pct"/>
            <w:gridSpan w:val="2"/>
            <w:tcBorders>
              <w:top w:val="nil"/>
              <w:left w:val="nil"/>
              <w:bottom w:val="nil"/>
              <w:right w:val="nil"/>
            </w:tcBorders>
            <w:shd w:val="clear" w:color="auto" w:fill="auto"/>
            <w:vAlign w:val="center"/>
            <w:hideMark/>
          </w:tcPr>
          <w:p w14:paraId="68B143E3"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Traceability (v pre-NLIS)</w:t>
            </w:r>
          </w:p>
        </w:tc>
        <w:tc>
          <w:tcPr>
            <w:tcW w:w="577" w:type="pct"/>
            <w:tcBorders>
              <w:top w:val="nil"/>
              <w:left w:val="nil"/>
              <w:bottom w:val="nil"/>
              <w:right w:val="nil"/>
            </w:tcBorders>
            <w:shd w:val="clear" w:color="auto" w:fill="auto"/>
            <w:vAlign w:val="center"/>
            <w:hideMark/>
          </w:tcPr>
          <w:p w14:paraId="738639B9"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$468</w:t>
            </w:r>
          </w:p>
        </w:tc>
        <w:tc>
          <w:tcPr>
            <w:tcW w:w="578" w:type="pct"/>
            <w:tcBorders>
              <w:top w:val="nil"/>
              <w:left w:val="nil"/>
              <w:bottom w:val="nil"/>
              <w:right w:val="nil"/>
            </w:tcBorders>
            <w:shd w:val="clear" w:color="auto" w:fill="auto"/>
            <w:vAlign w:val="center"/>
            <w:hideMark/>
          </w:tcPr>
          <w:p w14:paraId="7F615B60"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$626</w:t>
            </w:r>
          </w:p>
        </w:tc>
        <w:tc>
          <w:tcPr>
            <w:tcW w:w="578" w:type="pct"/>
            <w:tcBorders>
              <w:top w:val="nil"/>
              <w:left w:val="nil"/>
              <w:bottom w:val="nil"/>
              <w:right w:val="nil"/>
            </w:tcBorders>
            <w:shd w:val="clear" w:color="auto" w:fill="auto"/>
            <w:vAlign w:val="center"/>
            <w:hideMark/>
          </w:tcPr>
          <w:p w14:paraId="54FB64BD"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$665</w:t>
            </w:r>
          </w:p>
        </w:tc>
        <w:tc>
          <w:tcPr>
            <w:tcW w:w="576" w:type="pct"/>
            <w:tcBorders>
              <w:top w:val="nil"/>
              <w:left w:val="nil"/>
              <w:bottom w:val="nil"/>
              <w:right w:val="nil"/>
            </w:tcBorders>
            <w:shd w:val="clear" w:color="auto" w:fill="auto"/>
            <w:vAlign w:val="center"/>
            <w:hideMark/>
          </w:tcPr>
          <w:p w14:paraId="4B549208"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$626</w:t>
            </w:r>
          </w:p>
        </w:tc>
      </w:tr>
      <w:tr w:rsidR="000434EF" w:rsidRPr="00174FC6" w14:paraId="0C05A1C5" w14:textId="77777777" w:rsidTr="00375536">
        <w:trPr>
          <w:trHeight w:val="300"/>
        </w:trPr>
        <w:tc>
          <w:tcPr>
            <w:tcW w:w="377" w:type="pct"/>
            <w:tcBorders>
              <w:top w:val="nil"/>
              <w:bottom w:val="nil"/>
              <w:right w:val="nil"/>
            </w:tcBorders>
            <w:shd w:val="clear" w:color="auto" w:fill="auto"/>
            <w:vAlign w:val="center"/>
            <w:hideMark/>
          </w:tcPr>
          <w:p w14:paraId="09E8BBCB" w14:textId="034CF476" w:rsidR="00174FC6" w:rsidRPr="00174FC6" w:rsidRDefault="003F4AD0" w:rsidP="00F84023">
            <w:pPr>
              <w:keepNext/>
              <w:keepLines/>
              <w:jc w:val="center"/>
              <w:rPr>
                <w:rFonts w:ascii="Segoe UI" w:eastAsia="Times New Roman" w:hAnsi="Segoe UI" w:cs="Segoe UI"/>
                <w:color w:val="000000"/>
                <w:sz w:val="18"/>
                <w:szCs w:val="18"/>
                <w:lang w:eastAsia="en-AU"/>
              </w:rPr>
            </w:pPr>
            <w:r>
              <w:rPr>
                <w:rFonts w:ascii="Segoe UI" w:eastAsia="Times New Roman" w:hAnsi="Segoe UI" w:cs="Segoe UI"/>
                <w:color w:val="000000"/>
                <w:sz w:val="18"/>
                <w:szCs w:val="18"/>
                <w:lang w:eastAsia="en-AU"/>
              </w:rPr>
              <w:t>f</w:t>
            </w:r>
          </w:p>
        </w:tc>
        <w:tc>
          <w:tcPr>
            <w:tcW w:w="2314" w:type="pct"/>
            <w:gridSpan w:val="2"/>
            <w:tcBorders>
              <w:top w:val="nil"/>
              <w:left w:val="nil"/>
              <w:bottom w:val="nil"/>
              <w:right w:val="nil"/>
            </w:tcBorders>
            <w:shd w:val="clear" w:color="auto" w:fill="auto"/>
            <w:vAlign w:val="center"/>
            <w:hideMark/>
          </w:tcPr>
          <w:p w14:paraId="40790D8C"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Faster genetic progress due to data</w:t>
            </w:r>
          </w:p>
        </w:tc>
        <w:tc>
          <w:tcPr>
            <w:tcW w:w="577" w:type="pct"/>
            <w:tcBorders>
              <w:top w:val="nil"/>
              <w:left w:val="nil"/>
              <w:bottom w:val="nil"/>
              <w:right w:val="nil"/>
            </w:tcBorders>
            <w:shd w:val="clear" w:color="auto" w:fill="auto"/>
            <w:vAlign w:val="center"/>
            <w:hideMark/>
          </w:tcPr>
          <w:p w14:paraId="7F09938A"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2D6E139D"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$20</w:t>
            </w:r>
          </w:p>
        </w:tc>
        <w:tc>
          <w:tcPr>
            <w:tcW w:w="578" w:type="pct"/>
            <w:tcBorders>
              <w:top w:val="nil"/>
              <w:left w:val="nil"/>
              <w:bottom w:val="nil"/>
              <w:right w:val="nil"/>
            </w:tcBorders>
            <w:shd w:val="clear" w:color="auto" w:fill="auto"/>
            <w:vAlign w:val="center"/>
            <w:hideMark/>
          </w:tcPr>
          <w:p w14:paraId="72F338E3"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$34</w:t>
            </w:r>
          </w:p>
        </w:tc>
        <w:tc>
          <w:tcPr>
            <w:tcW w:w="576" w:type="pct"/>
            <w:tcBorders>
              <w:top w:val="nil"/>
              <w:left w:val="nil"/>
              <w:bottom w:val="nil"/>
              <w:right w:val="nil"/>
            </w:tcBorders>
            <w:shd w:val="clear" w:color="auto" w:fill="auto"/>
            <w:vAlign w:val="center"/>
            <w:hideMark/>
          </w:tcPr>
          <w:p w14:paraId="77DA47E9"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w:t>
            </w:r>
          </w:p>
        </w:tc>
      </w:tr>
      <w:tr w:rsidR="000434EF" w:rsidRPr="00174FC6" w14:paraId="30FE182C" w14:textId="77777777" w:rsidTr="00375536">
        <w:trPr>
          <w:trHeight w:val="300"/>
        </w:trPr>
        <w:tc>
          <w:tcPr>
            <w:tcW w:w="377" w:type="pct"/>
            <w:tcBorders>
              <w:top w:val="nil"/>
              <w:bottom w:val="nil"/>
              <w:right w:val="nil"/>
            </w:tcBorders>
            <w:shd w:val="clear" w:color="auto" w:fill="auto"/>
            <w:vAlign w:val="center"/>
            <w:hideMark/>
          </w:tcPr>
          <w:p w14:paraId="4F1BBA3D" w14:textId="690614BE" w:rsidR="00174FC6" w:rsidRPr="00174FC6" w:rsidRDefault="003F4AD0" w:rsidP="00F84023">
            <w:pPr>
              <w:keepNext/>
              <w:keepLines/>
              <w:jc w:val="center"/>
              <w:rPr>
                <w:rFonts w:ascii="Segoe UI" w:eastAsia="Times New Roman" w:hAnsi="Segoe UI" w:cs="Segoe UI"/>
                <w:color w:val="000000"/>
                <w:sz w:val="18"/>
                <w:szCs w:val="18"/>
                <w:lang w:eastAsia="en-AU"/>
              </w:rPr>
            </w:pPr>
            <w:r>
              <w:rPr>
                <w:rFonts w:ascii="Segoe UI" w:eastAsia="Times New Roman" w:hAnsi="Segoe UI" w:cs="Segoe UI"/>
                <w:color w:val="000000"/>
                <w:sz w:val="18"/>
                <w:szCs w:val="18"/>
                <w:lang w:eastAsia="en-AU"/>
              </w:rPr>
              <w:t>g</w:t>
            </w:r>
          </w:p>
        </w:tc>
        <w:tc>
          <w:tcPr>
            <w:tcW w:w="2314" w:type="pct"/>
            <w:gridSpan w:val="2"/>
            <w:tcBorders>
              <w:top w:val="nil"/>
              <w:left w:val="nil"/>
              <w:bottom w:val="nil"/>
              <w:right w:val="nil"/>
            </w:tcBorders>
            <w:shd w:val="clear" w:color="auto" w:fill="auto"/>
            <w:vAlign w:val="center"/>
            <w:hideMark/>
          </w:tcPr>
          <w:p w14:paraId="75C48E6C"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Genomic screening – SF steers</w:t>
            </w:r>
          </w:p>
        </w:tc>
        <w:tc>
          <w:tcPr>
            <w:tcW w:w="577" w:type="pct"/>
            <w:tcBorders>
              <w:top w:val="nil"/>
              <w:left w:val="nil"/>
              <w:bottom w:val="nil"/>
              <w:right w:val="nil"/>
            </w:tcBorders>
            <w:shd w:val="clear" w:color="auto" w:fill="auto"/>
            <w:vAlign w:val="center"/>
            <w:hideMark/>
          </w:tcPr>
          <w:p w14:paraId="1098C464"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4FB2ED3F" w14:textId="77777777" w:rsidR="00174FC6" w:rsidRPr="00174FC6" w:rsidRDefault="00174FC6" w:rsidP="00F84023">
            <w:pPr>
              <w:keepNext/>
              <w:keepLines/>
              <w:jc w:val="right"/>
              <w:rPr>
                <w:rFonts w:ascii="Calibri" w:eastAsia="Times New Roman" w:hAnsi="Calibri" w:cs="Calibri"/>
                <w:lang w:eastAsia="en-AU"/>
              </w:rPr>
            </w:pPr>
            <w:r w:rsidRPr="00174FC6">
              <w:rPr>
                <w:rFonts w:ascii="Calibri" w:eastAsia="Times New Roman" w:hAnsi="Calibri" w:cs="Calibri"/>
                <w:lang w:eastAsia="en-AU"/>
              </w:rPr>
              <w:t>$11</w:t>
            </w:r>
          </w:p>
        </w:tc>
        <w:tc>
          <w:tcPr>
            <w:tcW w:w="578" w:type="pct"/>
            <w:tcBorders>
              <w:top w:val="nil"/>
              <w:left w:val="nil"/>
              <w:bottom w:val="nil"/>
              <w:right w:val="nil"/>
            </w:tcBorders>
            <w:shd w:val="clear" w:color="auto" w:fill="auto"/>
            <w:vAlign w:val="center"/>
            <w:hideMark/>
          </w:tcPr>
          <w:p w14:paraId="1E445737" w14:textId="77777777" w:rsidR="00174FC6" w:rsidRPr="00174FC6" w:rsidRDefault="00174FC6" w:rsidP="00F84023">
            <w:pPr>
              <w:keepNext/>
              <w:keepLines/>
              <w:jc w:val="right"/>
              <w:rPr>
                <w:rFonts w:ascii="Calibri" w:eastAsia="Times New Roman" w:hAnsi="Calibri" w:cs="Calibri"/>
                <w:lang w:eastAsia="en-AU"/>
              </w:rPr>
            </w:pPr>
            <w:r w:rsidRPr="00174FC6">
              <w:rPr>
                <w:rFonts w:ascii="Calibri" w:eastAsia="Times New Roman" w:hAnsi="Calibri" w:cs="Calibri"/>
                <w:lang w:eastAsia="en-AU"/>
              </w:rPr>
              <w:t>$28</w:t>
            </w:r>
          </w:p>
        </w:tc>
        <w:tc>
          <w:tcPr>
            <w:tcW w:w="576" w:type="pct"/>
            <w:tcBorders>
              <w:top w:val="nil"/>
              <w:left w:val="nil"/>
              <w:bottom w:val="nil"/>
              <w:right w:val="nil"/>
            </w:tcBorders>
            <w:shd w:val="clear" w:color="auto" w:fill="auto"/>
            <w:vAlign w:val="center"/>
            <w:hideMark/>
          </w:tcPr>
          <w:p w14:paraId="3ED29DD7"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w:t>
            </w:r>
          </w:p>
        </w:tc>
      </w:tr>
      <w:tr w:rsidR="000434EF" w:rsidRPr="00174FC6" w14:paraId="2AD7F2FA" w14:textId="77777777" w:rsidTr="00375536">
        <w:trPr>
          <w:trHeight w:val="300"/>
        </w:trPr>
        <w:tc>
          <w:tcPr>
            <w:tcW w:w="377" w:type="pct"/>
            <w:tcBorders>
              <w:top w:val="nil"/>
              <w:bottom w:val="nil"/>
              <w:right w:val="nil"/>
            </w:tcBorders>
            <w:shd w:val="clear" w:color="auto" w:fill="auto"/>
            <w:vAlign w:val="center"/>
            <w:hideMark/>
          </w:tcPr>
          <w:p w14:paraId="1EF22C60" w14:textId="39CFB8F0" w:rsidR="00174FC6" w:rsidRPr="00174FC6" w:rsidRDefault="000E57D1" w:rsidP="00F84023">
            <w:pPr>
              <w:keepNext/>
              <w:keepLines/>
              <w:jc w:val="center"/>
              <w:rPr>
                <w:rFonts w:ascii="Segoe UI" w:eastAsia="Times New Roman" w:hAnsi="Segoe UI" w:cs="Segoe UI"/>
                <w:color w:val="000000"/>
                <w:sz w:val="18"/>
                <w:szCs w:val="18"/>
                <w:lang w:eastAsia="en-AU"/>
              </w:rPr>
            </w:pPr>
            <w:r>
              <w:rPr>
                <w:rFonts w:ascii="Segoe UI" w:eastAsia="Times New Roman" w:hAnsi="Segoe UI" w:cs="Segoe UI"/>
                <w:color w:val="000000"/>
                <w:sz w:val="18"/>
                <w:szCs w:val="18"/>
                <w:lang w:eastAsia="en-AU"/>
              </w:rPr>
              <w:t>g</w:t>
            </w:r>
          </w:p>
        </w:tc>
        <w:tc>
          <w:tcPr>
            <w:tcW w:w="2314" w:type="pct"/>
            <w:gridSpan w:val="2"/>
            <w:tcBorders>
              <w:top w:val="nil"/>
              <w:left w:val="nil"/>
              <w:bottom w:val="nil"/>
              <w:right w:val="nil"/>
            </w:tcBorders>
            <w:shd w:val="clear" w:color="auto" w:fill="auto"/>
            <w:vAlign w:val="center"/>
            <w:hideMark/>
          </w:tcPr>
          <w:p w14:paraId="4B9D10ED"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Genomic screening – LF steers</w:t>
            </w:r>
          </w:p>
        </w:tc>
        <w:tc>
          <w:tcPr>
            <w:tcW w:w="577" w:type="pct"/>
            <w:tcBorders>
              <w:top w:val="nil"/>
              <w:left w:val="nil"/>
              <w:bottom w:val="nil"/>
              <w:right w:val="nil"/>
            </w:tcBorders>
            <w:shd w:val="clear" w:color="auto" w:fill="auto"/>
            <w:vAlign w:val="center"/>
            <w:hideMark/>
          </w:tcPr>
          <w:p w14:paraId="639F3AD3"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6EA08B9D" w14:textId="77777777" w:rsidR="00174FC6" w:rsidRPr="00174FC6" w:rsidRDefault="00174FC6" w:rsidP="00F84023">
            <w:pPr>
              <w:keepNext/>
              <w:keepLines/>
              <w:jc w:val="right"/>
              <w:rPr>
                <w:rFonts w:ascii="Calibri" w:eastAsia="Times New Roman" w:hAnsi="Calibri" w:cs="Calibri"/>
                <w:lang w:eastAsia="en-AU"/>
              </w:rPr>
            </w:pPr>
            <w:r w:rsidRPr="00174FC6">
              <w:rPr>
                <w:rFonts w:ascii="Calibri" w:eastAsia="Times New Roman" w:hAnsi="Calibri" w:cs="Calibri"/>
                <w:lang w:eastAsia="en-AU"/>
              </w:rPr>
              <w:t>$19</w:t>
            </w:r>
          </w:p>
        </w:tc>
        <w:tc>
          <w:tcPr>
            <w:tcW w:w="578" w:type="pct"/>
            <w:tcBorders>
              <w:top w:val="nil"/>
              <w:left w:val="nil"/>
              <w:bottom w:val="nil"/>
              <w:right w:val="nil"/>
            </w:tcBorders>
            <w:shd w:val="clear" w:color="auto" w:fill="auto"/>
            <w:vAlign w:val="center"/>
            <w:hideMark/>
          </w:tcPr>
          <w:p w14:paraId="2018F382" w14:textId="77777777" w:rsidR="00174FC6" w:rsidRPr="00174FC6" w:rsidRDefault="00174FC6" w:rsidP="00F84023">
            <w:pPr>
              <w:keepNext/>
              <w:keepLines/>
              <w:jc w:val="right"/>
              <w:rPr>
                <w:rFonts w:ascii="Calibri" w:eastAsia="Times New Roman" w:hAnsi="Calibri" w:cs="Calibri"/>
                <w:lang w:eastAsia="en-AU"/>
              </w:rPr>
            </w:pPr>
            <w:r w:rsidRPr="00174FC6">
              <w:rPr>
                <w:rFonts w:ascii="Calibri" w:eastAsia="Times New Roman" w:hAnsi="Calibri" w:cs="Calibri"/>
                <w:lang w:eastAsia="en-AU"/>
              </w:rPr>
              <w:t>$51</w:t>
            </w:r>
          </w:p>
        </w:tc>
        <w:tc>
          <w:tcPr>
            <w:tcW w:w="576" w:type="pct"/>
            <w:tcBorders>
              <w:top w:val="nil"/>
              <w:left w:val="nil"/>
              <w:bottom w:val="nil"/>
              <w:right w:val="nil"/>
            </w:tcBorders>
            <w:shd w:val="clear" w:color="auto" w:fill="auto"/>
            <w:vAlign w:val="center"/>
            <w:hideMark/>
          </w:tcPr>
          <w:p w14:paraId="7842843C"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w:t>
            </w:r>
          </w:p>
        </w:tc>
      </w:tr>
      <w:tr w:rsidR="000434EF" w:rsidRPr="00174FC6" w14:paraId="549347B4" w14:textId="77777777" w:rsidTr="00375536">
        <w:trPr>
          <w:trHeight w:val="300"/>
        </w:trPr>
        <w:tc>
          <w:tcPr>
            <w:tcW w:w="377" w:type="pct"/>
            <w:tcBorders>
              <w:top w:val="nil"/>
              <w:bottom w:val="nil"/>
              <w:right w:val="nil"/>
            </w:tcBorders>
            <w:shd w:val="clear" w:color="auto" w:fill="auto"/>
            <w:vAlign w:val="center"/>
            <w:hideMark/>
          </w:tcPr>
          <w:p w14:paraId="399119FE" w14:textId="427A1ACF" w:rsidR="00174FC6" w:rsidRPr="00174FC6" w:rsidRDefault="000E57D1" w:rsidP="00F84023">
            <w:pPr>
              <w:keepNext/>
              <w:keepLines/>
              <w:jc w:val="center"/>
              <w:rPr>
                <w:rFonts w:ascii="Segoe UI" w:eastAsia="Times New Roman" w:hAnsi="Segoe UI" w:cs="Segoe UI"/>
                <w:color w:val="000000"/>
                <w:sz w:val="18"/>
                <w:szCs w:val="18"/>
                <w:lang w:eastAsia="en-AU"/>
              </w:rPr>
            </w:pPr>
            <w:r>
              <w:rPr>
                <w:rFonts w:ascii="Segoe UI" w:eastAsia="Times New Roman" w:hAnsi="Segoe UI" w:cs="Segoe UI"/>
                <w:color w:val="000000"/>
                <w:sz w:val="18"/>
                <w:szCs w:val="18"/>
                <w:lang w:eastAsia="en-AU"/>
              </w:rPr>
              <w:t>g</w:t>
            </w:r>
          </w:p>
        </w:tc>
        <w:tc>
          <w:tcPr>
            <w:tcW w:w="2314" w:type="pct"/>
            <w:gridSpan w:val="2"/>
            <w:tcBorders>
              <w:top w:val="nil"/>
              <w:left w:val="nil"/>
              <w:bottom w:val="nil"/>
              <w:right w:val="nil"/>
            </w:tcBorders>
            <w:shd w:val="clear" w:color="auto" w:fill="auto"/>
            <w:vAlign w:val="center"/>
            <w:hideMark/>
          </w:tcPr>
          <w:p w14:paraId="0E9EEF75" w14:textId="77777777" w:rsidR="00174FC6" w:rsidRPr="00174FC6" w:rsidRDefault="00174FC6" w:rsidP="00F84023">
            <w:pPr>
              <w:keepNext/>
              <w:keepLines/>
              <w:rPr>
                <w:rFonts w:ascii="Calibri" w:eastAsia="Times New Roman" w:hAnsi="Calibri" w:cs="Calibri"/>
                <w:color w:val="000000"/>
                <w:lang w:eastAsia="en-AU"/>
              </w:rPr>
            </w:pPr>
            <w:r w:rsidRPr="00174FC6">
              <w:rPr>
                <w:rFonts w:ascii="Calibri" w:eastAsia="Times New Roman" w:hAnsi="Calibri" w:cs="Calibri"/>
                <w:color w:val="000000"/>
                <w:lang w:eastAsia="en-AU"/>
              </w:rPr>
              <w:t>Genomic screening - heifer retention</w:t>
            </w:r>
          </w:p>
        </w:tc>
        <w:tc>
          <w:tcPr>
            <w:tcW w:w="577" w:type="pct"/>
            <w:tcBorders>
              <w:top w:val="nil"/>
              <w:left w:val="nil"/>
              <w:bottom w:val="nil"/>
              <w:right w:val="nil"/>
            </w:tcBorders>
            <w:shd w:val="clear" w:color="auto" w:fill="auto"/>
            <w:vAlign w:val="center"/>
            <w:hideMark/>
          </w:tcPr>
          <w:p w14:paraId="0255083D" w14:textId="77777777" w:rsidR="00174FC6" w:rsidRPr="00174FC6" w:rsidRDefault="00174FC6" w:rsidP="00F84023">
            <w:pPr>
              <w:keepNext/>
              <w:keepLines/>
              <w:rPr>
                <w:rFonts w:ascii="Calibri" w:eastAsia="Times New Roman" w:hAnsi="Calibri" w:cs="Calibri"/>
                <w:color w:val="000000"/>
                <w:lang w:eastAsia="en-AU"/>
              </w:rPr>
            </w:pPr>
          </w:p>
        </w:tc>
        <w:tc>
          <w:tcPr>
            <w:tcW w:w="578" w:type="pct"/>
            <w:tcBorders>
              <w:top w:val="nil"/>
              <w:left w:val="nil"/>
              <w:bottom w:val="nil"/>
              <w:right w:val="nil"/>
            </w:tcBorders>
            <w:shd w:val="clear" w:color="auto" w:fill="auto"/>
            <w:vAlign w:val="center"/>
            <w:hideMark/>
          </w:tcPr>
          <w:p w14:paraId="1329D07F" w14:textId="77777777" w:rsidR="00174FC6" w:rsidRPr="00174FC6" w:rsidRDefault="00174FC6" w:rsidP="00F84023">
            <w:pPr>
              <w:keepNext/>
              <w:keepLines/>
              <w:jc w:val="right"/>
              <w:rPr>
                <w:rFonts w:ascii="Calibri" w:eastAsia="Times New Roman" w:hAnsi="Calibri" w:cs="Calibri"/>
                <w:lang w:eastAsia="en-AU"/>
              </w:rPr>
            </w:pPr>
            <w:r w:rsidRPr="00174FC6">
              <w:rPr>
                <w:rFonts w:ascii="Calibri" w:eastAsia="Times New Roman" w:hAnsi="Calibri" w:cs="Calibri"/>
                <w:lang w:eastAsia="en-AU"/>
              </w:rPr>
              <w:t>$38</w:t>
            </w:r>
          </w:p>
        </w:tc>
        <w:tc>
          <w:tcPr>
            <w:tcW w:w="578" w:type="pct"/>
            <w:tcBorders>
              <w:top w:val="nil"/>
              <w:left w:val="nil"/>
              <w:bottom w:val="nil"/>
              <w:right w:val="nil"/>
            </w:tcBorders>
            <w:shd w:val="clear" w:color="auto" w:fill="auto"/>
            <w:vAlign w:val="center"/>
            <w:hideMark/>
          </w:tcPr>
          <w:p w14:paraId="463064CA" w14:textId="77777777" w:rsidR="00174FC6" w:rsidRPr="00174FC6" w:rsidRDefault="00174FC6" w:rsidP="00F84023">
            <w:pPr>
              <w:keepNext/>
              <w:keepLines/>
              <w:jc w:val="right"/>
              <w:rPr>
                <w:rFonts w:ascii="Calibri" w:eastAsia="Times New Roman" w:hAnsi="Calibri" w:cs="Calibri"/>
                <w:lang w:eastAsia="en-AU"/>
              </w:rPr>
            </w:pPr>
            <w:r w:rsidRPr="00174FC6">
              <w:rPr>
                <w:rFonts w:ascii="Calibri" w:eastAsia="Times New Roman" w:hAnsi="Calibri" w:cs="Calibri"/>
                <w:lang w:eastAsia="en-AU"/>
              </w:rPr>
              <w:t>$101</w:t>
            </w:r>
          </w:p>
        </w:tc>
        <w:tc>
          <w:tcPr>
            <w:tcW w:w="576" w:type="pct"/>
            <w:tcBorders>
              <w:top w:val="nil"/>
              <w:left w:val="nil"/>
              <w:bottom w:val="nil"/>
              <w:right w:val="nil"/>
            </w:tcBorders>
            <w:shd w:val="clear" w:color="auto" w:fill="auto"/>
            <w:vAlign w:val="center"/>
            <w:hideMark/>
          </w:tcPr>
          <w:p w14:paraId="49978342" w14:textId="77777777" w:rsidR="00174FC6" w:rsidRPr="00174FC6" w:rsidRDefault="00174FC6" w:rsidP="00F84023">
            <w:pPr>
              <w:keepNext/>
              <w:keepLines/>
              <w:jc w:val="right"/>
              <w:rPr>
                <w:rFonts w:ascii="Calibri" w:eastAsia="Times New Roman" w:hAnsi="Calibri" w:cs="Calibri"/>
                <w:color w:val="000000"/>
                <w:lang w:eastAsia="en-AU"/>
              </w:rPr>
            </w:pPr>
            <w:r w:rsidRPr="00174FC6">
              <w:rPr>
                <w:rFonts w:ascii="Calibri" w:eastAsia="Times New Roman" w:hAnsi="Calibri" w:cs="Calibri"/>
                <w:color w:val="000000"/>
                <w:lang w:eastAsia="en-AU"/>
              </w:rPr>
              <w:t>-</w:t>
            </w:r>
          </w:p>
        </w:tc>
      </w:tr>
      <w:tr w:rsidR="000434EF" w:rsidRPr="00174FC6" w14:paraId="5647BC36" w14:textId="77777777" w:rsidTr="00375536">
        <w:trPr>
          <w:trHeight w:val="300"/>
        </w:trPr>
        <w:tc>
          <w:tcPr>
            <w:tcW w:w="377" w:type="pct"/>
            <w:tcBorders>
              <w:top w:val="nil"/>
              <w:bottom w:val="nil"/>
              <w:right w:val="nil"/>
            </w:tcBorders>
            <w:shd w:val="clear" w:color="auto" w:fill="auto"/>
            <w:vAlign w:val="center"/>
            <w:hideMark/>
          </w:tcPr>
          <w:p w14:paraId="31329E3B" w14:textId="77777777" w:rsidR="00174FC6" w:rsidRPr="00174FC6" w:rsidRDefault="00174FC6" w:rsidP="00F84023">
            <w:pPr>
              <w:keepNext/>
              <w:keepLines/>
              <w:jc w:val="center"/>
              <w:rPr>
                <w:rFonts w:ascii="Calibri" w:eastAsia="Times New Roman" w:hAnsi="Calibri" w:cs="Calibri"/>
                <w:color w:val="000000"/>
                <w:lang w:eastAsia="en-AU"/>
              </w:rPr>
            </w:pPr>
            <w:r w:rsidRPr="00174FC6">
              <w:rPr>
                <w:rFonts w:ascii="Calibri" w:eastAsia="Times New Roman" w:hAnsi="Calibri" w:cs="Calibri"/>
                <w:color w:val="000000"/>
                <w:lang w:eastAsia="en-AU"/>
              </w:rPr>
              <w:t> </w:t>
            </w:r>
          </w:p>
        </w:tc>
        <w:tc>
          <w:tcPr>
            <w:tcW w:w="2314" w:type="pct"/>
            <w:gridSpan w:val="2"/>
            <w:tcBorders>
              <w:top w:val="nil"/>
              <w:left w:val="nil"/>
              <w:bottom w:val="nil"/>
              <w:right w:val="nil"/>
            </w:tcBorders>
            <w:shd w:val="clear" w:color="auto" w:fill="auto"/>
            <w:vAlign w:val="center"/>
            <w:hideMark/>
          </w:tcPr>
          <w:p w14:paraId="7DED0F1A" w14:textId="77777777" w:rsidR="00174FC6" w:rsidRPr="00174FC6" w:rsidRDefault="00174FC6" w:rsidP="00F84023">
            <w:pPr>
              <w:keepNext/>
              <w:keepLines/>
              <w:jc w:val="center"/>
              <w:rPr>
                <w:rFonts w:ascii="Calibri" w:eastAsia="Times New Roman" w:hAnsi="Calibri" w:cs="Calibri"/>
                <w:color w:val="000000"/>
                <w:lang w:eastAsia="en-AU"/>
              </w:rPr>
            </w:pPr>
          </w:p>
        </w:tc>
        <w:tc>
          <w:tcPr>
            <w:tcW w:w="577" w:type="pct"/>
            <w:tcBorders>
              <w:top w:val="nil"/>
              <w:left w:val="nil"/>
              <w:bottom w:val="nil"/>
              <w:right w:val="nil"/>
            </w:tcBorders>
            <w:shd w:val="clear" w:color="auto" w:fill="auto"/>
            <w:vAlign w:val="center"/>
            <w:hideMark/>
          </w:tcPr>
          <w:p w14:paraId="0A695834" w14:textId="77777777" w:rsidR="00174FC6" w:rsidRPr="00174FC6" w:rsidRDefault="00174FC6" w:rsidP="00F84023">
            <w:pPr>
              <w:keepNext/>
              <w:keepLines/>
              <w:rPr>
                <w:rFonts w:ascii="Times New Roman" w:eastAsia="Times New Roman" w:hAnsi="Times New Roman" w:cs="Times New Roman"/>
                <w:sz w:val="20"/>
                <w:szCs w:val="20"/>
                <w:lang w:eastAsia="en-AU"/>
              </w:rPr>
            </w:pPr>
          </w:p>
        </w:tc>
        <w:tc>
          <w:tcPr>
            <w:tcW w:w="578" w:type="pct"/>
            <w:tcBorders>
              <w:top w:val="nil"/>
              <w:left w:val="nil"/>
              <w:bottom w:val="nil"/>
              <w:right w:val="nil"/>
            </w:tcBorders>
            <w:shd w:val="clear" w:color="auto" w:fill="auto"/>
            <w:vAlign w:val="center"/>
            <w:hideMark/>
          </w:tcPr>
          <w:p w14:paraId="06696AD5" w14:textId="77777777" w:rsidR="00174FC6" w:rsidRPr="00174FC6" w:rsidRDefault="00174FC6" w:rsidP="00F84023">
            <w:pPr>
              <w:keepNext/>
              <w:keepLines/>
              <w:jc w:val="right"/>
              <w:rPr>
                <w:rFonts w:ascii="Times New Roman" w:eastAsia="Times New Roman" w:hAnsi="Times New Roman" w:cs="Times New Roman"/>
                <w:sz w:val="20"/>
                <w:szCs w:val="20"/>
                <w:lang w:eastAsia="en-AU"/>
              </w:rPr>
            </w:pPr>
          </w:p>
        </w:tc>
        <w:tc>
          <w:tcPr>
            <w:tcW w:w="578" w:type="pct"/>
            <w:tcBorders>
              <w:top w:val="nil"/>
              <w:left w:val="nil"/>
              <w:bottom w:val="nil"/>
              <w:right w:val="nil"/>
            </w:tcBorders>
            <w:shd w:val="clear" w:color="auto" w:fill="auto"/>
            <w:vAlign w:val="center"/>
            <w:hideMark/>
          </w:tcPr>
          <w:p w14:paraId="153419BD" w14:textId="63F8AC52" w:rsidR="00174FC6" w:rsidRPr="00174FC6" w:rsidRDefault="00174FC6" w:rsidP="00F84023">
            <w:pPr>
              <w:keepNext/>
              <w:keepLines/>
              <w:jc w:val="right"/>
              <w:rPr>
                <w:rFonts w:ascii="Times New Roman" w:eastAsia="Times New Roman" w:hAnsi="Times New Roman" w:cs="Times New Roman"/>
                <w:sz w:val="20"/>
                <w:szCs w:val="20"/>
                <w:lang w:eastAsia="en-AU"/>
              </w:rPr>
            </w:pPr>
          </w:p>
        </w:tc>
        <w:tc>
          <w:tcPr>
            <w:tcW w:w="576" w:type="pct"/>
            <w:tcBorders>
              <w:top w:val="nil"/>
              <w:left w:val="nil"/>
              <w:bottom w:val="nil"/>
              <w:right w:val="nil"/>
            </w:tcBorders>
            <w:shd w:val="clear" w:color="auto" w:fill="auto"/>
            <w:vAlign w:val="center"/>
            <w:hideMark/>
          </w:tcPr>
          <w:p w14:paraId="0ACC2F85" w14:textId="77777777" w:rsidR="00174FC6" w:rsidRPr="00174FC6" w:rsidRDefault="00174FC6" w:rsidP="00F84023">
            <w:pPr>
              <w:keepNext/>
              <w:keepLines/>
              <w:jc w:val="right"/>
              <w:rPr>
                <w:rFonts w:ascii="Times New Roman" w:eastAsia="Times New Roman" w:hAnsi="Times New Roman" w:cs="Times New Roman"/>
                <w:sz w:val="20"/>
                <w:szCs w:val="20"/>
                <w:lang w:eastAsia="en-AU"/>
              </w:rPr>
            </w:pPr>
          </w:p>
        </w:tc>
      </w:tr>
      <w:tr w:rsidR="0036486A" w:rsidRPr="00FC1C95" w14:paraId="01AA25E9" w14:textId="77777777" w:rsidTr="0036486A">
        <w:trPr>
          <w:trHeight w:val="300"/>
        </w:trPr>
        <w:tc>
          <w:tcPr>
            <w:tcW w:w="2691" w:type="pct"/>
            <w:gridSpan w:val="3"/>
            <w:tcBorders>
              <w:top w:val="nil"/>
              <w:right w:val="nil"/>
            </w:tcBorders>
            <w:shd w:val="clear" w:color="auto" w:fill="auto"/>
            <w:vAlign w:val="center"/>
          </w:tcPr>
          <w:p w14:paraId="7CF02D96" w14:textId="76803FF7" w:rsidR="0036486A" w:rsidRPr="00FE1108" w:rsidRDefault="0036486A" w:rsidP="00375536">
            <w:pPr>
              <w:keepNext/>
              <w:keepLines/>
              <w:rPr>
                <w:rFonts w:ascii="Calibri" w:hAnsi="Calibri" w:cs="Calibri"/>
                <w:b/>
                <w:bCs/>
                <w:color w:val="000000"/>
              </w:rPr>
            </w:pPr>
            <w:r w:rsidRPr="00FE1108">
              <w:rPr>
                <w:rFonts w:ascii="Calibri" w:hAnsi="Calibri" w:cs="Calibri"/>
                <w:b/>
                <w:bCs/>
                <w:color w:val="000000"/>
              </w:rPr>
              <w:t xml:space="preserve">Marginal benefits </w:t>
            </w:r>
            <w:proofErr w:type="gramStart"/>
            <w:r w:rsidRPr="00FE1108">
              <w:rPr>
                <w:rFonts w:ascii="Calibri" w:hAnsi="Calibri" w:cs="Calibri"/>
                <w:b/>
                <w:bCs/>
                <w:color w:val="000000"/>
              </w:rPr>
              <w:t>less</w:t>
            </w:r>
            <w:proofErr w:type="gramEnd"/>
            <w:r w:rsidRPr="00FE1108">
              <w:rPr>
                <w:rFonts w:ascii="Calibri" w:hAnsi="Calibri" w:cs="Calibri"/>
                <w:b/>
                <w:bCs/>
                <w:color w:val="000000"/>
              </w:rPr>
              <w:t xml:space="preserve"> marginal costs</w:t>
            </w:r>
            <w:r w:rsidR="00FE1108">
              <w:rPr>
                <w:rFonts w:ascii="Calibri" w:hAnsi="Calibri" w:cs="Calibri"/>
                <w:b/>
                <w:bCs/>
                <w:color w:val="000000"/>
              </w:rPr>
              <w:t xml:space="preserve"> ($m, p.a.)</w:t>
            </w:r>
          </w:p>
        </w:tc>
        <w:tc>
          <w:tcPr>
            <w:tcW w:w="577" w:type="pct"/>
            <w:tcBorders>
              <w:top w:val="nil"/>
              <w:left w:val="nil"/>
              <w:bottom w:val="nil"/>
              <w:right w:val="nil"/>
            </w:tcBorders>
            <w:shd w:val="clear" w:color="auto" w:fill="auto"/>
            <w:vAlign w:val="center"/>
          </w:tcPr>
          <w:p w14:paraId="2511DABD" w14:textId="77777777" w:rsidR="0036486A" w:rsidRPr="00174FC6" w:rsidRDefault="0036486A" w:rsidP="00375536">
            <w:pPr>
              <w:keepNext/>
              <w:keepLines/>
              <w:jc w:val="right"/>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center"/>
          </w:tcPr>
          <w:p w14:paraId="39015941" w14:textId="77777777" w:rsidR="0036486A" w:rsidRDefault="0036486A" w:rsidP="00375536">
            <w:pPr>
              <w:keepNext/>
              <w:keepLines/>
              <w:jc w:val="right"/>
              <w:rPr>
                <w:rFonts w:ascii="Calibri" w:hAnsi="Calibri" w:cs="Calibri"/>
                <w:color w:val="000000"/>
              </w:rPr>
            </w:pPr>
          </w:p>
        </w:tc>
        <w:tc>
          <w:tcPr>
            <w:tcW w:w="578" w:type="pct"/>
            <w:tcBorders>
              <w:top w:val="nil"/>
              <w:left w:val="nil"/>
              <w:bottom w:val="nil"/>
              <w:right w:val="nil"/>
            </w:tcBorders>
            <w:shd w:val="clear" w:color="auto" w:fill="auto"/>
            <w:vAlign w:val="center"/>
          </w:tcPr>
          <w:p w14:paraId="03C9EF3B" w14:textId="77777777" w:rsidR="0036486A" w:rsidRDefault="0036486A" w:rsidP="00375536">
            <w:pPr>
              <w:keepNext/>
              <w:keepLines/>
              <w:jc w:val="right"/>
              <w:rPr>
                <w:rFonts w:ascii="Calibri" w:hAnsi="Calibri" w:cs="Calibri"/>
                <w:color w:val="FF0000"/>
              </w:rPr>
            </w:pPr>
          </w:p>
        </w:tc>
        <w:tc>
          <w:tcPr>
            <w:tcW w:w="576" w:type="pct"/>
            <w:tcBorders>
              <w:top w:val="nil"/>
              <w:left w:val="nil"/>
              <w:bottom w:val="nil"/>
              <w:right w:val="nil"/>
            </w:tcBorders>
            <w:shd w:val="clear" w:color="auto" w:fill="auto"/>
            <w:vAlign w:val="center"/>
          </w:tcPr>
          <w:p w14:paraId="74EB4B06" w14:textId="77777777" w:rsidR="0036486A" w:rsidRDefault="0036486A" w:rsidP="00375536">
            <w:pPr>
              <w:keepNext/>
              <w:keepLines/>
              <w:jc w:val="right"/>
              <w:rPr>
                <w:rFonts w:ascii="Calibri" w:hAnsi="Calibri" w:cs="Calibri"/>
                <w:color w:val="000000"/>
              </w:rPr>
            </w:pPr>
          </w:p>
        </w:tc>
      </w:tr>
      <w:tr w:rsidR="00375536" w:rsidRPr="00FC1C95" w14:paraId="7AB0C392" w14:textId="77777777" w:rsidTr="00375536">
        <w:trPr>
          <w:trHeight w:val="300"/>
        </w:trPr>
        <w:tc>
          <w:tcPr>
            <w:tcW w:w="385" w:type="pct"/>
            <w:gridSpan w:val="2"/>
            <w:tcBorders>
              <w:top w:val="nil"/>
              <w:right w:val="nil"/>
            </w:tcBorders>
            <w:shd w:val="clear" w:color="auto" w:fill="auto"/>
            <w:vAlign w:val="center"/>
          </w:tcPr>
          <w:p w14:paraId="1DEEA1EE" w14:textId="4A1AD765" w:rsidR="00375536" w:rsidRPr="00572201" w:rsidRDefault="00572201" w:rsidP="00572201">
            <w:pPr>
              <w:keepNext/>
              <w:keepLines/>
              <w:jc w:val="center"/>
              <w:rPr>
                <w:rFonts w:ascii="Calibri" w:eastAsia="Times New Roman" w:hAnsi="Calibri" w:cs="Calibri"/>
                <w:color w:val="000000"/>
                <w:sz w:val="18"/>
                <w:szCs w:val="18"/>
                <w:lang w:eastAsia="en-AU"/>
              </w:rPr>
            </w:pPr>
            <w:r w:rsidRPr="00572201">
              <w:rPr>
                <w:rFonts w:ascii="Calibri" w:eastAsia="Times New Roman" w:hAnsi="Calibri" w:cs="Calibri"/>
                <w:color w:val="000000"/>
                <w:sz w:val="18"/>
                <w:szCs w:val="18"/>
                <w:lang w:eastAsia="en-AU"/>
              </w:rPr>
              <w:t>h</w:t>
            </w:r>
          </w:p>
        </w:tc>
        <w:tc>
          <w:tcPr>
            <w:tcW w:w="2306" w:type="pct"/>
            <w:tcBorders>
              <w:top w:val="nil"/>
              <w:right w:val="nil"/>
            </w:tcBorders>
            <w:shd w:val="clear" w:color="auto" w:fill="auto"/>
            <w:vAlign w:val="center"/>
          </w:tcPr>
          <w:p w14:paraId="2144C5AF" w14:textId="67B2F185" w:rsidR="00375536" w:rsidRPr="00174FC6" w:rsidRDefault="00375536" w:rsidP="00375536">
            <w:pPr>
              <w:keepNext/>
              <w:keepLines/>
              <w:rPr>
                <w:rFonts w:ascii="Calibri" w:eastAsia="Times New Roman" w:hAnsi="Calibri" w:cs="Calibri"/>
                <w:b/>
                <w:bCs/>
                <w:color w:val="000000"/>
                <w:lang w:eastAsia="en-AU"/>
              </w:rPr>
            </w:pPr>
            <w:r>
              <w:rPr>
                <w:rFonts w:ascii="Calibri" w:hAnsi="Calibri" w:cs="Calibri"/>
                <w:color w:val="000000"/>
              </w:rPr>
              <w:t>Traceability</w:t>
            </w:r>
            <w:r w:rsidR="00C70AFE">
              <w:rPr>
                <w:rFonts w:ascii="Calibri" w:hAnsi="Calibri" w:cs="Calibri"/>
                <w:color w:val="000000"/>
              </w:rPr>
              <w:t xml:space="preserve"> </w:t>
            </w:r>
          </w:p>
        </w:tc>
        <w:tc>
          <w:tcPr>
            <w:tcW w:w="577" w:type="pct"/>
            <w:tcBorders>
              <w:top w:val="nil"/>
              <w:left w:val="nil"/>
              <w:bottom w:val="nil"/>
              <w:right w:val="nil"/>
            </w:tcBorders>
            <w:shd w:val="clear" w:color="auto" w:fill="auto"/>
            <w:vAlign w:val="center"/>
          </w:tcPr>
          <w:p w14:paraId="66607DE6" w14:textId="77777777" w:rsidR="00375536" w:rsidRPr="00174FC6" w:rsidRDefault="00375536" w:rsidP="00375536">
            <w:pPr>
              <w:keepNext/>
              <w:keepLines/>
              <w:jc w:val="right"/>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center"/>
          </w:tcPr>
          <w:p w14:paraId="1ECACAA8" w14:textId="506030F7" w:rsidR="00375536" w:rsidRPr="00174FC6" w:rsidRDefault="00375536" w:rsidP="00375536">
            <w:pPr>
              <w:keepNext/>
              <w:keepLines/>
              <w:jc w:val="right"/>
              <w:rPr>
                <w:rFonts w:ascii="Calibri" w:eastAsia="Times New Roman" w:hAnsi="Calibri" w:cs="Calibri"/>
                <w:b/>
                <w:bCs/>
                <w:lang w:eastAsia="en-AU"/>
              </w:rPr>
            </w:pPr>
            <w:r>
              <w:rPr>
                <w:rFonts w:ascii="Calibri" w:hAnsi="Calibri" w:cs="Calibri"/>
                <w:color w:val="000000"/>
              </w:rPr>
              <w:t>$46</w:t>
            </w:r>
          </w:p>
        </w:tc>
        <w:tc>
          <w:tcPr>
            <w:tcW w:w="578" w:type="pct"/>
            <w:tcBorders>
              <w:top w:val="nil"/>
              <w:left w:val="nil"/>
              <w:bottom w:val="nil"/>
              <w:right w:val="nil"/>
            </w:tcBorders>
            <w:shd w:val="clear" w:color="auto" w:fill="auto"/>
            <w:vAlign w:val="center"/>
          </w:tcPr>
          <w:p w14:paraId="64CD4A4C" w14:textId="541773C9" w:rsidR="00375536" w:rsidRPr="00174FC6" w:rsidRDefault="00375536" w:rsidP="00375536">
            <w:pPr>
              <w:keepNext/>
              <w:keepLines/>
              <w:jc w:val="right"/>
              <w:rPr>
                <w:rFonts w:ascii="Calibri" w:eastAsia="Times New Roman" w:hAnsi="Calibri" w:cs="Calibri"/>
                <w:b/>
                <w:bCs/>
                <w:lang w:eastAsia="en-AU"/>
              </w:rPr>
            </w:pPr>
            <w:r>
              <w:rPr>
                <w:rFonts w:ascii="Calibri" w:hAnsi="Calibri" w:cs="Calibri"/>
                <w:color w:val="FF0000"/>
              </w:rPr>
              <w:t>-$27</w:t>
            </w:r>
          </w:p>
        </w:tc>
        <w:tc>
          <w:tcPr>
            <w:tcW w:w="576" w:type="pct"/>
            <w:tcBorders>
              <w:top w:val="nil"/>
              <w:left w:val="nil"/>
              <w:bottom w:val="nil"/>
              <w:right w:val="nil"/>
            </w:tcBorders>
            <w:shd w:val="clear" w:color="auto" w:fill="auto"/>
            <w:vAlign w:val="center"/>
          </w:tcPr>
          <w:p w14:paraId="32A83973" w14:textId="7E93C4F6" w:rsidR="00375536" w:rsidRPr="00174FC6" w:rsidRDefault="00375536" w:rsidP="00375536">
            <w:pPr>
              <w:keepNext/>
              <w:keepLines/>
              <w:jc w:val="right"/>
              <w:rPr>
                <w:rFonts w:ascii="Calibri" w:eastAsia="Times New Roman" w:hAnsi="Calibri" w:cs="Calibri"/>
                <w:b/>
                <w:bCs/>
                <w:color w:val="000000"/>
                <w:lang w:eastAsia="en-AU"/>
              </w:rPr>
            </w:pPr>
            <w:r>
              <w:rPr>
                <w:rFonts w:ascii="Calibri" w:hAnsi="Calibri" w:cs="Calibri"/>
                <w:color w:val="000000"/>
              </w:rPr>
              <w:t>$153</w:t>
            </w:r>
          </w:p>
        </w:tc>
      </w:tr>
      <w:tr w:rsidR="00375536" w:rsidRPr="00FC1C95" w14:paraId="30D47A06" w14:textId="77777777" w:rsidTr="00375536">
        <w:trPr>
          <w:trHeight w:val="300"/>
        </w:trPr>
        <w:tc>
          <w:tcPr>
            <w:tcW w:w="385" w:type="pct"/>
            <w:gridSpan w:val="2"/>
            <w:tcBorders>
              <w:right w:val="nil"/>
            </w:tcBorders>
            <w:shd w:val="clear" w:color="auto" w:fill="auto"/>
            <w:vAlign w:val="center"/>
          </w:tcPr>
          <w:p w14:paraId="42328FEB" w14:textId="05E8DDEB" w:rsidR="00375536" w:rsidRPr="00572201" w:rsidRDefault="00572201" w:rsidP="00572201">
            <w:pPr>
              <w:keepNext/>
              <w:keepLines/>
              <w:jc w:val="center"/>
              <w:rPr>
                <w:rFonts w:ascii="Calibri" w:eastAsia="Times New Roman" w:hAnsi="Calibri" w:cs="Calibri"/>
                <w:color w:val="000000"/>
                <w:sz w:val="18"/>
                <w:szCs w:val="18"/>
                <w:lang w:eastAsia="en-AU"/>
              </w:rPr>
            </w:pPr>
            <w:proofErr w:type="spellStart"/>
            <w:r w:rsidRPr="00572201">
              <w:rPr>
                <w:rFonts w:ascii="Calibri" w:eastAsia="Times New Roman" w:hAnsi="Calibri" w:cs="Calibri"/>
                <w:color w:val="000000"/>
                <w:sz w:val="18"/>
                <w:szCs w:val="18"/>
                <w:lang w:eastAsia="en-AU"/>
              </w:rPr>
              <w:t>i</w:t>
            </w:r>
            <w:proofErr w:type="spellEnd"/>
          </w:p>
        </w:tc>
        <w:tc>
          <w:tcPr>
            <w:tcW w:w="2306" w:type="pct"/>
            <w:tcBorders>
              <w:right w:val="nil"/>
            </w:tcBorders>
            <w:shd w:val="clear" w:color="auto" w:fill="auto"/>
            <w:vAlign w:val="center"/>
          </w:tcPr>
          <w:p w14:paraId="22BB7717" w14:textId="05F80429" w:rsidR="00375536" w:rsidRPr="00174FC6" w:rsidRDefault="00375536" w:rsidP="00375536">
            <w:pPr>
              <w:keepNext/>
              <w:keepLines/>
              <w:rPr>
                <w:rFonts w:ascii="Calibri" w:eastAsia="Times New Roman" w:hAnsi="Calibri" w:cs="Calibri"/>
                <w:b/>
                <w:bCs/>
                <w:color w:val="000000"/>
                <w:lang w:eastAsia="en-AU"/>
              </w:rPr>
            </w:pPr>
            <w:r>
              <w:rPr>
                <w:rFonts w:ascii="Calibri" w:hAnsi="Calibri" w:cs="Calibri"/>
                <w:color w:val="000000"/>
              </w:rPr>
              <w:t>Genetic gain</w:t>
            </w:r>
          </w:p>
        </w:tc>
        <w:tc>
          <w:tcPr>
            <w:tcW w:w="577" w:type="pct"/>
            <w:tcBorders>
              <w:top w:val="nil"/>
              <w:left w:val="nil"/>
              <w:bottom w:val="nil"/>
              <w:right w:val="nil"/>
            </w:tcBorders>
            <w:shd w:val="clear" w:color="auto" w:fill="auto"/>
            <w:vAlign w:val="center"/>
          </w:tcPr>
          <w:p w14:paraId="0CD46FBF" w14:textId="77777777" w:rsidR="00375536" w:rsidRPr="00174FC6" w:rsidRDefault="00375536" w:rsidP="00375536">
            <w:pPr>
              <w:keepNext/>
              <w:keepLines/>
              <w:jc w:val="right"/>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center"/>
          </w:tcPr>
          <w:p w14:paraId="4CCFA350" w14:textId="05451815" w:rsidR="00375536" w:rsidRPr="00174FC6" w:rsidRDefault="00375536" w:rsidP="00375536">
            <w:pPr>
              <w:keepNext/>
              <w:keepLines/>
              <w:jc w:val="right"/>
              <w:rPr>
                <w:rFonts w:ascii="Calibri" w:eastAsia="Times New Roman" w:hAnsi="Calibri" w:cs="Calibri"/>
                <w:b/>
                <w:bCs/>
                <w:lang w:eastAsia="en-AU"/>
              </w:rPr>
            </w:pPr>
            <w:r>
              <w:rPr>
                <w:rFonts w:ascii="Calibri" w:hAnsi="Calibri" w:cs="Calibri"/>
                <w:color w:val="000000"/>
              </w:rPr>
              <w:t>$87</w:t>
            </w:r>
          </w:p>
        </w:tc>
        <w:tc>
          <w:tcPr>
            <w:tcW w:w="578" w:type="pct"/>
            <w:tcBorders>
              <w:top w:val="nil"/>
              <w:left w:val="nil"/>
              <w:bottom w:val="nil"/>
              <w:right w:val="nil"/>
            </w:tcBorders>
            <w:shd w:val="clear" w:color="auto" w:fill="auto"/>
            <w:vAlign w:val="center"/>
          </w:tcPr>
          <w:p w14:paraId="54B9255A" w14:textId="57B5CDD7" w:rsidR="00375536" w:rsidRPr="00174FC6" w:rsidRDefault="00375536" w:rsidP="00375536">
            <w:pPr>
              <w:keepNext/>
              <w:keepLines/>
              <w:jc w:val="right"/>
              <w:rPr>
                <w:rFonts w:ascii="Calibri" w:eastAsia="Times New Roman" w:hAnsi="Calibri" w:cs="Calibri"/>
                <w:b/>
                <w:bCs/>
                <w:lang w:eastAsia="en-AU"/>
              </w:rPr>
            </w:pPr>
            <w:r>
              <w:rPr>
                <w:rFonts w:ascii="Calibri" w:hAnsi="Calibri" w:cs="Calibri"/>
                <w:color w:val="000000"/>
              </w:rPr>
              <w:t>$215</w:t>
            </w:r>
          </w:p>
        </w:tc>
        <w:tc>
          <w:tcPr>
            <w:tcW w:w="576" w:type="pct"/>
            <w:tcBorders>
              <w:top w:val="nil"/>
              <w:left w:val="nil"/>
              <w:bottom w:val="nil"/>
              <w:right w:val="nil"/>
            </w:tcBorders>
            <w:shd w:val="clear" w:color="auto" w:fill="auto"/>
            <w:vAlign w:val="center"/>
          </w:tcPr>
          <w:p w14:paraId="5DDAE01C" w14:textId="38AB03DB" w:rsidR="00375536" w:rsidRPr="00174FC6" w:rsidRDefault="00375536" w:rsidP="00375536">
            <w:pPr>
              <w:keepNext/>
              <w:keepLines/>
              <w:jc w:val="right"/>
              <w:rPr>
                <w:rFonts w:ascii="Calibri" w:eastAsia="Times New Roman" w:hAnsi="Calibri" w:cs="Calibri"/>
                <w:b/>
                <w:bCs/>
                <w:color w:val="000000"/>
                <w:lang w:eastAsia="en-AU"/>
              </w:rPr>
            </w:pPr>
            <w:r>
              <w:rPr>
                <w:rFonts w:ascii="Calibri" w:hAnsi="Calibri" w:cs="Calibri"/>
                <w:color w:val="000000"/>
              </w:rPr>
              <w:t>$0</w:t>
            </w:r>
          </w:p>
        </w:tc>
      </w:tr>
      <w:tr w:rsidR="00375536" w:rsidRPr="00FC1C95" w14:paraId="30ADEF51" w14:textId="77777777" w:rsidTr="00375536">
        <w:trPr>
          <w:trHeight w:val="300"/>
        </w:trPr>
        <w:tc>
          <w:tcPr>
            <w:tcW w:w="385" w:type="pct"/>
            <w:gridSpan w:val="2"/>
            <w:tcBorders>
              <w:bottom w:val="nil"/>
              <w:right w:val="nil"/>
            </w:tcBorders>
            <w:shd w:val="clear" w:color="auto" w:fill="auto"/>
            <w:vAlign w:val="center"/>
          </w:tcPr>
          <w:p w14:paraId="0ADAB260" w14:textId="07C93199" w:rsidR="00375536" w:rsidRPr="00572201" w:rsidRDefault="00572201" w:rsidP="00572201">
            <w:pPr>
              <w:keepNext/>
              <w:keepLines/>
              <w:jc w:val="center"/>
              <w:rPr>
                <w:rFonts w:ascii="Calibri" w:eastAsia="Times New Roman" w:hAnsi="Calibri" w:cs="Calibri"/>
                <w:color w:val="000000"/>
                <w:sz w:val="18"/>
                <w:szCs w:val="18"/>
                <w:lang w:eastAsia="en-AU"/>
              </w:rPr>
            </w:pPr>
            <w:r w:rsidRPr="00572201">
              <w:rPr>
                <w:rFonts w:ascii="Calibri" w:eastAsia="Times New Roman" w:hAnsi="Calibri" w:cs="Calibri"/>
                <w:color w:val="000000"/>
                <w:sz w:val="18"/>
                <w:szCs w:val="18"/>
                <w:lang w:eastAsia="en-AU"/>
              </w:rPr>
              <w:t>j</w:t>
            </w:r>
          </w:p>
        </w:tc>
        <w:tc>
          <w:tcPr>
            <w:tcW w:w="2306" w:type="pct"/>
            <w:tcBorders>
              <w:bottom w:val="nil"/>
              <w:right w:val="nil"/>
            </w:tcBorders>
            <w:shd w:val="clear" w:color="auto" w:fill="auto"/>
            <w:vAlign w:val="center"/>
          </w:tcPr>
          <w:p w14:paraId="720B616B" w14:textId="13BFC34D" w:rsidR="00375536" w:rsidRPr="00174FC6" w:rsidRDefault="00375536" w:rsidP="00375536">
            <w:pPr>
              <w:keepNext/>
              <w:keepLines/>
              <w:rPr>
                <w:rFonts w:ascii="Calibri" w:eastAsia="Times New Roman" w:hAnsi="Calibri" w:cs="Calibri"/>
                <w:b/>
                <w:bCs/>
                <w:color w:val="000000"/>
                <w:lang w:eastAsia="en-AU"/>
              </w:rPr>
            </w:pPr>
            <w:r>
              <w:rPr>
                <w:rFonts w:ascii="Calibri" w:hAnsi="Calibri" w:cs="Calibri"/>
                <w:color w:val="000000"/>
              </w:rPr>
              <w:t>Total</w:t>
            </w:r>
          </w:p>
        </w:tc>
        <w:tc>
          <w:tcPr>
            <w:tcW w:w="577" w:type="pct"/>
            <w:tcBorders>
              <w:top w:val="nil"/>
              <w:left w:val="nil"/>
              <w:bottom w:val="nil"/>
              <w:right w:val="nil"/>
            </w:tcBorders>
            <w:shd w:val="clear" w:color="auto" w:fill="auto"/>
            <w:vAlign w:val="center"/>
          </w:tcPr>
          <w:p w14:paraId="39A54746" w14:textId="77777777" w:rsidR="00375536" w:rsidRPr="00174FC6" w:rsidRDefault="00375536" w:rsidP="00375536">
            <w:pPr>
              <w:keepNext/>
              <w:keepLines/>
              <w:jc w:val="right"/>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center"/>
          </w:tcPr>
          <w:p w14:paraId="14AC1695" w14:textId="1D5073A6" w:rsidR="00375536" w:rsidRPr="00174FC6" w:rsidRDefault="00375536" w:rsidP="00375536">
            <w:pPr>
              <w:keepNext/>
              <w:keepLines/>
              <w:jc w:val="right"/>
              <w:rPr>
                <w:rFonts w:ascii="Calibri" w:eastAsia="Times New Roman" w:hAnsi="Calibri" w:cs="Calibri"/>
                <w:b/>
                <w:bCs/>
                <w:lang w:eastAsia="en-AU"/>
              </w:rPr>
            </w:pPr>
            <w:r>
              <w:rPr>
                <w:rFonts w:ascii="Calibri" w:hAnsi="Calibri" w:cs="Calibri"/>
                <w:color w:val="000000"/>
              </w:rPr>
              <w:t>$133</w:t>
            </w:r>
          </w:p>
        </w:tc>
        <w:tc>
          <w:tcPr>
            <w:tcW w:w="578" w:type="pct"/>
            <w:tcBorders>
              <w:top w:val="nil"/>
              <w:left w:val="nil"/>
              <w:bottom w:val="nil"/>
              <w:right w:val="nil"/>
            </w:tcBorders>
            <w:shd w:val="clear" w:color="auto" w:fill="auto"/>
            <w:vAlign w:val="center"/>
          </w:tcPr>
          <w:p w14:paraId="28EB16EA" w14:textId="46632666" w:rsidR="00375536" w:rsidRPr="00174FC6" w:rsidRDefault="00375536" w:rsidP="00375536">
            <w:pPr>
              <w:keepNext/>
              <w:keepLines/>
              <w:jc w:val="right"/>
              <w:rPr>
                <w:rFonts w:ascii="Calibri" w:eastAsia="Times New Roman" w:hAnsi="Calibri" w:cs="Calibri"/>
                <w:b/>
                <w:bCs/>
                <w:lang w:eastAsia="en-AU"/>
              </w:rPr>
            </w:pPr>
            <w:r>
              <w:rPr>
                <w:rFonts w:ascii="Calibri" w:hAnsi="Calibri" w:cs="Calibri"/>
                <w:color w:val="000000"/>
              </w:rPr>
              <w:t>$188</w:t>
            </w:r>
          </w:p>
        </w:tc>
        <w:tc>
          <w:tcPr>
            <w:tcW w:w="576" w:type="pct"/>
            <w:tcBorders>
              <w:top w:val="nil"/>
              <w:left w:val="nil"/>
              <w:bottom w:val="nil"/>
              <w:right w:val="nil"/>
            </w:tcBorders>
            <w:shd w:val="clear" w:color="auto" w:fill="auto"/>
            <w:vAlign w:val="center"/>
          </w:tcPr>
          <w:p w14:paraId="5DDADF1B" w14:textId="7376E60F" w:rsidR="00375536" w:rsidRPr="00174FC6" w:rsidRDefault="00375536" w:rsidP="00375536">
            <w:pPr>
              <w:keepNext/>
              <w:keepLines/>
              <w:jc w:val="right"/>
              <w:rPr>
                <w:rFonts w:ascii="Calibri" w:eastAsia="Times New Roman" w:hAnsi="Calibri" w:cs="Calibri"/>
                <w:b/>
                <w:bCs/>
                <w:color w:val="000000"/>
                <w:lang w:eastAsia="en-AU"/>
              </w:rPr>
            </w:pPr>
            <w:r>
              <w:rPr>
                <w:rFonts w:ascii="Calibri" w:hAnsi="Calibri" w:cs="Calibri"/>
                <w:color w:val="000000"/>
              </w:rPr>
              <w:t>$153</w:t>
            </w:r>
          </w:p>
        </w:tc>
      </w:tr>
      <w:tr w:rsidR="00572201" w:rsidRPr="00FC1C95" w14:paraId="333CDFF1" w14:textId="77777777" w:rsidTr="00375536">
        <w:trPr>
          <w:trHeight w:val="300"/>
        </w:trPr>
        <w:tc>
          <w:tcPr>
            <w:tcW w:w="2691" w:type="pct"/>
            <w:gridSpan w:val="3"/>
            <w:tcBorders>
              <w:top w:val="nil"/>
              <w:bottom w:val="nil"/>
              <w:right w:val="nil"/>
            </w:tcBorders>
            <w:shd w:val="clear" w:color="auto" w:fill="auto"/>
            <w:vAlign w:val="center"/>
          </w:tcPr>
          <w:p w14:paraId="394424D3" w14:textId="77777777" w:rsidR="00572201" w:rsidRDefault="00572201" w:rsidP="00F84023">
            <w:pPr>
              <w:keepNext/>
              <w:keepLines/>
              <w:rPr>
                <w:rFonts w:ascii="Calibri" w:eastAsia="Times New Roman" w:hAnsi="Calibri" w:cs="Calibri"/>
                <w:b/>
                <w:bCs/>
                <w:color w:val="000000"/>
                <w:lang w:eastAsia="en-AU"/>
              </w:rPr>
            </w:pPr>
          </w:p>
        </w:tc>
        <w:tc>
          <w:tcPr>
            <w:tcW w:w="577" w:type="pct"/>
            <w:tcBorders>
              <w:top w:val="nil"/>
              <w:left w:val="nil"/>
              <w:bottom w:val="nil"/>
              <w:right w:val="nil"/>
            </w:tcBorders>
            <w:shd w:val="clear" w:color="auto" w:fill="auto"/>
            <w:vAlign w:val="center"/>
          </w:tcPr>
          <w:p w14:paraId="06458647" w14:textId="77777777" w:rsidR="00572201" w:rsidRPr="00174FC6" w:rsidRDefault="00572201" w:rsidP="00F84023">
            <w:pPr>
              <w:keepNext/>
              <w:keepLines/>
              <w:jc w:val="right"/>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center"/>
          </w:tcPr>
          <w:p w14:paraId="343CFA2E" w14:textId="77777777" w:rsidR="00572201" w:rsidRPr="00174FC6" w:rsidRDefault="00572201" w:rsidP="00F84023">
            <w:pPr>
              <w:keepNext/>
              <w:keepLines/>
              <w:jc w:val="right"/>
              <w:rPr>
                <w:rFonts w:ascii="Calibri" w:eastAsia="Times New Roman" w:hAnsi="Calibri" w:cs="Calibri"/>
                <w:b/>
                <w:bCs/>
                <w:lang w:eastAsia="en-AU"/>
              </w:rPr>
            </w:pPr>
          </w:p>
        </w:tc>
        <w:tc>
          <w:tcPr>
            <w:tcW w:w="578" w:type="pct"/>
            <w:tcBorders>
              <w:top w:val="nil"/>
              <w:left w:val="nil"/>
              <w:bottom w:val="nil"/>
              <w:right w:val="nil"/>
            </w:tcBorders>
            <w:shd w:val="clear" w:color="auto" w:fill="auto"/>
            <w:vAlign w:val="center"/>
          </w:tcPr>
          <w:p w14:paraId="22568CE1" w14:textId="77777777" w:rsidR="00572201" w:rsidRPr="00174FC6" w:rsidRDefault="00572201" w:rsidP="00F84023">
            <w:pPr>
              <w:keepNext/>
              <w:keepLines/>
              <w:jc w:val="right"/>
              <w:rPr>
                <w:rFonts w:ascii="Calibri" w:eastAsia="Times New Roman" w:hAnsi="Calibri" w:cs="Calibri"/>
                <w:b/>
                <w:bCs/>
                <w:lang w:eastAsia="en-AU"/>
              </w:rPr>
            </w:pPr>
          </w:p>
        </w:tc>
        <w:tc>
          <w:tcPr>
            <w:tcW w:w="576" w:type="pct"/>
            <w:tcBorders>
              <w:top w:val="nil"/>
              <w:left w:val="nil"/>
              <w:bottom w:val="nil"/>
              <w:right w:val="nil"/>
            </w:tcBorders>
            <w:shd w:val="clear" w:color="auto" w:fill="auto"/>
            <w:vAlign w:val="center"/>
          </w:tcPr>
          <w:p w14:paraId="6D67693B" w14:textId="77777777" w:rsidR="00572201" w:rsidRPr="00174FC6" w:rsidRDefault="00572201" w:rsidP="00F84023">
            <w:pPr>
              <w:keepNext/>
              <w:keepLines/>
              <w:jc w:val="right"/>
              <w:rPr>
                <w:rFonts w:ascii="Calibri" w:eastAsia="Times New Roman" w:hAnsi="Calibri" w:cs="Calibri"/>
                <w:b/>
                <w:bCs/>
                <w:color w:val="000000"/>
                <w:lang w:eastAsia="en-AU"/>
              </w:rPr>
            </w:pPr>
          </w:p>
        </w:tc>
      </w:tr>
      <w:tr w:rsidR="0036486A" w:rsidRPr="00FC1C95" w14:paraId="420A3DFD" w14:textId="77777777" w:rsidTr="00375536">
        <w:trPr>
          <w:trHeight w:val="300"/>
        </w:trPr>
        <w:tc>
          <w:tcPr>
            <w:tcW w:w="2691" w:type="pct"/>
            <w:gridSpan w:val="3"/>
            <w:tcBorders>
              <w:top w:val="nil"/>
              <w:bottom w:val="nil"/>
              <w:right w:val="nil"/>
            </w:tcBorders>
            <w:shd w:val="clear" w:color="auto" w:fill="auto"/>
            <w:vAlign w:val="center"/>
            <w:hideMark/>
          </w:tcPr>
          <w:p w14:paraId="2DDB612C" w14:textId="253CDFB5" w:rsidR="0036486A" w:rsidRPr="00174FC6" w:rsidRDefault="00FE1108" w:rsidP="00F84023">
            <w:pPr>
              <w:keepNext/>
              <w:keepLines/>
              <w:rPr>
                <w:rFonts w:ascii="Calibri" w:eastAsia="Times New Roman" w:hAnsi="Calibri" w:cs="Calibri"/>
                <w:b/>
                <w:bCs/>
                <w:color w:val="000000"/>
                <w:lang w:eastAsia="en-AU"/>
              </w:rPr>
            </w:pPr>
            <w:r>
              <w:rPr>
                <w:rFonts w:ascii="Calibri" w:eastAsia="Times New Roman" w:hAnsi="Calibri" w:cs="Calibri"/>
                <w:b/>
                <w:bCs/>
                <w:color w:val="000000"/>
                <w:lang w:eastAsia="en-AU"/>
              </w:rPr>
              <w:t>Total n</w:t>
            </w:r>
            <w:r w:rsidR="0036486A" w:rsidRPr="00174FC6">
              <w:rPr>
                <w:rFonts w:ascii="Calibri" w:eastAsia="Times New Roman" w:hAnsi="Calibri" w:cs="Calibri"/>
                <w:b/>
                <w:bCs/>
                <w:color w:val="000000"/>
                <w:lang w:eastAsia="en-AU"/>
              </w:rPr>
              <w:t>et benefit, beef ($m, p.a.)</w:t>
            </w:r>
          </w:p>
        </w:tc>
        <w:tc>
          <w:tcPr>
            <w:tcW w:w="577" w:type="pct"/>
            <w:tcBorders>
              <w:top w:val="nil"/>
              <w:left w:val="nil"/>
              <w:bottom w:val="nil"/>
              <w:right w:val="nil"/>
            </w:tcBorders>
            <w:shd w:val="clear" w:color="auto" w:fill="auto"/>
            <w:vAlign w:val="center"/>
            <w:hideMark/>
          </w:tcPr>
          <w:p w14:paraId="542B9712" w14:textId="77777777" w:rsidR="0036486A" w:rsidRPr="00174FC6" w:rsidRDefault="0036486A" w:rsidP="00F84023">
            <w:pPr>
              <w:keepNext/>
              <w:keepLines/>
              <w:jc w:val="right"/>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$418</w:t>
            </w:r>
          </w:p>
        </w:tc>
        <w:tc>
          <w:tcPr>
            <w:tcW w:w="578" w:type="pct"/>
            <w:tcBorders>
              <w:top w:val="nil"/>
              <w:left w:val="nil"/>
              <w:bottom w:val="nil"/>
              <w:right w:val="nil"/>
            </w:tcBorders>
            <w:shd w:val="clear" w:color="auto" w:fill="auto"/>
            <w:vAlign w:val="center"/>
            <w:hideMark/>
          </w:tcPr>
          <w:p w14:paraId="274F6F53" w14:textId="77777777" w:rsidR="0036486A" w:rsidRPr="00174FC6" w:rsidRDefault="0036486A" w:rsidP="00F84023">
            <w:pPr>
              <w:keepNext/>
              <w:keepLines/>
              <w:jc w:val="right"/>
              <w:rPr>
                <w:rFonts w:ascii="Calibri" w:eastAsia="Times New Roman" w:hAnsi="Calibri" w:cs="Calibri"/>
                <w:b/>
                <w:bCs/>
                <w:lang w:eastAsia="en-AU"/>
              </w:rPr>
            </w:pPr>
            <w:r w:rsidRPr="00174FC6">
              <w:rPr>
                <w:rFonts w:ascii="Calibri" w:eastAsia="Times New Roman" w:hAnsi="Calibri" w:cs="Calibri"/>
                <w:b/>
                <w:bCs/>
                <w:lang w:eastAsia="en-AU"/>
              </w:rPr>
              <w:t>$55</w:t>
            </w:r>
            <w:r>
              <w:rPr>
                <w:rFonts w:ascii="Calibri" w:eastAsia="Times New Roman" w:hAnsi="Calibri" w:cs="Calibri"/>
                <w:b/>
                <w:bCs/>
                <w:lang w:eastAsia="en-AU"/>
              </w:rPr>
              <w:t>1</w:t>
            </w:r>
          </w:p>
        </w:tc>
        <w:tc>
          <w:tcPr>
            <w:tcW w:w="578" w:type="pct"/>
            <w:tcBorders>
              <w:top w:val="nil"/>
              <w:left w:val="nil"/>
              <w:bottom w:val="nil"/>
              <w:right w:val="nil"/>
            </w:tcBorders>
            <w:shd w:val="clear" w:color="auto" w:fill="auto"/>
            <w:vAlign w:val="center"/>
            <w:hideMark/>
          </w:tcPr>
          <w:p w14:paraId="2D6E7834" w14:textId="77777777" w:rsidR="0036486A" w:rsidRPr="00174FC6" w:rsidRDefault="0036486A" w:rsidP="00F84023">
            <w:pPr>
              <w:keepNext/>
              <w:keepLines/>
              <w:jc w:val="right"/>
              <w:rPr>
                <w:rFonts w:ascii="Calibri" w:eastAsia="Times New Roman" w:hAnsi="Calibri" w:cs="Calibri"/>
                <w:b/>
                <w:bCs/>
                <w:lang w:eastAsia="en-AU"/>
              </w:rPr>
            </w:pPr>
            <w:r w:rsidRPr="00174FC6">
              <w:rPr>
                <w:rFonts w:ascii="Calibri" w:eastAsia="Times New Roman" w:hAnsi="Calibri" w:cs="Calibri"/>
                <w:b/>
                <w:bCs/>
                <w:lang w:eastAsia="en-AU"/>
              </w:rPr>
              <w:t>$606</w:t>
            </w:r>
          </w:p>
        </w:tc>
        <w:tc>
          <w:tcPr>
            <w:tcW w:w="576" w:type="pct"/>
            <w:tcBorders>
              <w:top w:val="nil"/>
              <w:left w:val="nil"/>
              <w:bottom w:val="nil"/>
              <w:right w:val="nil"/>
            </w:tcBorders>
            <w:shd w:val="clear" w:color="auto" w:fill="auto"/>
            <w:vAlign w:val="center"/>
            <w:hideMark/>
          </w:tcPr>
          <w:p w14:paraId="02062D73" w14:textId="77777777" w:rsidR="0036486A" w:rsidRPr="00174FC6" w:rsidRDefault="0036486A" w:rsidP="00F84023">
            <w:pPr>
              <w:keepNext/>
              <w:keepLines/>
              <w:jc w:val="right"/>
              <w:rPr>
                <w:rFonts w:ascii="Calibri" w:eastAsia="Times New Roman" w:hAnsi="Calibri" w:cs="Calibri"/>
                <w:b/>
                <w:bCs/>
                <w:color w:val="000000"/>
                <w:lang w:eastAsia="en-AU"/>
              </w:rPr>
            </w:pPr>
            <w:r w:rsidRPr="00174FC6">
              <w:rPr>
                <w:rFonts w:ascii="Calibri" w:eastAsia="Times New Roman" w:hAnsi="Calibri" w:cs="Calibri"/>
                <w:b/>
                <w:bCs/>
                <w:color w:val="000000"/>
                <w:lang w:eastAsia="en-AU"/>
              </w:rPr>
              <w:t>$572</w:t>
            </w:r>
          </w:p>
        </w:tc>
      </w:tr>
      <w:tr w:rsidR="00C70AFE" w:rsidRPr="00FC1C95" w14:paraId="313BEEEC" w14:textId="77777777" w:rsidTr="00375536">
        <w:trPr>
          <w:trHeight w:val="300"/>
        </w:trPr>
        <w:tc>
          <w:tcPr>
            <w:tcW w:w="385" w:type="pct"/>
            <w:gridSpan w:val="2"/>
            <w:tcBorders>
              <w:bottom w:val="nil"/>
              <w:right w:val="nil"/>
            </w:tcBorders>
            <w:shd w:val="clear" w:color="auto" w:fill="auto"/>
            <w:vAlign w:val="center"/>
          </w:tcPr>
          <w:p w14:paraId="07C6BC1A" w14:textId="77777777" w:rsidR="00C70AFE" w:rsidRPr="00174FC6" w:rsidRDefault="00C70AFE" w:rsidP="00375536">
            <w:pPr>
              <w:keepNext/>
              <w:keepLines/>
              <w:rPr>
                <w:rFonts w:ascii="Calibri" w:eastAsia="Times New Roman" w:hAnsi="Calibri" w:cs="Calibri"/>
                <w:b/>
                <w:bCs/>
                <w:color w:val="000000"/>
                <w:lang w:eastAsia="en-AU"/>
              </w:rPr>
            </w:pPr>
          </w:p>
        </w:tc>
        <w:tc>
          <w:tcPr>
            <w:tcW w:w="2306" w:type="pct"/>
            <w:tcBorders>
              <w:bottom w:val="nil"/>
              <w:right w:val="nil"/>
            </w:tcBorders>
            <w:shd w:val="clear" w:color="auto" w:fill="auto"/>
            <w:vAlign w:val="center"/>
          </w:tcPr>
          <w:p w14:paraId="6E2AEA50" w14:textId="77777777" w:rsidR="00C70AFE" w:rsidRDefault="00C70AFE" w:rsidP="00375536">
            <w:pPr>
              <w:keepNext/>
              <w:keepLines/>
              <w:rPr>
                <w:rFonts w:ascii="Calibri" w:hAnsi="Calibri" w:cs="Calibri"/>
                <w:color w:val="000000"/>
              </w:rPr>
            </w:pPr>
          </w:p>
        </w:tc>
        <w:tc>
          <w:tcPr>
            <w:tcW w:w="577" w:type="pct"/>
            <w:tcBorders>
              <w:top w:val="nil"/>
              <w:left w:val="nil"/>
              <w:bottom w:val="nil"/>
              <w:right w:val="nil"/>
            </w:tcBorders>
            <w:shd w:val="clear" w:color="auto" w:fill="auto"/>
            <w:vAlign w:val="center"/>
          </w:tcPr>
          <w:p w14:paraId="7F6BFA17" w14:textId="77777777" w:rsidR="00C70AFE" w:rsidRPr="00174FC6" w:rsidRDefault="00C70AFE" w:rsidP="00375536">
            <w:pPr>
              <w:keepNext/>
              <w:keepLines/>
              <w:jc w:val="right"/>
              <w:rPr>
                <w:rFonts w:ascii="Calibri" w:eastAsia="Times New Roman" w:hAnsi="Calibri" w:cs="Calibri"/>
                <w:b/>
                <w:bCs/>
                <w:color w:val="000000"/>
                <w:lang w:eastAsia="en-AU"/>
              </w:rPr>
            </w:pPr>
          </w:p>
        </w:tc>
        <w:tc>
          <w:tcPr>
            <w:tcW w:w="578" w:type="pct"/>
            <w:tcBorders>
              <w:top w:val="nil"/>
              <w:left w:val="nil"/>
              <w:bottom w:val="nil"/>
              <w:right w:val="nil"/>
            </w:tcBorders>
            <w:shd w:val="clear" w:color="auto" w:fill="auto"/>
            <w:vAlign w:val="center"/>
          </w:tcPr>
          <w:p w14:paraId="6C664E72" w14:textId="77777777" w:rsidR="00C70AFE" w:rsidRDefault="00C70AFE" w:rsidP="00375536">
            <w:pPr>
              <w:keepNext/>
              <w:keepLines/>
              <w:jc w:val="right"/>
              <w:rPr>
                <w:rFonts w:ascii="Calibri" w:hAnsi="Calibri" w:cs="Calibri"/>
                <w:color w:val="000000"/>
              </w:rPr>
            </w:pPr>
          </w:p>
        </w:tc>
        <w:tc>
          <w:tcPr>
            <w:tcW w:w="578" w:type="pct"/>
            <w:tcBorders>
              <w:top w:val="nil"/>
              <w:left w:val="nil"/>
              <w:bottom w:val="nil"/>
              <w:right w:val="nil"/>
            </w:tcBorders>
            <w:shd w:val="clear" w:color="auto" w:fill="auto"/>
            <w:vAlign w:val="center"/>
          </w:tcPr>
          <w:p w14:paraId="2BDC62A0" w14:textId="77777777" w:rsidR="00C70AFE" w:rsidRDefault="00C70AFE" w:rsidP="00375536">
            <w:pPr>
              <w:keepNext/>
              <w:keepLines/>
              <w:jc w:val="right"/>
              <w:rPr>
                <w:rFonts w:ascii="Calibri" w:hAnsi="Calibri" w:cs="Calibri"/>
                <w:color w:val="000000"/>
              </w:rPr>
            </w:pPr>
          </w:p>
        </w:tc>
        <w:tc>
          <w:tcPr>
            <w:tcW w:w="576" w:type="pct"/>
            <w:tcBorders>
              <w:top w:val="nil"/>
              <w:left w:val="nil"/>
              <w:bottom w:val="nil"/>
              <w:right w:val="nil"/>
            </w:tcBorders>
            <w:shd w:val="clear" w:color="auto" w:fill="auto"/>
            <w:vAlign w:val="center"/>
          </w:tcPr>
          <w:p w14:paraId="40C06DAA" w14:textId="77777777" w:rsidR="00C70AFE" w:rsidRDefault="00C70AFE" w:rsidP="00375536">
            <w:pPr>
              <w:keepNext/>
              <w:keepLines/>
              <w:jc w:val="right"/>
              <w:rPr>
                <w:rFonts w:ascii="Calibri" w:hAnsi="Calibri" w:cs="Calibri"/>
                <w:color w:val="000000"/>
              </w:rPr>
            </w:pPr>
          </w:p>
        </w:tc>
      </w:tr>
      <w:tr w:rsidR="00BE693D" w:rsidRPr="000434EF" w14:paraId="241FA54E" w14:textId="77777777" w:rsidTr="00375536">
        <w:trPr>
          <w:trHeight w:val="300"/>
        </w:trPr>
        <w:tc>
          <w:tcPr>
            <w:tcW w:w="2691" w:type="pct"/>
            <w:gridSpan w:val="3"/>
            <w:tcBorders>
              <w:top w:val="nil"/>
              <w:bottom w:val="single" w:sz="4" w:space="0" w:color="000000"/>
              <w:right w:val="nil"/>
            </w:tcBorders>
            <w:shd w:val="clear" w:color="auto" w:fill="auto"/>
            <w:vAlign w:val="center"/>
            <w:hideMark/>
          </w:tcPr>
          <w:p w14:paraId="7E2C9D72" w14:textId="77777777" w:rsidR="00174FC6" w:rsidRPr="00174FC6" w:rsidRDefault="00174FC6" w:rsidP="00F84023">
            <w:pPr>
              <w:keepNext/>
              <w:keepLines/>
              <w:rPr>
                <w:rFonts w:ascii="Calibri" w:eastAsia="Times New Roman" w:hAnsi="Calibri" w:cs="Calibri"/>
                <w:i/>
                <w:iCs/>
                <w:color w:val="000000"/>
                <w:lang w:eastAsia="en-AU"/>
              </w:rPr>
            </w:pPr>
            <w:r w:rsidRPr="00174FC6">
              <w:rPr>
                <w:rFonts w:ascii="Calibri" w:eastAsia="Times New Roman" w:hAnsi="Calibri" w:cs="Calibri"/>
                <w:i/>
                <w:iCs/>
                <w:color w:val="000000"/>
                <w:lang w:eastAsia="en-AU"/>
              </w:rPr>
              <w:t>Total increase due to genotyping</w:t>
            </w:r>
          </w:p>
        </w:tc>
        <w:tc>
          <w:tcPr>
            <w:tcW w:w="577" w:type="pct"/>
            <w:tcBorders>
              <w:top w:val="nil"/>
              <w:left w:val="nil"/>
              <w:bottom w:val="single" w:sz="4" w:space="0" w:color="000000"/>
              <w:right w:val="nil"/>
            </w:tcBorders>
            <w:shd w:val="clear" w:color="auto" w:fill="auto"/>
            <w:vAlign w:val="center"/>
            <w:hideMark/>
          </w:tcPr>
          <w:p w14:paraId="10A11661" w14:textId="2C4D02DF" w:rsidR="00174FC6" w:rsidRPr="00174FC6" w:rsidRDefault="00174FC6" w:rsidP="00F84023">
            <w:pPr>
              <w:keepNext/>
              <w:keepLines/>
              <w:jc w:val="right"/>
              <w:rPr>
                <w:rFonts w:ascii="Calibri" w:eastAsia="Times New Roman" w:hAnsi="Calibri" w:cs="Calibri"/>
                <w:i/>
                <w:iCs/>
                <w:color w:val="000000"/>
                <w:lang w:eastAsia="en-AU"/>
              </w:rPr>
            </w:pPr>
          </w:p>
        </w:tc>
        <w:tc>
          <w:tcPr>
            <w:tcW w:w="578" w:type="pct"/>
            <w:tcBorders>
              <w:top w:val="nil"/>
              <w:left w:val="nil"/>
              <w:bottom w:val="single" w:sz="4" w:space="0" w:color="000000"/>
              <w:right w:val="nil"/>
            </w:tcBorders>
            <w:shd w:val="clear" w:color="auto" w:fill="auto"/>
            <w:vAlign w:val="center"/>
            <w:hideMark/>
          </w:tcPr>
          <w:p w14:paraId="0EE43360" w14:textId="77777777" w:rsidR="00174FC6" w:rsidRPr="00174FC6" w:rsidRDefault="00174FC6" w:rsidP="00F84023">
            <w:pPr>
              <w:keepNext/>
              <w:keepLines/>
              <w:jc w:val="right"/>
              <w:rPr>
                <w:rFonts w:ascii="Calibri" w:eastAsia="Times New Roman" w:hAnsi="Calibri" w:cs="Calibri"/>
                <w:i/>
                <w:iCs/>
                <w:lang w:eastAsia="en-AU"/>
              </w:rPr>
            </w:pPr>
            <w:r w:rsidRPr="00174FC6">
              <w:rPr>
                <w:rFonts w:ascii="Calibri" w:eastAsia="Times New Roman" w:hAnsi="Calibri" w:cs="Calibri"/>
                <w:i/>
                <w:iCs/>
                <w:lang w:eastAsia="en-AU"/>
              </w:rPr>
              <w:t>32%</w:t>
            </w:r>
          </w:p>
        </w:tc>
        <w:tc>
          <w:tcPr>
            <w:tcW w:w="578" w:type="pct"/>
            <w:tcBorders>
              <w:top w:val="nil"/>
              <w:left w:val="nil"/>
              <w:bottom w:val="single" w:sz="4" w:space="0" w:color="000000"/>
              <w:right w:val="nil"/>
            </w:tcBorders>
            <w:shd w:val="clear" w:color="auto" w:fill="auto"/>
            <w:vAlign w:val="center"/>
            <w:hideMark/>
          </w:tcPr>
          <w:p w14:paraId="63939CD3" w14:textId="77777777" w:rsidR="00174FC6" w:rsidRPr="00174FC6" w:rsidRDefault="00174FC6" w:rsidP="00F84023">
            <w:pPr>
              <w:keepNext/>
              <w:keepLines/>
              <w:jc w:val="right"/>
              <w:rPr>
                <w:rFonts w:ascii="Calibri" w:eastAsia="Times New Roman" w:hAnsi="Calibri" w:cs="Calibri"/>
                <w:i/>
                <w:iCs/>
                <w:lang w:eastAsia="en-AU"/>
              </w:rPr>
            </w:pPr>
            <w:r w:rsidRPr="00174FC6">
              <w:rPr>
                <w:rFonts w:ascii="Calibri" w:eastAsia="Times New Roman" w:hAnsi="Calibri" w:cs="Calibri"/>
                <w:i/>
                <w:iCs/>
                <w:lang w:eastAsia="en-AU"/>
              </w:rPr>
              <w:t>45%</w:t>
            </w:r>
          </w:p>
        </w:tc>
        <w:tc>
          <w:tcPr>
            <w:tcW w:w="576" w:type="pct"/>
            <w:tcBorders>
              <w:top w:val="nil"/>
              <w:left w:val="nil"/>
              <w:bottom w:val="single" w:sz="4" w:space="0" w:color="000000"/>
              <w:right w:val="nil"/>
            </w:tcBorders>
            <w:shd w:val="clear" w:color="auto" w:fill="auto"/>
            <w:vAlign w:val="center"/>
            <w:hideMark/>
          </w:tcPr>
          <w:p w14:paraId="30F43846" w14:textId="77777777" w:rsidR="00174FC6" w:rsidRPr="00174FC6" w:rsidRDefault="00174FC6" w:rsidP="00F84023">
            <w:pPr>
              <w:keepNext/>
              <w:keepLines/>
              <w:jc w:val="right"/>
              <w:rPr>
                <w:rFonts w:ascii="Calibri" w:eastAsia="Times New Roman" w:hAnsi="Calibri" w:cs="Calibri"/>
                <w:i/>
                <w:iCs/>
                <w:color w:val="000000"/>
                <w:lang w:eastAsia="en-AU"/>
              </w:rPr>
            </w:pPr>
            <w:r w:rsidRPr="00174FC6">
              <w:rPr>
                <w:rFonts w:ascii="Calibri" w:eastAsia="Times New Roman" w:hAnsi="Calibri" w:cs="Calibri"/>
                <w:i/>
                <w:iCs/>
                <w:color w:val="000000"/>
                <w:lang w:eastAsia="en-AU"/>
              </w:rPr>
              <w:t>37%</w:t>
            </w:r>
          </w:p>
        </w:tc>
      </w:tr>
    </w:tbl>
    <w:p w14:paraId="632A4EE0" w14:textId="77777777" w:rsidR="00174FC6" w:rsidRDefault="00174FC6" w:rsidP="00F84023">
      <w:pPr>
        <w:keepNext/>
        <w:keepLines/>
        <w:rPr>
          <w:i/>
          <w:iCs/>
          <w:u w:val="single"/>
        </w:rPr>
      </w:pPr>
    </w:p>
    <w:p w14:paraId="403AD4FA" w14:textId="74318DF1" w:rsidR="009822B7" w:rsidRPr="009822B7" w:rsidRDefault="009822B7" w:rsidP="009822B7">
      <w:pPr>
        <w:ind w:left="993"/>
        <w:rPr>
          <w:i/>
          <w:iCs/>
          <w:u w:val="single"/>
        </w:rPr>
      </w:pPr>
      <w:r w:rsidRPr="009822B7">
        <w:rPr>
          <w:i/>
          <w:iCs/>
          <w:u w:val="single"/>
        </w:rPr>
        <w:t>Notes</w:t>
      </w:r>
    </w:p>
    <w:p w14:paraId="789431B1" w14:textId="3D74ADC3" w:rsidR="009822B7" w:rsidRDefault="009822B7" w:rsidP="009822B7">
      <w:pPr>
        <w:ind w:left="993"/>
        <w:rPr>
          <w:i/>
          <w:iCs/>
        </w:rPr>
      </w:pPr>
      <w:r w:rsidRPr="003D030E">
        <w:rPr>
          <w:i/>
          <w:iCs/>
        </w:rPr>
        <w:t xml:space="preserve">a. </w:t>
      </w:r>
      <w:bookmarkStart w:id="162" w:name="_Hlk91763109"/>
      <w:r>
        <w:rPr>
          <w:i/>
          <w:iCs/>
        </w:rPr>
        <w:t>Proportion of national beef herd genotyped</w:t>
      </w:r>
      <w:bookmarkEnd w:id="162"/>
    </w:p>
    <w:p w14:paraId="636D757E" w14:textId="3668680E" w:rsidR="00686793" w:rsidRDefault="00686793" w:rsidP="00686793">
      <w:pPr>
        <w:ind w:left="993"/>
        <w:rPr>
          <w:i/>
          <w:iCs/>
        </w:rPr>
      </w:pPr>
      <w:r>
        <w:rPr>
          <w:i/>
          <w:iCs/>
        </w:rPr>
        <w:t>b. Size of genomic reference population</w:t>
      </w:r>
      <w:r w:rsidRPr="00F541EC">
        <w:t xml:space="preserve"> </w:t>
      </w:r>
      <w:r w:rsidRPr="00797CB9">
        <w:rPr>
          <w:i/>
          <w:iCs/>
        </w:rPr>
        <w:t xml:space="preserve">(see p. </w:t>
      </w:r>
      <w:r w:rsidRPr="00797CB9">
        <w:rPr>
          <w:i/>
          <w:iCs/>
        </w:rPr>
        <w:fldChar w:fldCharType="begin"/>
      </w:r>
      <w:r w:rsidRPr="00797CB9">
        <w:rPr>
          <w:i/>
          <w:iCs/>
        </w:rPr>
        <w:instrText xml:space="preserve"> PAGEREF End_Cromie \h </w:instrText>
      </w:r>
      <w:r w:rsidRPr="00797CB9">
        <w:rPr>
          <w:i/>
          <w:iCs/>
        </w:rPr>
      </w:r>
      <w:r w:rsidRPr="00797CB9">
        <w:rPr>
          <w:i/>
          <w:iCs/>
        </w:rPr>
        <w:fldChar w:fldCharType="separate"/>
      </w:r>
      <w:r w:rsidR="008D0D42">
        <w:rPr>
          <w:i/>
          <w:iCs/>
          <w:noProof/>
        </w:rPr>
        <w:t>101</w:t>
      </w:r>
      <w:r w:rsidRPr="00797CB9">
        <w:rPr>
          <w:i/>
          <w:iCs/>
        </w:rPr>
        <w:fldChar w:fldCharType="end"/>
      </w:r>
      <w:r w:rsidRPr="00797CB9">
        <w:rPr>
          <w:i/>
          <w:iCs/>
        </w:rPr>
        <w:t>)</w:t>
      </w:r>
    </w:p>
    <w:p w14:paraId="68435C58" w14:textId="53646051" w:rsidR="009822B7" w:rsidRDefault="00686793" w:rsidP="009822B7">
      <w:pPr>
        <w:ind w:left="993"/>
        <w:rPr>
          <w:i/>
          <w:iCs/>
        </w:rPr>
      </w:pPr>
      <w:r>
        <w:rPr>
          <w:i/>
          <w:iCs/>
        </w:rPr>
        <w:t>c</w:t>
      </w:r>
      <w:r w:rsidR="009822B7">
        <w:rPr>
          <w:i/>
          <w:iCs/>
        </w:rPr>
        <w:t xml:space="preserve">. Expected prediction accuracy </w:t>
      </w:r>
      <w:r w:rsidR="00EE6970">
        <w:rPr>
          <w:i/>
          <w:iCs/>
        </w:rPr>
        <w:t>given size of reference population</w:t>
      </w:r>
    </w:p>
    <w:p w14:paraId="7B3A7E59" w14:textId="27991CB1" w:rsidR="009822B7" w:rsidRDefault="00686793" w:rsidP="009822B7">
      <w:pPr>
        <w:ind w:left="993"/>
        <w:rPr>
          <w:i/>
          <w:iCs/>
        </w:rPr>
      </w:pPr>
      <w:r>
        <w:rPr>
          <w:i/>
          <w:iCs/>
        </w:rPr>
        <w:t>d</w:t>
      </w:r>
      <w:r w:rsidR="009822B7">
        <w:rPr>
          <w:i/>
          <w:iCs/>
        </w:rPr>
        <w:t xml:space="preserve">. </w:t>
      </w:r>
      <w:r w:rsidR="007A6802">
        <w:rPr>
          <w:i/>
          <w:iCs/>
        </w:rPr>
        <w:t>Proportion</w:t>
      </w:r>
      <w:r w:rsidR="009822B7">
        <w:rPr>
          <w:i/>
          <w:iCs/>
        </w:rPr>
        <w:t xml:space="preserve"> of commercial steers and heifers </w:t>
      </w:r>
      <w:r w:rsidR="007D7AB0">
        <w:rPr>
          <w:i/>
          <w:iCs/>
        </w:rPr>
        <w:t xml:space="preserve">that are managed according to </w:t>
      </w:r>
      <w:r w:rsidR="009822B7">
        <w:rPr>
          <w:i/>
          <w:iCs/>
        </w:rPr>
        <w:t xml:space="preserve">predicted </w:t>
      </w:r>
      <w:r w:rsidR="007D7AB0">
        <w:rPr>
          <w:i/>
          <w:iCs/>
        </w:rPr>
        <w:t xml:space="preserve">performance based on </w:t>
      </w:r>
      <w:r w:rsidR="009822B7">
        <w:rPr>
          <w:i/>
          <w:iCs/>
        </w:rPr>
        <w:t>genotypes</w:t>
      </w:r>
    </w:p>
    <w:p w14:paraId="3E6EA0C1" w14:textId="55B8D0E2" w:rsidR="005A78AC" w:rsidRDefault="005A78AC" w:rsidP="009822B7">
      <w:pPr>
        <w:ind w:left="993"/>
        <w:rPr>
          <w:i/>
          <w:iCs/>
        </w:rPr>
      </w:pPr>
      <w:r>
        <w:rPr>
          <w:i/>
          <w:iCs/>
        </w:rPr>
        <w:t xml:space="preserve">e. </w:t>
      </w:r>
      <w:r w:rsidR="003F4AD0">
        <w:rPr>
          <w:i/>
          <w:iCs/>
        </w:rPr>
        <w:t xml:space="preserve">Figures </w:t>
      </w:r>
      <w:r w:rsidR="003F4AD0" w:rsidRPr="007D7AB0">
        <w:rPr>
          <w:i/>
          <w:iCs/>
        </w:rPr>
        <w:t xml:space="preserve">from </w:t>
      </w:r>
      <w:r w:rsidR="00265B08" w:rsidRPr="007D7AB0">
        <w:rPr>
          <w:i/>
          <w:iCs/>
        </w:rPr>
        <w:fldChar w:fldCharType="begin"/>
      </w:r>
      <w:r w:rsidR="00265B08" w:rsidRPr="007D7AB0">
        <w:rPr>
          <w:i/>
          <w:iCs/>
        </w:rPr>
        <w:instrText xml:space="preserve"> REF _Ref92052583 \h  \* MERGEFORMAT </w:instrText>
      </w:r>
      <w:r w:rsidR="00265B08" w:rsidRPr="007D7AB0">
        <w:rPr>
          <w:i/>
          <w:iCs/>
        </w:rPr>
      </w:r>
      <w:r w:rsidR="00265B08" w:rsidRPr="007D7AB0">
        <w:rPr>
          <w:i/>
          <w:iCs/>
        </w:rPr>
        <w:fldChar w:fldCharType="separate"/>
      </w:r>
      <w:r w:rsidR="008D0D42" w:rsidRPr="008D0D42">
        <w:rPr>
          <w:i/>
          <w:iCs/>
        </w:rPr>
        <w:t xml:space="preserve">Table </w:t>
      </w:r>
      <w:r w:rsidR="008D0D42" w:rsidRPr="008D0D42">
        <w:rPr>
          <w:i/>
          <w:iCs/>
          <w:noProof/>
        </w:rPr>
        <w:t>1</w:t>
      </w:r>
      <w:r w:rsidR="00265B08" w:rsidRPr="007D7AB0">
        <w:rPr>
          <w:i/>
          <w:iCs/>
        </w:rPr>
        <w:fldChar w:fldCharType="end"/>
      </w:r>
    </w:p>
    <w:p w14:paraId="5FC6D016" w14:textId="19CE4409" w:rsidR="00EE6970" w:rsidRDefault="00420EE0" w:rsidP="000E57D1">
      <w:pPr>
        <w:ind w:left="993"/>
        <w:rPr>
          <w:i/>
          <w:iCs/>
        </w:rPr>
      </w:pPr>
      <w:r>
        <w:rPr>
          <w:i/>
          <w:iCs/>
        </w:rPr>
        <w:t>f</w:t>
      </w:r>
      <w:r w:rsidR="001F24DD">
        <w:rPr>
          <w:i/>
          <w:iCs/>
        </w:rPr>
        <w:t xml:space="preserve">. </w:t>
      </w:r>
      <w:r>
        <w:rPr>
          <w:i/>
          <w:iCs/>
        </w:rPr>
        <w:t xml:space="preserve">From Appendix </w:t>
      </w:r>
      <w:r w:rsidR="000E57D1">
        <w:rPr>
          <w:i/>
          <w:iCs/>
        </w:rPr>
        <w:t>3</w:t>
      </w:r>
      <w:r w:rsidR="001F24DD">
        <w:rPr>
          <w:i/>
          <w:iCs/>
        </w:rPr>
        <w:t xml:space="preserve"> </w:t>
      </w:r>
    </w:p>
    <w:p w14:paraId="02F6E768" w14:textId="05E747FA" w:rsidR="00D07B07" w:rsidRDefault="00420EE0" w:rsidP="00D07B07">
      <w:pPr>
        <w:ind w:left="993"/>
        <w:rPr>
          <w:i/>
          <w:iCs/>
        </w:rPr>
      </w:pPr>
      <w:r>
        <w:rPr>
          <w:i/>
          <w:iCs/>
        </w:rPr>
        <w:t>g</w:t>
      </w:r>
      <w:r w:rsidR="00D07B07">
        <w:rPr>
          <w:i/>
          <w:iCs/>
        </w:rPr>
        <w:t xml:space="preserve">. </w:t>
      </w:r>
      <w:r w:rsidR="000E57D1">
        <w:rPr>
          <w:i/>
          <w:iCs/>
        </w:rPr>
        <w:t>From Appendix 4</w:t>
      </w:r>
    </w:p>
    <w:p w14:paraId="4BF9B466" w14:textId="157AE7E5" w:rsidR="0039579A" w:rsidRDefault="0039579A" w:rsidP="00D07B07">
      <w:pPr>
        <w:ind w:left="993"/>
        <w:rPr>
          <w:i/>
          <w:iCs/>
        </w:rPr>
      </w:pPr>
      <w:r>
        <w:rPr>
          <w:i/>
          <w:iCs/>
        </w:rPr>
        <w:t xml:space="preserve">h. </w:t>
      </w:r>
      <w:r w:rsidR="00570181">
        <w:rPr>
          <w:i/>
          <w:iCs/>
        </w:rPr>
        <w:t xml:space="preserve">Traceability benefits </w:t>
      </w:r>
      <w:proofErr w:type="gramStart"/>
      <w:r w:rsidR="00570181">
        <w:rPr>
          <w:i/>
          <w:iCs/>
        </w:rPr>
        <w:t>less</w:t>
      </w:r>
      <w:proofErr w:type="gramEnd"/>
      <w:r w:rsidR="00570181">
        <w:rPr>
          <w:i/>
          <w:iCs/>
        </w:rPr>
        <w:t xml:space="preserve"> extra costs (</w:t>
      </w:r>
      <w:r w:rsidR="00570181" w:rsidRPr="004B1306">
        <w:rPr>
          <w:i/>
          <w:iCs/>
        </w:rPr>
        <w:t xml:space="preserve">same as </w:t>
      </w:r>
      <w:r w:rsidR="00570181" w:rsidRPr="004B1306">
        <w:rPr>
          <w:i/>
          <w:iCs/>
        </w:rPr>
        <w:fldChar w:fldCharType="begin"/>
      </w:r>
      <w:r w:rsidR="00570181" w:rsidRPr="004B1306">
        <w:rPr>
          <w:i/>
          <w:iCs/>
        </w:rPr>
        <w:instrText xml:space="preserve"> REF _Ref92052583 \h  \* MERGEFORMAT </w:instrText>
      </w:r>
      <w:r w:rsidR="00570181" w:rsidRPr="004B1306">
        <w:rPr>
          <w:i/>
          <w:iCs/>
        </w:rPr>
      </w:r>
      <w:r w:rsidR="00570181" w:rsidRPr="004B1306">
        <w:rPr>
          <w:i/>
          <w:iCs/>
        </w:rPr>
        <w:fldChar w:fldCharType="separate"/>
      </w:r>
      <w:r w:rsidR="008D0D42" w:rsidRPr="008D0D42">
        <w:rPr>
          <w:i/>
          <w:iCs/>
        </w:rPr>
        <w:t xml:space="preserve">Table </w:t>
      </w:r>
      <w:r w:rsidR="008D0D42" w:rsidRPr="008D0D42">
        <w:rPr>
          <w:i/>
          <w:iCs/>
          <w:noProof/>
        </w:rPr>
        <w:t>1</w:t>
      </w:r>
      <w:r w:rsidR="00570181" w:rsidRPr="004B1306">
        <w:rPr>
          <w:i/>
          <w:iCs/>
        </w:rPr>
        <w:fldChar w:fldCharType="end"/>
      </w:r>
      <w:r w:rsidR="00570181" w:rsidRPr="004B1306">
        <w:rPr>
          <w:i/>
          <w:iCs/>
        </w:rPr>
        <w:t>)</w:t>
      </w:r>
      <w:r w:rsidRPr="004B1306">
        <w:rPr>
          <w:i/>
          <w:iCs/>
        </w:rPr>
        <w:t>.</w:t>
      </w:r>
    </w:p>
    <w:p w14:paraId="08486503" w14:textId="47E7FFFD" w:rsidR="0039579A" w:rsidRDefault="0039579A" w:rsidP="00D07B07">
      <w:pPr>
        <w:ind w:left="993"/>
        <w:rPr>
          <w:i/>
          <w:iCs/>
        </w:rPr>
      </w:pPr>
      <w:proofErr w:type="spellStart"/>
      <w:r>
        <w:rPr>
          <w:i/>
          <w:iCs/>
        </w:rPr>
        <w:t>i</w:t>
      </w:r>
      <w:proofErr w:type="spellEnd"/>
      <w:r>
        <w:rPr>
          <w:i/>
          <w:iCs/>
        </w:rPr>
        <w:t xml:space="preserve">. </w:t>
      </w:r>
      <w:r w:rsidR="00D27307">
        <w:rPr>
          <w:i/>
          <w:iCs/>
        </w:rPr>
        <w:t>Genetic progress + screening</w:t>
      </w:r>
    </w:p>
    <w:p w14:paraId="434A1499" w14:textId="5877C0EE" w:rsidR="00B610AC" w:rsidRDefault="00B610AC" w:rsidP="00D07B07">
      <w:pPr>
        <w:ind w:left="993"/>
        <w:rPr>
          <w:i/>
          <w:iCs/>
        </w:rPr>
      </w:pPr>
      <w:r>
        <w:rPr>
          <w:i/>
          <w:iCs/>
        </w:rPr>
        <w:t xml:space="preserve">j. </w:t>
      </w:r>
      <w:proofErr w:type="spellStart"/>
      <w:r w:rsidR="004B1306">
        <w:rPr>
          <w:i/>
          <w:iCs/>
        </w:rPr>
        <w:t>h+i</w:t>
      </w:r>
      <w:proofErr w:type="spellEnd"/>
    </w:p>
    <w:p w14:paraId="4BE74961" w14:textId="77777777" w:rsidR="00D07B07" w:rsidRPr="00196DEF" w:rsidRDefault="00D07B07" w:rsidP="00196DEF">
      <w:pPr>
        <w:spacing w:line="259" w:lineRule="auto"/>
      </w:pPr>
    </w:p>
    <w:p w14:paraId="4387541D" w14:textId="57052A41" w:rsidR="008C2EC0" w:rsidRDefault="00196DEF" w:rsidP="00D27307">
      <w:pPr>
        <w:spacing w:line="259" w:lineRule="auto"/>
      </w:pPr>
      <w:r w:rsidRPr="00196DEF">
        <w:t xml:space="preserve">The </w:t>
      </w:r>
      <w:r>
        <w:t xml:space="preserve">results summarised in </w:t>
      </w:r>
      <w:r>
        <w:fldChar w:fldCharType="begin"/>
      </w:r>
      <w:r>
        <w:instrText xml:space="preserve"> REF _Ref92196725 \h </w:instrText>
      </w:r>
      <w:r>
        <w:fldChar w:fldCharType="separate"/>
      </w:r>
      <w:r w:rsidR="008D0D42" w:rsidRPr="00576FA5">
        <w:t xml:space="preserve">Table </w:t>
      </w:r>
      <w:r w:rsidR="008D0D42">
        <w:rPr>
          <w:noProof/>
        </w:rPr>
        <w:t>2</w:t>
      </w:r>
      <w:r>
        <w:fldChar w:fldCharType="end"/>
      </w:r>
      <w:r>
        <w:t xml:space="preserve"> should be regarded as somewhat speculative, particularly those for traceability, which rely heavily on </w:t>
      </w:r>
      <w:r w:rsidR="00291F94">
        <w:t>the report by Dwyer and Clarke (</w:t>
      </w:r>
      <w:r w:rsidR="00291F94">
        <w:rPr>
          <w:i/>
          <w:iCs/>
        </w:rPr>
        <w:t xml:space="preserve">op </w:t>
      </w:r>
      <w:proofErr w:type="spellStart"/>
      <w:r w:rsidR="00291F94">
        <w:rPr>
          <w:i/>
          <w:iCs/>
        </w:rPr>
        <w:t>cit</w:t>
      </w:r>
      <w:proofErr w:type="spellEnd"/>
      <w:r w:rsidR="00291F94">
        <w:rPr>
          <w:i/>
          <w:iCs/>
        </w:rPr>
        <w:t xml:space="preserve">).  </w:t>
      </w:r>
      <w:r w:rsidR="00291F94">
        <w:t xml:space="preserve">Furthermore, projected benefits from </w:t>
      </w:r>
      <w:r w:rsidR="002277C1">
        <w:t xml:space="preserve">genetic applications are </w:t>
      </w:r>
      <w:r w:rsidR="00F35922">
        <w:t xml:space="preserve">obviously </w:t>
      </w:r>
      <w:r w:rsidR="002277C1">
        <w:t>dependent on the assumptions we have used</w:t>
      </w:r>
      <w:r w:rsidR="00AA4C70">
        <w:t>.</w:t>
      </w:r>
    </w:p>
    <w:p w14:paraId="3127B481" w14:textId="77777777" w:rsidR="008C2EC0" w:rsidRDefault="008C2EC0" w:rsidP="008C2EC0">
      <w:pPr>
        <w:pStyle w:val="Heading3"/>
      </w:pPr>
      <w:bookmarkStart w:id="163" w:name="_Toc95983411"/>
      <w:r>
        <w:lastRenderedPageBreak/>
        <w:t>Distribution of benefits by sector</w:t>
      </w:r>
      <w:bookmarkEnd w:id="163"/>
    </w:p>
    <w:p w14:paraId="5B449805" w14:textId="77777777" w:rsidR="008C2EC0" w:rsidRDefault="008C2EC0" w:rsidP="008C2EC0"/>
    <w:p w14:paraId="7188EBE1" w14:textId="4A90E8A7" w:rsidR="008C2EC0" w:rsidRDefault="008C2EC0" w:rsidP="008C2EC0">
      <w:r>
        <w:t>Benefits from increased traceability in beef were estimated by Dwyer and Clarke 2015) as shown in</w:t>
      </w:r>
      <w:r w:rsidR="00526A68">
        <w:t xml:space="preserve"> </w:t>
      </w:r>
      <w:r w:rsidR="004A3DD2">
        <w:fldChar w:fldCharType="begin"/>
      </w:r>
      <w:r w:rsidR="004A3DD2">
        <w:instrText xml:space="preserve"> REF _Ref87706772 \h </w:instrText>
      </w:r>
      <w:r w:rsidR="004A3DD2">
        <w:fldChar w:fldCharType="separate"/>
      </w:r>
      <w:r w:rsidR="008D0D42">
        <w:t xml:space="preserve">Figure </w:t>
      </w:r>
      <w:r w:rsidR="008D0D42">
        <w:rPr>
          <w:noProof/>
        </w:rPr>
        <w:t>31</w:t>
      </w:r>
      <w:r w:rsidR="004A3DD2">
        <w:fldChar w:fldCharType="end"/>
      </w:r>
      <w:r>
        <w:t xml:space="preserve">.  </w:t>
      </w:r>
      <w:r w:rsidRPr="001B1FD3">
        <w:t>Burrow and Banks (2011)</w:t>
      </w:r>
      <w:r w:rsidRPr="001B1FD3">
        <w:rPr>
          <w:rStyle w:val="FootnoteReference"/>
        </w:rPr>
        <w:footnoteReference w:id="66"/>
      </w:r>
      <w:r w:rsidRPr="001B1FD3">
        <w:t xml:space="preserve"> argued that benefits from genetic gain in beef </w:t>
      </w:r>
      <w:r>
        <w:t xml:space="preserve">also </w:t>
      </w:r>
      <w:r w:rsidRPr="001B1FD3">
        <w:t>accrue at all points of the value chain, distributed as shown in</w:t>
      </w:r>
      <w:r w:rsidR="004A3DD2">
        <w:t xml:space="preserve"> </w:t>
      </w:r>
      <w:r w:rsidR="004A3DD2">
        <w:fldChar w:fldCharType="begin"/>
      </w:r>
      <w:r w:rsidR="004A3DD2">
        <w:instrText xml:space="preserve"> REF _Ref95829261 \h </w:instrText>
      </w:r>
      <w:r w:rsidR="004A3DD2">
        <w:fldChar w:fldCharType="separate"/>
      </w:r>
      <w:r w:rsidR="008D0D42">
        <w:t xml:space="preserve">Figure </w:t>
      </w:r>
      <w:r w:rsidR="008D0D42">
        <w:rPr>
          <w:noProof/>
        </w:rPr>
        <w:t>33</w:t>
      </w:r>
      <w:r w:rsidR="004A3DD2">
        <w:fldChar w:fldCharType="end"/>
      </w:r>
      <w:r w:rsidRPr="001B1FD3">
        <w:t xml:space="preserve">.  The proposition that consumers realise up to half of the benefits </w:t>
      </w:r>
      <w:r>
        <w:t xml:space="preserve">from traceability and genetic gain </w:t>
      </w:r>
      <w:r w:rsidRPr="001B1FD3">
        <w:t xml:space="preserve">is an argument for at least some public funding </w:t>
      </w:r>
      <w:r>
        <w:t>of</w:t>
      </w:r>
      <w:r w:rsidRPr="001B1FD3">
        <w:t xml:space="preserve"> activities directed at improving </w:t>
      </w:r>
      <w:r>
        <w:t>these</w:t>
      </w:r>
      <w:r w:rsidRPr="001B1FD3">
        <w:t xml:space="preserve">.  </w:t>
      </w:r>
    </w:p>
    <w:p w14:paraId="2CCDFE71" w14:textId="77777777" w:rsidR="008C2EC0" w:rsidRDefault="008C2EC0" w:rsidP="008C2EC0"/>
    <w:tbl>
      <w:tblPr>
        <w:tblStyle w:val="TableGrid"/>
        <w:tblW w:w="0" w:type="auto"/>
        <w:jc w:val="center"/>
        <w:tblCellMar>
          <w:left w:w="0" w:type="dxa"/>
          <w:right w:w="0" w:type="dxa"/>
        </w:tblCellMar>
        <w:tblLook w:val="04A0" w:firstRow="1" w:lastRow="0" w:firstColumn="1" w:lastColumn="0" w:noHBand="0" w:noVBand="1"/>
      </w:tblPr>
      <w:tblGrid>
        <w:gridCol w:w="5080"/>
      </w:tblGrid>
      <w:tr w:rsidR="008C2EC0" w14:paraId="21723ADA" w14:textId="77777777" w:rsidTr="00E5753C">
        <w:trPr>
          <w:jc w:val="center"/>
        </w:trPr>
        <w:tc>
          <w:tcPr>
            <w:tcW w:w="0" w:type="auto"/>
            <w:vAlign w:val="center"/>
          </w:tcPr>
          <w:p w14:paraId="75A6F782" w14:textId="77777777" w:rsidR="008C2EC0" w:rsidRDefault="008C2EC0" w:rsidP="00E5753C">
            <w:pPr>
              <w:jc w:val="center"/>
            </w:pPr>
            <w:r>
              <w:rPr>
                <w:noProof/>
              </w:rPr>
              <w:drawing>
                <wp:inline distT="0" distB="0" distL="0" distR="0" wp14:anchorId="5BBB8B7E" wp14:editId="35A46BED">
                  <wp:extent cx="3216326" cy="23368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 r="-1330"/>
                          <a:stretch/>
                        </pic:blipFill>
                        <pic:spPr bwMode="auto">
                          <a:xfrm>
                            <a:off x="0" y="0"/>
                            <a:ext cx="3222345" cy="23411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488427" w14:textId="77777777" w:rsidR="008C2EC0" w:rsidRDefault="008C2EC0" w:rsidP="008C2EC0"/>
    <w:p w14:paraId="1EA25F96" w14:textId="5A802AEA" w:rsidR="00C23AF8" w:rsidRDefault="008C2EC0" w:rsidP="008C2EC0">
      <w:pPr>
        <w:pStyle w:val="Caption"/>
      </w:pPr>
      <w:bookmarkStart w:id="164" w:name="_Ref95829261"/>
      <w:bookmarkStart w:id="165" w:name="_Toc95983479"/>
      <w:r>
        <w:t xml:space="preserve">Figure </w:t>
      </w:r>
      <w:r w:rsidR="009A5F60">
        <w:fldChar w:fldCharType="begin"/>
      </w:r>
      <w:r w:rsidR="009A5F60">
        <w:instrText xml:space="preserve"> SEQ Figure \* A</w:instrText>
      </w:r>
      <w:r w:rsidR="009A5F60">
        <w:instrText xml:space="preserve">RABIC </w:instrText>
      </w:r>
      <w:r w:rsidR="009A5F60">
        <w:fldChar w:fldCharType="separate"/>
      </w:r>
      <w:r w:rsidR="008D0D42">
        <w:rPr>
          <w:noProof/>
        </w:rPr>
        <w:t>33</w:t>
      </w:r>
      <w:r w:rsidR="009A5F60">
        <w:rPr>
          <w:noProof/>
        </w:rPr>
        <w:fldChar w:fldCharType="end"/>
      </w:r>
      <w:bookmarkEnd w:id="164"/>
      <w:r>
        <w:t xml:space="preserve">. </w:t>
      </w:r>
      <w:r w:rsidR="00526A68">
        <w:t xml:space="preserve">Distribution of benefits </w:t>
      </w:r>
      <w:r w:rsidR="003670A9">
        <w:t>from</w:t>
      </w:r>
      <w:r w:rsidR="0041711E">
        <w:t xml:space="preserve"> genetic improvement</w:t>
      </w:r>
      <w:bookmarkEnd w:id="165"/>
    </w:p>
    <w:p w14:paraId="1702A689" w14:textId="7B70FAA6" w:rsidR="008C2EC0" w:rsidRPr="00C23AF8" w:rsidRDefault="00526A68" w:rsidP="00C23AF8">
      <w:pPr>
        <w:jc w:val="center"/>
        <w:rPr>
          <w:i/>
          <w:iCs/>
        </w:rPr>
      </w:pPr>
      <w:r w:rsidRPr="00C23AF8">
        <w:rPr>
          <w:i/>
          <w:iCs/>
        </w:rPr>
        <w:t>(</w:t>
      </w:r>
      <w:proofErr w:type="gramStart"/>
      <w:r w:rsidR="00C23AF8" w:rsidRPr="00C23AF8">
        <w:rPr>
          <w:i/>
          <w:iCs/>
        </w:rPr>
        <w:t>from</w:t>
      </w:r>
      <w:proofErr w:type="gramEnd"/>
      <w:r w:rsidR="00C23AF8" w:rsidRPr="00C23AF8">
        <w:rPr>
          <w:i/>
          <w:iCs/>
        </w:rPr>
        <w:t xml:space="preserve"> </w:t>
      </w:r>
      <w:r w:rsidR="008C2EC0" w:rsidRPr="00C23AF8">
        <w:rPr>
          <w:i/>
          <w:iCs/>
        </w:rPr>
        <w:t>Burrow and Banks</w:t>
      </w:r>
      <w:r w:rsidRPr="00C23AF8">
        <w:rPr>
          <w:i/>
          <w:iCs/>
        </w:rPr>
        <w:t xml:space="preserve"> </w:t>
      </w:r>
      <w:r w:rsidR="008C2EC0" w:rsidRPr="00C23AF8">
        <w:rPr>
          <w:i/>
          <w:iCs/>
        </w:rPr>
        <w:t>2011</w:t>
      </w:r>
      <w:r w:rsidR="00E5753C">
        <w:rPr>
          <w:rStyle w:val="FootnoteReference"/>
        </w:rPr>
        <w:footnoteReference w:id="67"/>
      </w:r>
      <w:r w:rsidR="0041711E" w:rsidRPr="00C23AF8">
        <w:rPr>
          <w:i/>
          <w:iCs/>
        </w:rPr>
        <w:t>)</w:t>
      </w:r>
    </w:p>
    <w:p w14:paraId="00F49495" w14:textId="24EA1729" w:rsidR="00EA3054" w:rsidRDefault="00EA3054" w:rsidP="00D27307">
      <w:pPr>
        <w:spacing w:line="259" w:lineRule="auto"/>
        <w:rPr>
          <w:rFonts w:asciiTheme="majorHAnsi" w:eastAsiaTheme="majorEastAsia" w:hAnsiTheme="majorHAnsi" w:cstheme="majorBidi"/>
          <w:b/>
          <w:color w:val="0070C0"/>
          <w:sz w:val="26"/>
          <w:szCs w:val="26"/>
        </w:rPr>
      </w:pPr>
      <w:r>
        <w:br w:type="page"/>
      </w:r>
    </w:p>
    <w:p w14:paraId="300D8305" w14:textId="22DC855A" w:rsidR="001C60D9" w:rsidRPr="00461BCB" w:rsidRDefault="001C60D9" w:rsidP="00A067DB">
      <w:pPr>
        <w:pStyle w:val="Heading2"/>
      </w:pPr>
      <w:bookmarkStart w:id="166" w:name="_Toc95983412"/>
      <w:r w:rsidRPr="00461BCB">
        <w:lastRenderedPageBreak/>
        <w:t>b) Sheep</w:t>
      </w:r>
      <w:bookmarkEnd w:id="166"/>
    </w:p>
    <w:p w14:paraId="7B5B824D" w14:textId="77777777" w:rsidR="00E27FA6" w:rsidRDefault="00E27FA6" w:rsidP="00E27FA6">
      <w:pPr>
        <w:rPr>
          <w:b/>
        </w:rPr>
      </w:pPr>
    </w:p>
    <w:p w14:paraId="6888869D" w14:textId="31421CAC" w:rsidR="00A067DB" w:rsidRDefault="00A067DB" w:rsidP="00A067DB">
      <w:pPr>
        <w:pStyle w:val="Heading3"/>
      </w:pPr>
      <w:bookmarkStart w:id="167" w:name="_Toc95983413"/>
      <w:r>
        <w:t>Traceability</w:t>
      </w:r>
      <w:r w:rsidR="00144E8D">
        <w:t xml:space="preserve"> in the sheep value chain</w:t>
      </w:r>
      <w:bookmarkEnd w:id="167"/>
    </w:p>
    <w:p w14:paraId="732925E3" w14:textId="77777777" w:rsidR="00A067DB" w:rsidRDefault="00A067DB" w:rsidP="00E27FA6"/>
    <w:p w14:paraId="61615FDE" w14:textId="4B99DB8D" w:rsidR="00E27FA6" w:rsidRDefault="00E27FA6" w:rsidP="00E27FA6">
      <w:r>
        <w:t>Modelling potential benefits of DNA traceability in the sheep industry, and of potential ancillary benefits, is not as straightforward as for beef cattle, for two reasons:</w:t>
      </w:r>
    </w:p>
    <w:p w14:paraId="18E88CB4" w14:textId="77777777" w:rsidR="00461BCB" w:rsidRDefault="00461BCB" w:rsidP="00E27FA6"/>
    <w:p w14:paraId="6FA7B258" w14:textId="2C6A8186" w:rsidR="00E27FA6" w:rsidRDefault="00E27FA6" w:rsidP="00374617">
      <w:pPr>
        <w:pStyle w:val="ListParagraph"/>
        <w:numPr>
          <w:ilvl w:val="0"/>
          <w:numId w:val="33"/>
        </w:numPr>
        <w:spacing w:after="160" w:line="259" w:lineRule="auto"/>
      </w:pPr>
      <w:r>
        <w:t>NLIS in sheep is currently mob-based and predominantly based on paper recording (apart from in Victoria where EID is mandatory). Accordingly, a point of comparison for DNA-based traceability in sheep is not an EID system, which would be assumed to have accuracy around 90%, but a paper-based system which, drawing on earlier studies might be assumed to have accuracy in the 65-70% range.</w:t>
      </w:r>
    </w:p>
    <w:p w14:paraId="0CF7CAFF" w14:textId="77777777" w:rsidR="00461BCB" w:rsidRDefault="00461BCB" w:rsidP="00461BCB">
      <w:pPr>
        <w:pStyle w:val="ListParagraph"/>
        <w:spacing w:after="160" w:line="259" w:lineRule="auto"/>
        <w:ind w:left="360"/>
      </w:pPr>
    </w:p>
    <w:p w14:paraId="0F71CCFD" w14:textId="2315C254" w:rsidR="00E27FA6" w:rsidRDefault="00E27FA6" w:rsidP="00374617">
      <w:pPr>
        <w:pStyle w:val="ListParagraph"/>
        <w:numPr>
          <w:ilvl w:val="0"/>
          <w:numId w:val="33"/>
        </w:numPr>
        <w:spacing w:after="160" w:line="259" w:lineRule="auto"/>
      </w:pPr>
      <w:r>
        <w:t>The cost of genotyping relative to the value of individual animals is higher in sheep (than cattle)</w:t>
      </w:r>
      <w:r w:rsidR="003A365D">
        <w:t xml:space="preserve"> -</w:t>
      </w:r>
      <w:r>
        <w:t xml:space="preserve"> approximately $35-45 genotyping against </w:t>
      </w:r>
      <w:r w:rsidR="002166C2">
        <w:t xml:space="preserve">nominal </w:t>
      </w:r>
      <w:r w:rsidR="003A365D">
        <w:t xml:space="preserve">5-year rolling average </w:t>
      </w:r>
      <w:r>
        <w:t>lamb values of c. $150 per head, compared with similar price for genotyping against steer values of c. $1000-1500 per head</w:t>
      </w:r>
      <w:r w:rsidR="00D507AD">
        <w:t>.</w:t>
      </w:r>
    </w:p>
    <w:p w14:paraId="56B96889" w14:textId="34CF5BCF" w:rsidR="00E27FA6" w:rsidRDefault="00E27FA6" w:rsidP="00E27FA6">
      <w:r>
        <w:t xml:space="preserve">Taking the second challenge first, it is worth setting out how DNA technologies are </w:t>
      </w:r>
      <w:r w:rsidR="00240646">
        <w:t xml:space="preserve">already </w:t>
      </w:r>
      <w:r>
        <w:t xml:space="preserve">being used in sheep (see </w:t>
      </w:r>
      <w:r w:rsidR="00240646">
        <w:t>S</w:t>
      </w:r>
      <w:r w:rsidR="00306321">
        <w:t xml:space="preserve">ection </w:t>
      </w:r>
      <w:r w:rsidR="00306321">
        <w:fldChar w:fldCharType="begin"/>
      </w:r>
      <w:r w:rsidR="00306321">
        <w:instrText xml:space="preserve"> REF _Ref92198412 \r \h </w:instrText>
      </w:r>
      <w:r w:rsidR="00306321">
        <w:fldChar w:fldCharType="separate"/>
      </w:r>
      <w:r w:rsidR="008D0D42">
        <w:t>3</w:t>
      </w:r>
      <w:r w:rsidR="00306321">
        <w:fldChar w:fldCharType="end"/>
      </w:r>
      <w:r w:rsidR="003B5666">
        <w:t>)</w:t>
      </w:r>
      <w:r>
        <w:t>:</w:t>
      </w:r>
    </w:p>
    <w:p w14:paraId="4FBA93F0" w14:textId="77777777" w:rsidR="00306321" w:rsidRDefault="00306321" w:rsidP="00E27FA6"/>
    <w:p w14:paraId="21EC24AA" w14:textId="07E83908" w:rsidR="00E27FA6" w:rsidRDefault="00E27FA6" w:rsidP="00374617">
      <w:pPr>
        <w:pStyle w:val="ListParagraph"/>
        <w:numPr>
          <w:ilvl w:val="0"/>
          <w:numId w:val="25"/>
        </w:numPr>
        <w:spacing w:after="160" w:line="259" w:lineRule="auto"/>
      </w:pPr>
      <w:r>
        <w:t>In the stud or seedstock sector, there is steadily growing adoption of genotyping for parentage, horn/poll (Merinos) and increasingly for genomic prediction. This is individual animal genotyping.</w:t>
      </w:r>
    </w:p>
    <w:p w14:paraId="72E0ACFD" w14:textId="77777777" w:rsidR="00240646" w:rsidRDefault="00240646" w:rsidP="00240646">
      <w:pPr>
        <w:pStyle w:val="ListParagraph"/>
        <w:spacing w:after="160" w:line="259" w:lineRule="auto"/>
        <w:ind w:left="360"/>
      </w:pPr>
    </w:p>
    <w:p w14:paraId="7C361792" w14:textId="37D74C1A" w:rsidR="00E27FA6" w:rsidRDefault="00E27FA6" w:rsidP="00CC23D5">
      <w:pPr>
        <w:pStyle w:val="ListParagraph"/>
        <w:numPr>
          <w:ilvl w:val="0"/>
          <w:numId w:val="25"/>
        </w:numPr>
        <w:spacing w:after="160" w:line="259" w:lineRule="auto"/>
      </w:pPr>
      <w:r>
        <w:t>In the commercial sector, there is modest but growing adoption of mob-based genotyping via the Flock Profile service supported by Sheep Genetics. Here, tissue samples from c. 20 animals in a flock are submitted for genotyping, and the genotype is then used to predict flock mean genetic merit for traits evaluated by Sheep Genetics.</w:t>
      </w:r>
      <w:r w:rsidR="00240646">
        <w:t xml:space="preserve"> </w:t>
      </w:r>
      <w:r>
        <w:t>This service costs approximately $700 per flock.</w:t>
      </w:r>
    </w:p>
    <w:p w14:paraId="42333E57" w14:textId="79DB94F4" w:rsidR="00E27FA6" w:rsidRDefault="00E27FA6" w:rsidP="00E27FA6">
      <w:r>
        <w:t xml:space="preserve">The methodology for estimating flock mean is based on estimating genetic relationship of that flock sample to the overall genomic reference population (the dataset of animals with genotypes and phenotypes which underpins the genomic analyses delivered by Sheep Genetics). This is analogous to matching an animal to its sire (for example) via DNA, except that in the case of Flock Profile, the matching is </w:t>
      </w:r>
      <w:proofErr w:type="gramStart"/>
      <w:r>
        <w:t>actually to</w:t>
      </w:r>
      <w:proofErr w:type="gramEnd"/>
      <w:r>
        <w:t xml:space="preserve"> all animals with genotypes in the Sheep Genetics database.</w:t>
      </w:r>
    </w:p>
    <w:p w14:paraId="61F7E8CA" w14:textId="77777777" w:rsidR="00297291" w:rsidRDefault="00297291" w:rsidP="00E27FA6"/>
    <w:p w14:paraId="02205F0B" w14:textId="6EE209A1" w:rsidR="003B6D33" w:rsidRPr="00314431" w:rsidRDefault="003B6D33" w:rsidP="00314431">
      <w:r w:rsidRPr="00314431">
        <w:t xml:space="preserve">An alternative to basing traceability on Flock Profiling would be to genotype all the sheep sires used in Australia.  </w:t>
      </w:r>
      <w:proofErr w:type="spellStart"/>
      <w:r w:rsidR="007122C9" w:rsidRPr="004C7BF0">
        <w:t>Fennessy</w:t>
      </w:r>
      <w:proofErr w:type="spellEnd"/>
      <w:r w:rsidR="007122C9" w:rsidRPr="004C7BF0">
        <w:t xml:space="preserve"> </w:t>
      </w:r>
      <w:r w:rsidR="007122C9" w:rsidRPr="004C7BF0">
        <w:rPr>
          <w:i/>
          <w:iCs/>
        </w:rPr>
        <w:t>et al</w:t>
      </w:r>
      <w:r w:rsidR="007122C9" w:rsidRPr="004C7BF0">
        <w:t>.</w:t>
      </w:r>
      <w:r w:rsidR="00BA224A">
        <w:t xml:space="preserve"> (2012)</w:t>
      </w:r>
      <w:r w:rsidR="00BA224A" w:rsidRPr="00BA224A">
        <w:rPr>
          <w:vertAlign w:val="superscript"/>
        </w:rPr>
        <w:fldChar w:fldCharType="begin"/>
      </w:r>
      <w:r w:rsidR="00BA224A" w:rsidRPr="00BA224A">
        <w:rPr>
          <w:vertAlign w:val="superscript"/>
        </w:rPr>
        <w:instrText xml:space="preserve"> NOTEREF _Ref92052042 \h </w:instrText>
      </w:r>
      <w:r w:rsidR="00BA224A">
        <w:rPr>
          <w:vertAlign w:val="superscript"/>
        </w:rPr>
        <w:instrText xml:space="preserve"> \* MERGEFORMAT </w:instrText>
      </w:r>
      <w:r w:rsidR="00BA224A" w:rsidRPr="00BA224A">
        <w:rPr>
          <w:vertAlign w:val="superscript"/>
        </w:rPr>
      </w:r>
      <w:r w:rsidR="00BA224A" w:rsidRPr="00BA224A">
        <w:rPr>
          <w:vertAlign w:val="superscript"/>
        </w:rPr>
        <w:fldChar w:fldCharType="separate"/>
      </w:r>
      <w:r w:rsidR="008D0D42">
        <w:rPr>
          <w:vertAlign w:val="superscript"/>
        </w:rPr>
        <w:t>13</w:t>
      </w:r>
      <w:r w:rsidR="00BA224A" w:rsidRPr="00BA224A">
        <w:rPr>
          <w:vertAlign w:val="superscript"/>
        </w:rPr>
        <w:fldChar w:fldCharType="end"/>
      </w:r>
      <w:r w:rsidR="00BA224A">
        <w:t xml:space="preserve"> estimated that 254,000 new rams are needed each year for the national sheep flock.  </w:t>
      </w:r>
      <w:r w:rsidR="00CF0CF4">
        <w:t>We have used a figure of 300,000 and each of these is genotyped. A</w:t>
      </w:r>
      <w:r w:rsidRPr="00314431">
        <w:t>t $3</w:t>
      </w:r>
      <w:r w:rsidR="00F35922">
        <w:t>3</w:t>
      </w:r>
      <w:r w:rsidRPr="00314431">
        <w:t xml:space="preserve"> </w:t>
      </w:r>
      <w:r w:rsidR="00CF0CF4">
        <w:t>p</w:t>
      </w:r>
      <w:r w:rsidR="001F4AEF">
        <w:t>e</w:t>
      </w:r>
      <w:r w:rsidR="00CF0CF4">
        <w:t xml:space="preserve">r test, this </w:t>
      </w:r>
      <w:r w:rsidRPr="00314431">
        <w:t xml:space="preserve">would </w:t>
      </w:r>
      <w:r w:rsidR="00E716F8">
        <w:t xml:space="preserve">probably cost around $33m in the first year if all existing sires are genotyped, but about </w:t>
      </w:r>
      <w:r w:rsidRPr="00314431">
        <w:t>$</w:t>
      </w:r>
      <w:r w:rsidR="0092772B">
        <w:t>10</w:t>
      </w:r>
      <w:r w:rsidRPr="00314431">
        <w:t xml:space="preserve">m every year thereafter if just new </w:t>
      </w:r>
      <w:r w:rsidR="000052FE">
        <w:t>sires</w:t>
      </w:r>
      <w:r w:rsidRPr="00314431">
        <w:t xml:space="preserve"> are genotyped.  This is likely to lead to slightly more accurate traceability </w:t>
      </w:r>
      <w:r w:rsidR="00804E69">
        <w:t xml:space="preserve">than Flock Profiling </w:t>
      </w:r>
      <w:r w:rsidRPr="00314431">
        <w:t>but at a greater cost.</w:t>
      </w:r>
    </w:p>
    <w:p w14:paraId="3FD3892E" w14:textId="77777777" w:rsidR="00297291" w:rsidRDefault="00297291" w:rsidP="00E27FA6"/>
    <w:p w14:paraId="6487D4B8" w14:textId="135638F1" w:rsidR="00E27FA6" w:rsidRPr="00112EF2" w:rsidRDefault="00E27FA6" w:rsidP="00EF34CD">
      <w:pPr>
        <w:pStyle w:val="Heading3"/>
      </w:pPr>
      <w:bookmarkStart w:id="168" w:name="_Toc95983414"/>
      <w:r w:rsidRPr="00112EF2">
        <w:t xml:space="preserve">Flow-on or </w:t>
      </w:r>
      <w:r w:rsidR="00D507AD" w:rsidRPr="00112EF2">
        <w:t>ancillary bene</w:t>
      </w:r>
      <w:r w:rsidRPr="00112EF2">
        <w:t>fits</w:t>
      </w:r>
      <w:bookmarkEnd w:id="168"/>
    </w:p>
    <w:p w14:paraId="28CFBB09" w14:textId="77777777" w:rsidR="00297291" w:rsidRDefault="00297291" w:rsidP="00E27FA6"/>
    <w:p w14:paraId="49F88224" w14:textId="0763F150" w:rsidR="00E27FA6" w:rsidRDefault="00E27FA6" w:rsidP="00E27FA6">
      <w:r>
        <w:t xml:space="preserve">The approach described has a second-level benefit, in that it automates </w:t>
      </w:r>
      <w:r w:rsidR="00804E69">
        <w:t xml:space="preserve">the provision of </w:t>
      </w:r>
      <w:r>
        <w:t>information from which breeding and (potentially) management decisions can be made.</w:t>
      </w:r>
      <w:r w:rsidR="00214C0B">
        <w:t xml:space="preserve"> </w:t>
      </w:r>
      <w:r>
        <w:t xml:space="preserve"> The Flock Profile service delivers flock mean EBVs, with the primary expectation that producers can use that information to </w:t>
      </w:r>
      <w:r>
        <w:lastRenderedPageBreak/>
        <w:t>review their ram-buying decisions – both in terms of the ASBVs (the sheep industry version of EBVs) they might focus on, but also, potentially to change their ram source(s).</w:t>
      </w:r>
    </w:p>
    <w:p w14:paraId="72909BEB" w14:textId="77777777" w:rsidR="00297291" w:rsidRDefault="00297291" w:rsidP="00E27FA6"/>
    <w:p w14:paraId="5DA57D1D" w14:textId="6517C1D2" w:rsidR="00E27FA6" w:rsidRDefault="00E27FA6" w:rsidP="00E27FA6">
      <w:r>
        <w:t>The value of providing information to assist in such changes in ram source has been modelled by Atkins (1993)</w:t>
      </w:r>
      <w:r w:rsidR="008F7C86">
        <w:rPr>
          <w:rStyle w:val="FootnoteReference"/>
        </w:rPr>
        <w:footnoteReference w:id="68"/>
      </w:r>
      <w:r>
        <w:t xml:space="preserve">, and with appropriate updating of prices, can serve as a basis for approximation of benefits of such use of Flock Profile information. Note that </w:t>
      </w:r>
      <w:r w:rsidRPr="008F7C86">
        <w:t>Atkins’ m</w:t>
      </w:r>
      <w:r>
        <w:t>odelling was solely in Merinos.</w:t>
      </w:r>
    </w:p>
    <w:p w14:paraId="30BD99CD" w14:textId="77777777" w:rsidR="00E27FA6" w:rsidRDefault="00E27FA6" w:rsidP="00E27FA6">
      <w:r>
        <w:t xml:space="preserve">Switching to genetically superior ram sources is potentially the main “management” benefit of DNA information – primarily because the use of flock sampling overcomes the hurdle of the </w:t>
      </w:r>
      <w:proofErr w:type="gramStart"/>
      <w:r>
        <w:t>high cost</w:t>
      </w:r>
      <w:proofErr w:type="gramEnd"/>
      <w:r>
        <w:t xml:space="preserve"> relative to individual animal value.</w:t>
      </w:r>
    </w:p>
    <w:p w14:paraId="7C3464E4" w14:textId="77777777" w:rsidR="00297291" w:rsidRDefault="00297291" w:rsidP="00E27FA6"/>
    <w:p w14:paraId="74C22643" w14:textId="30BA7557" w:rsidR="00E27FA6" w:rsidRDefault="00E27FA6" w:rsidP="00E27FA6">
      <w:r>
        <w:t xml:space="preserve">It should be noted that </w:t>
      </w:r>
      <w:proofErr w:type="gramStart"/>
      <w:r>
        <w:t>a number of</w:t>
      </w:r>
      <w:proofErr w:type="gramEnd"/>
      <w:r>
        <w:t xml:space="preserve"> studies have investigated use of genotyping in the multiplier level of operations where there is a stud or nucleus, then a multiplier “tier” which in turn supplies flock rams to a large commercial operation. This is not really an ancillary benefit of genotyping for traceability, because such flocks would likely have a genomic profile based on animals in the stud or nucleus – such that the flock will already be obtaining the benefits of genomic selection, or at least is able to.</w:t>
      </w:r>
    </w:p>
    <w:p w14:paraId="49D40FBA" w14:textId="77777777" w:rsidR="00297291" w:rsidRDefault="00297291" w:rsidP="00E27FA6">
      <w:pPr>
        <w:rPr>
          <w:b/>
        </w:rPr>
      </w:pPr>
    </w:p>
    <w:p w14:paraId="0D83C13C" w14:textId="77777777" w:rsidR="00B06E48" w:rsidRPr="00C83D90" w:rsidRDefault="00B06E48" w:rsidP="00B06E48">
      <w:pPr>
        <w:pStyle w:val="Heading3"/>
      </w:pPr>
      <w:bookmarkStart w:id="169" w:name="_Toc95983415"/>
      <w:r w:rsidRPr="00C83D90">
        <w:t>Additional data for genomic selection</w:t>
      </w:r>
      <w:bookmarkEnd w:id="169"/>
      <w:r w:rsidRPr="00C83D90">
        <w:t xml:space="preserve"> </w:t>
      </w:r>
    </w:p>
    <w:p w14:paraId="3A894572" w14:textId="5D579630" w:rsidR="00297291" w:rsidRDefault="00297291" w:rsidP="00AF26D4">
      <w:pPr>
        <w:keepNext/>
        <w:keepLines/>
      </w:pPr>
    </w:p>
    <w:p w14:paraId="70BDBEC1" w14:textId="118C132F" w:rsidR="00217E2A" w:rsidRDefault="003B3FDF" w:rsidP="00EA14BD">
      <w:r w:rsidRPr="003B3FDF">
        <w:t>Although</w:t>
      </w:r>
      <w:r>
        <w:t xml:space="preserve"> we have de</w:t>
      </w:r>
      <w:r w:rsidR="00341FAD">
        <w:t xml:space="preserve">veloped a model to predict the value of increased selection accuracy </w:t>
      </w:r>
      <w:r w:rsidR="009307E0">
        <w:t xml:space="preserve">that would arise if more phenotypic and genotypic records are added to the existing sheep reference populations, we </w:t>
      </w:r>
      <w:r w:rsidR="00292287">
        <w:t>will not report that work here</w:t>
      </w:r>
      <w:r w:rsidR="002362D3">
        <w:t xml:space="preserve"> (except to note that elements of the relevant modelling in sheep are also included in </w:t>
      </w:r>
      <w:r w:rsidR="00A563CA">
        <w:t>Appendix 3)</w:t>
      </w:r>
      <w:r w:rsidR="00292287">
        <w:t xml:space="preserve">.  </w:t>
      </w:r>
      <w:r w:rsidR="00EA14BD" w:rsidRPr="008B524C">
        <w:t>In sheep</w:t>
      </w:r>
      <w:r w:rsidR="00A563CA">
        <w:t>,</w:t>
      </w:r>
      <w:r w:rsidR="00EA14BD" w:rsidRPr="008B524C">
        <w:t xml:space="preserve"> where only </w:t>
      </w:r>
      <w:r w:rsidR="008B524C" w:rsidRPr="008B524C">
        <w:t xml:space="preserve">samples of </w:t>
      </w:r>
      <w:r w:rsidR="00EA14BD" w:rsidRPr="008B524C">
        <w:t xml:space="preserve">flocks (or </w:t>
      </w:r>
      <w:r w:rsidR="008B524C">
        <w:t xml:space="preserve">alternatively, </w:t>
      </w:r>
      <w:r w:rsidR="00EA14BD" w:rsidRPr="008B524C">
        <w:t>sire</w:t>
      </w:r>
      <w:r w:rsidR="008B524C">
        <w:t>s</w:t>
      </w:r>
      <w:r w:rsidR="00EA14BD" w:rsidRPr="008B524C">
        <w:t xml:space="preserve">) </w:t>
      </w:r>
      <w:r w:rsidR="00292287" w:rsidRPr="008B524C">
        <w:t>are genoty</w:t>
      </w:r>
      <w:r w:rsidR="008B524C">
        <w:t>p</w:t>
      </w:r>
      <w:r w:rsidR="008B524C" w:rsidRPr="008B524C">
        <w:t>ed</w:t>
      </w:r>
      <w:r w:rsidR="00EA14BD" w:rsidRPr="008B524C">
        <w:t xml:space="preserve">, </w:t>
      </w:r>
      <w:r w:rsidR="008B524C">
        <w:t xml:space="preserve">increasing the number of records </w:t>
      </w:r>
      <w:r w:rsidR="0074700E">
        <w:t>for the reference populations is essentially a separate exercise</w:t>
      </w:r>
      <w:r w:rsidR="00363CE2">
        <w:t xml:space="preserve">. This contrasts with the situation in beef where the genotypes of </w:t>
      </w:r>
      <w:r w:rsidR="00993DA7">
        <w:t xml:space="preserve">many </w:t>
      </w:r>
      <w:r w:rsidR="00363CE2">
        <w:t xml:space="preserve">individual animals </w:t>
      </w:r>
      <w:r w:rsidR="00993DA7">
        <w:t xml:space="preserve">become available if </w:t>
      </w:r>
      <w:r w:rsidR="000D17C1">
        <w:t xml:space="preserve">DNA is used to </w:t>
      </w:r>
      <w:r w:rsidR="0050366D">
        <w:t>strengthen</w:t>
      </w:r>
      <w:r w:rsidR="000D17C1">
        <w:t xml:space="preserve"> traceability.  </w:t>
      </w:r>
    </w:p>
    <w:p w14:paraId="262F1441" w14:textId="77777777" w:rsidR="00217E2A" w:rsidRDefault="00217E2A" w:rsidP="00EA14BD"/>
    <w:p w14:paraId="07FCD014" w14:textId="7300FB9D" w:rsidR="00217E2A" w:rsidRDefault="00CB066D" w:rsidP="00CB066D">
      <w:pPr>
        <w:pStyle w:val="Heading3"/>
      </w:pPr>
      <w:bookmarkStart w:id="170" w:name="_Toc95983416"/>
      <w:r>
        <w:t>More informed ram buying decisions</w:t>
      </w:r>
      <w:bookmarkEnd w:id="170"/>
    </w:p>
    <w:p w14:paraId="73481743" w14:textId="77777777" w:rsidR="00217E2A" w:rsidRDefault="00217E2A" w:rsidP="00EA14BD"/>
    <w:p w14:paraId="71259128" w14:textId="3EC15742" w:rsidR="00217E2A" w:rsidRDefault="004C79C1" w:rsidP="00EA14BD">
      <w:r>
        <w:t xml:space="preserve">Profiling every flock using a sample of its DNA essentially means that </w:t>
      </w:r>
      <w:r w:rsidR="00632DAB">
        <w:t xml:space="preserve">all flocks </w:t>
      </w:r>
      <w:r w:rsidR="00EF11C0">
        <w:t xml:space="preserve">can be assigned EBVs for the main </w:t>
      </w:r>
      <w:r>
        <w:t>traits affecting profitability</w:t>
      </w:r>
      <w:r w:rsidR="00632DAB">
        <w:t xml:space="preserve"> using existing reference data.  </w:t>
      </w:r>
      <w:r w:rsidR="00772112">
        <w:t xml:space="preserve">A similar situation exists of </w:t>
      </w:r>
      <w:r w:rsidR="00632DAB">
        <w:t xml:space="preserve">all sires </w:t>
      </w:r>
      <w:r w:rsidR="00772112">
        <w:t xml:space="preserve">that are genotyped.  This means that </w:t>
      </w:r>
      <w:r w:rsidR="002904E9">
        <w:t>ram buyers have the information required to compare ram sources and consequently they have the opportunit</w:t>
      </w:r>
      <w:r w:rsidR="00401B5C">
        <w:t xml:space="preserve">y (and possibly the motivation) to change their ram supplier.  </w:t>
      </w:r>
    </w:p>
    <w:p w14:paraId="00528FA4" w14:textId="734E2F05" w:rsidR="00CB066D" w:rsidRDefault="00CB066D" w:rsidP="00EA14BD"/>
    <w:p w14:paraId="1AA76983" w14:textId="44A3F7C0" w:rsidR="00FE3819" w:rsidRDefault="00FE3819" w:rsidP="00066C9E">
      <w:r>
        <w:t>Notably, Atkins (1993) provided a detailed analysis of the potential values from higher rates of genetic progress and of ram buyers switching sources, for the wool industry.</w:t>
      </w:r>
      <w:r w:rsidR="00C545EA">
        <w:t xml:space="preserve">  He concluded that the increased adoption of more effective breeding </w:t>
      </w:r>
      <w:r w:rsidR="00F35B71">
        <w:t xml:space="preserve">practices together with improved client mobility could </w:t>
      </w:r>
      <w:r w:rsidR="006C5512">
        <w:t>result in an additional $1</w:t>
      </w:r>
      <w:r w:rsidR="00730684">
        <w:t>,</w:t>
      </w:r>
      <w:r w:rsidR="006C5512">
        <w:t>4</w:t>
      </w:r>
      <w:r w:rsidR="00730684">
        <w:t>00m</w:t>
      </w:r>
      <w:r w:rsidR="006C5512">
        <w:t xml:space="preserve"> (in 1993 dollars) over 30 years.  </w:t>
      </w:r>
      <w:r w:rsidR="006E1957">
        <w:t xml:space="preserve">Using these results as a basis, to </w:t>
      </w:r>
      <w:r>
        <w:t xml:space="preserve">approximate a value of this outcome in </w:t>
      </w:r>
      <w:r w:rsidR="006E1957">
        <w:t>today’s</w:t>
      </w:r>
      <w:r>
        <w:t xml:space="preserve"> values</w:t>
      </w:r>
      <w:r w:rsidR="000D3591">
        <w:t xml:space="preserve"> we have </w:t>
      </w:r>
      <w:r w:rsidR="00674AFB">
        <w:t xml:space="preserve">estimated the </w:t>
      </w:r>
      <w:r w:rsidR="00817721">
        <w:t xml:space="preserve">intervening changes in wool prices, increases in the value of surplus animals, reductions in size of </w:t>
      </w:r>
      <w:r w:rsidR="00671EAA">
        <w:t xml:space="preserve">the national flock and assumed that half of the NPV is due to ram-buyer mobility.  We have made no allowance for ram-buyer </w:t>
      </w:r>
      <w:r w:rsidR="00066C9E">
        <w:t>mobility in the terminal sire and maternal sectors. This leads to an estimate of this ancillary benefit of</w:t>
      </w:r>
      <w:r w:rsidRPr="009C4935">
        <w:t xml:space="preserve"> $</w:t>
      </w:r>
      <w:r>
        <w:t>23</w:t>
      </w:r>
      <w:r w:rsidRPr="009C4935">
        <w:t xml:space="preserve">m </w:t>
      </w:r>
      <w:r>
        <w:t>p.a.</w:t>
      </w:r>
    </w:p>
    <w:p w14:paraId="196ECAEE" w14:textId="01D441E2" w:rsidR="00FE3819" w:rsidRDefault="00FE3819" w:rsidP="00EA14BD"/>
    <w:p w14:paraId="0CF9B952" w14:textId="77777777" w:rsidR="00AD0E0E" w:rsidRDefault="00AD0E0E" w:rsidP="00C21CE4">
      <w:pPr>
        <w:pStyle w:val="Heading3"/>
      </w:pPr>
      <w:bookmarkStart w:id="171" w:name="_Toc95983417"/>
      <w:r>
        <w:t>Total benefits</w:t>
      </w:r>
      <w:bookmarkEnd w:id="171"/>
    </w:p>
    <w:p w14:paraId="46F02151" w14:textId="77777777" w:rsidR="00D507AD" w:rsidRDefault="00D507AD" w:rsidP="00C21CE4">
      <w:pPr>
        <w:keepNext/>
        <w:keepLines/>
      </w:pPr>
    </w:p>
    <w:p w14:paraId="512DB938" w14:textId="2F1AC692" w:rsidR="000D17C1" w:rsidRDefault="00AD0E0E" w:rsidP="00EA14BD">
      <w:r>
        <w:t>F</w:t>
      </w:r>
      <w:r w:rsidR="00EA14BD" w:rsidRPr="008B524C">
        <w:t xml:space="preserve">or sheep, </w:t>
      </w:r>
      <w:r w:rsidR="000D17C1">
        <w:t>we present model</w:t>
      </w:r>
      <w:r>
        <w:t>l</w:t>
      </w:r>
      <w:r w:rsidR="000D17C1">
        <w:t>ing results from three alternatives:</w:t>
      </w:r>
    </w:p>
    <w:p w14:paraId="213A8E2C" w14:textId="77777777" w:rsidR="00217E2A" w:rsidRDefault="00217E2A" w:rsidP="00EA14BD">
      <w:pPr>
        <w:rPr>
          <w:color w:val="FF0000"/>
        </w:rPr>
      </w:pPr>
    </w:p>
    <w:p w14:paraId="736730A9" w14:textId="24A9E52F" w:rsidR="00EA14BD" w:rsidRPr="003B1982" w:rsidRDefault="00EA14BD" w:rsidP="00EA14BD">
      <w:r w:rsidRPr="003B1982">
        <w:t xml:space="preserve">1. </w:t>
      </w:r>
      <w:r w:rsidR="000D17C1" w:rsidRPr="003B1982">
        <w:t xml:space="preserve">The existing </w:t>
      </w:r>
      <w:r w:rsidRPr="003B1982">
        <w:t>NLIS</w:t>
      </w:r>
      <w:r w:rsidR="000D17C1" w:rsidRPr="003B1982">
        <w:t xml:space="preserve"> system</w:t>
      </w:r>
      <w:r w:rsidR="003B1982">
        <w:t>, with traceability assumed to be 90%.</w:t>
      </w:r>
    </w:p>
    <w:p w14:paraId="58C2BD87" w14:textId="66A7F107" w:rsidR="00EA14BD" w:rsidRPr="003B1982" w:rsidRDefault="00EA14BD" w:rsidP="00EA14BD">
      <w:r w:rsidRPr="003B1982">
        <w:t xml:space="preserve">2. NLIS </w:t>
      </w:r>
      <w:r w:rsidR="003B1982">
        <w:t>augmented by Flock Profiling</w:t>
      </w:r>
      <w:r w:rsidRPr="003B1982">
        <w:t xml:space="preserve">, with every flock sampled every </w:t>
      </w:r>
      <w:r w:rsidR="003B1982">
        <w:t>three</w:t>
      </w:r>
      <w:r w:rsidRPr="003B1982">
        <w:t xml:space="preserve"> years and traceability </w:t>
      </w:r>
      <w:r w:rsidR="003B1982">
        <w:t>assumed to be</w:t>
      </w:r>
      <w:r w:rsidRPr="003B1982">
        <w:t xml:space="preserve"> 99%. No benefits </w:t>
      </w:r>
      <w:r w:rsidR="000E3ECB">
        <w:t xml:space="preserve">are assumed </w:t>
      </w:r>
      <w:r w:rsidRPr="003B1982">
        <w:t xml:space="preserve">for extra genetic gain </w:t>
      </w:r>
      <w:r w:rsidR="000E3ECB">
        <w:t xml:space="preserve">due to genotyping but the </w:t>
      </w:r>
      <w:r w:rsidRPr="003B1982">
        <w:t>value from changing ram sources</w:t>
      </w:r>
      <w:r w:rsidR="000E3ECB">
        <w:t xml:space="preserve"> is included.</w:t>
      </w:r>
    </w:p>
    <w:p w14:paraId="41EDC0E1" w14:textId="53BB0CD1" w:rsidR="00EA14BD" w:rsidRDefault="00EA14BD" w:rsidP="00EA14BD">
      <w:r w:rsidRPr="003B1982">
        <w:t>3. NLIS + sire only</w:t>
      </w:r>
      <w:r w:rsidR="00AD0E0E">
        <w:t xml:space="preserve"> genotyping</w:t>
      </w:r>
      <w:r w:rsidRPr="003B1982">
        <w:t xml:space="preserve">. All </w:t>
      </w:r>
      <w:proofErr w:type="spellStart"/>
      <w:r w:rsidRPr="003B1982">
        <w:t>sires</w:t>
      </w:r>
      <w:proofErr w:type="spellEnd"/>
      <w:r w:rsidRPr="003B1982">
        <w:t xml:space="preserve"> </w:t>
      </w:r>
      <w:r w:rsidR="009050FB">
        <w:t xml:space="preserve">are </w:t>
      </w:r>
      <w:proofErr w:type="gramStart"/>
      <w:r w:rsidRPr="003B1982">
        <w:t>genotyped</w:t>
      </w:r>
      <w:proofErr w:type="gramEnd"/>
      <w:r w:rsidRPr="003B1982">
        <w:t xml:space="preserve"> and traceability </w:t>
      </w:r>
      <w:r w:rsidR="00AD0E0E">
        <w:t xml:space="preserve">is assumed to be </w:t>
      </w:r>
      <w:r w:rsidRPr="003B1982">
        <w:t xml:space="preserve">99.5%.  No extra benefits </w:t>
      </w:r>
      <w:r w:rsidR="00AD0E0E">
        <w:t xml:space="preserve">accrue </w:t>
      </w:r>
      <w:r w:rsidRPr="003B1982">
        <w:t>for genetic gain but same value from changing ram sources.</w:t>
      </w:r>
    </w:p>
    <w:p w14:paraId="49E77FBF" w14:textId="5F6A7CBB" w:rsidR="00F177C4" w:rsidRDefault="00F177C4" w:rsidP="00EA14BD"/>
    <w:p w14:paraId="133FFD3C" w14:textId="7A5E738B" w:rsidR="00F177C4" w:rsidRPr="003B1982" w:rsidRDefault="008B12E8" w:rsidP="00EA14BD">
      <w:r>
        <w:t>The r</w:t>
      </w:r>
      <w:r w:rsidR="00F177C4">
        <w:t xml:space="preserve">esults are summarised in </w:t>
      </w:r>
      <w:r>
        <w:fldChar w:fldCharType="begin"/>
      </w:r>
      <w:r>
        <w:instrText xml:space="preserve"> REF _Ref88590700 \h </w:instrText>
      </w:r>
      <w:r>
        <w:fldChar w:fldCharType="separate"/>
      </w:r>
      <w:r w:rsidR="008D0D42" w:rsidRPr="00576FA5">
        <w:t xml:space="preserve">Table </w:t>
      </w:r>
      <w:r w:rsidR="008D0D42">
        <w:rPr>
          <w:noProof/>
        </w:rPr>
        <w:t>3</w:t>
      </w:r>
      <w:r>
        <w:fldChar w:fldCharType="end"/>
      </w:r>
      <w:r w:rsidR="00F177C4">
        <w:t xml:space="preserve">. </w:t>
      </w:r>
    </w:p>
    <w:p w14:paraId="590D5399" w14:textId="7AFA3773" w:rsidR="00EA14BD" w:rsidRDefault="00EA14BD" w:rsidP="00EA14BD">
      <w:pPr>
        <w:rPr>
          <w:color w:val="FF0000"/>
        </w:rPr>
      </w:pPr>
    </w:p>
    <w:p w14:paraId="5A8154B9" w14:textId="1FD941B6" w:rsidR="00F177C4" w:rsidRDefault="00F177C4" w:rsidP="00475E28">
      <w:pPr>
        <w:pStyle w:val="Caption"/>
      </w:pPr>
      <w:bookmarkStart w:id="172" w:name="_Ref88590700"/>
      <w:bookmarkStart w:id="173" w:name="_Toc95983446"/>
      <w:r w:rsidRPr="00576FA5">
        <w:t xml:space="preserve">Table </w:t>
      </w:r>
      <w:r>
        <w:fldChar w:fldCharType="begin"/>
      </w:r>
      <w:r>
        <w:instrText>SEQ Table \* ARABIC</w:instrText>
      </w:r>
      <w:r>
        <w:fldChar w:fldCharType="separate"/>
      </w:r>
      <w:r w:rsidR="008D0D42">
        <w:rPr>
          <w:noProof/>
        </w:rPr>
        <w:t>3</w:t>
      </w:r>
      <w:r>
        <w:fldChar w:fldCharType="end"/>
      </w:r>
      <w:bookmarkEnd w:id="172"/>
      <w:r w:rsidRPr="00576FA5">
        <w:t>. Net benefits of using genotyping as an aid to traceability</w:t>
      </w:r>
      <w:r>
        <w:t xml:space="preserve"> in sheep.</w:t>
      </w:r>
      <w:bookmarkEnd w:id="173"/>
      <w:r>
        <w:t xml:space="preserve">  </w:t>
      </w:r>
    </w:p>
    <w:tbl>
      <w:tblPr>
        <w:tblW w:w="5000" w:type="pct"/>
        <w:tblLook w:val="04A0" w:firstRow="1" w:lastRow="0" w:firstColumn="1" w:lastColumn="0" w:noHBand="0" w:noVBand="1"/>
      </w:tblPr>
      <w:tblGrid>
        <w:gridCol w:w="1151"/>
        <w:gridCol w:w="4210"/>
        <w:gridCol w:w="814"/>
        <w:gridCol w:w="1392"/>
        <w:gridCol w:w="1459"/>
      </w:tblGrid>
      <w:tr w:rsidR="00FA2FC6" w:rsidRPr="00FA2FC6" w14:paraId="66D16026" w14:textId="77777777" w:rsidTr="002E7F49">
        <w:trPr>
          <w:trHeight w:val="615"/>
        </w:trPr>
        <w:tc>
          <w:tcPr>
            <w:tcW w:w="638" w:type="pct"/>
            <w:tcBorders>
              <w:bottom w:val="single" w:sz="8" w:space="0" w:color="auto"/>
              <w:right w:val="nil"/>
            </w:tcBorders>
            <w:shd w:val="clear" w:color="auto" w:fill="auto"/>
            <w:vAlign w:val="center"/>
            <w:hideMark/>
          </w:tcPr>
          <w:p w14:paraId="698C8506" w14:textId="77777777" w:rsidR="00FA2FC6" w:rsidRPr="00FA2FC6" w:rsidRDefault="00FA2FC6" w:rsidP="00FA2FC6">
            <w:pPr>
              <w:keepNext/>
              <w:keepLines/>
              <w:jc w:val="center"/>
              <w:rPr>
                <w:rFonts w:ascii="Calibri" w:eastAsia="Times New Roman" w:hAnsi="Calibri" w:cs="Calibri"/>
                <w:color w:val="000000"/>
                <w:sz w:val="18"/>
                <w:szCs w:val="18"/>
                <w:lang w:eastAsia="en-AU"/>
              </w:rPr>
            </w:pPr>
            <w:r w:rsidRPr="00FA2FC6">
              <w:rPr>
                <w:rFonts w:ascii="Calibri" w:eastAsia="Times New Roman" w:hAnsi="Calibri" w:cs="Calibri"/>
                <w:color w:val="000000"/>
                <w:sz w:val="18"/>
                <w:szCs w:val="18"/>
                <w:lang w:eastAsia="en-AU"/>
              </w:rPr>
              <w:t>  Note</w:t>
            </w:r>
          </w:p>
        </w:tc>
        <w:tc>
          <w:tcPr>
            <w:tcW w:w="2331" w:type="pct"/>
            <w:tcBorders>
              <w:left w:val="nil"/>
              <w:bottom w:val="single" w:sz="8" w:space="0" w:color="auto"/>
              <w:right w:val="nil"/>
            </w:tcBorders>
            <w:shd w:val="clear" w:color="auto" w:fill="auto"/>
            <w:vAlign w:val="center"/>
            <w:hideMark/>
          </w:tcPr>
          <w:p w14:paraId="4ED81F1B" w14:textId="77777777" w:rsidR="00FA2FC6" w:rsidRPr="00FA2FC6" w:rsidRDefault="00FA2FC6" w:rsidP="00FA2FC6">
            <w:pPr>
              <w:keepNext/>
              <w:keepLines/>
              <w:jc w:val="center"/>
              <w:rPr>
                <w:rFonts w:ascii="Calibri" w:eastAsia="Times New Roman" w:hAnsi="Calibri" w:cs="Calibri"/>
                <w:b/>
                <w:bCs/>
                <w:color w:val="000000"/>
                <w:lang w:eastAsia="en-AU"/>
              </w:rPr>
            </w:pPr>
            <w:r w:rsidRPr="00FA2FC6">
              <w:rPr>
                <w:rFonts w:ascii="Calibri" w:eastAsia="Times New Roman" w:hAnsi="Calibri" w:cs="Calibri"/>
                <w:b/>
                <w:bCs/>
                <w:color w:val="000000"/>
                <w:lang w:eastAsia="en-AU"/>
              </w:rPr>
              <w:t>  Parameter</w:t>
            </w:r>
          </w:p>
        </w:tc>
        <w:tc>
          <w:tcPr>
            <w:tcW w:w="451" w:type="pct"/>
            <w:tcBorders>
              <w:left w:val="nil"/>
              <w:bottom w:val="single" w:sz="8" w:space="0" w:color="auto"/>
              <w:right w:val="nil"/>
            </w:tcBorders>
            <w:shd w:val="clear" w:color="auto" w:fill="auto"/>
            <w:vAlign w:val="center"/>
            <w:hideMark/>
          </w:tcPr>
          <w:p w14:paraId="542E262D" w14:textId="77777777" w:rsidR="00FA2FC6" w:rsidRPr="00FA2FC6" w:rsidRDefault="00FA2FC6" w:rsidP="00FA2FC6">
            <w:pPr>
              <w:keepNext/>
              <w:keepLines/>
              <w:jc w:val="center"/>
              <w:rPr>
                <w:rFonts w:ascii="Calibri" w:eastAsia="Times New Roman" w:hAnsi="Calibri" w:cs="Calibri"/>
                <w:b/>
                <w:bCs/>
                <w:color w:val="000000"/>
                <w:lang w:eastAsia="en-AU"/>
              </w:rPr>
            </w:pPr>
            <w:r w:rsidRPr="00FA2FC6">
              <w:rPr>
                <w:rFonts w:ascii="Calibri" w:eastAsia="Times New Roman" w:hAnsi="Calibri" w:cs="Calibri"/>
                <w:b/>
                <w:bCs/>
                <w:color w:val="000000"/>
                <w:lang w:eastAsia="en-AU"/>
              </w:rPr>
              <w:t>NLIS</w:t>
            </w:r>
          </w:p>
        </w:tc>
        <w:tc>
          <w:tcPr>
            <w:tcW w:w="771" w:type="pct"/>
            <w:tcBorders>
              <w:left w:val="nil"/>
              <w:bottom w:val="single" w:sz="8" w:space="0" w:color="auto"/>
              <w:right w:val="nil"/>
            </w:tcBorders>
            <w:shd w:val="clear" w:color="auto" w:fill="auto"/>
            <w:vAlign w:val="center"/>
            <w:hideMark/>
          </w:tcPr>
          <w:p w14:paraId="097B5E3F" w14:textId="77777777" w:rsidR="00FA2FC6" w:rsidRPr="00FA2FC6" w:rsidRDefault="00FA2FC6" w:rsidP="00FA2FC6">
            <w:pPr>
              <w:keepNext/>
              <w:keepLines/>
              <w:jc w:val="center"/>
              <w:rPr>
                <w:rFonts w:ascii="Calibri" w:eastAsia="Times New Roman" w:hAnsi="Calibri" w:cs="Calibri"/>
                <w:b/>
                <w:bCs/>
                <w:color w:val="000000"/>
                <w:lang w:eastAsia="en-AU"/>
              </w:rPr>
            </w:pPr>
            <w:r w:rsidRPr="00FA2FC6">
              <w:rPr>
                <w:rFonts w:ascii="Calibri" w:eastAsia="Times New Roman" w:hAnsi="Calibri" w:cs="Calibri"/>
                <w:b/>
                <w:bCs/>
                <w:color w:val="000000"/>
                <w:lang w:eastAsia="en-AU"/>
              </w:rPr>
              <w:t>NLIS &amp; flock profiling</w:t>
            </w:r>
            <w:r w:rsidRPr="00FA2FC6">
              <w:rPr>
                <w:rFonts w:ascii="Calibri" w:eastAsia="Times New Roman" w:hAnsi="Calibri" w:cs="Calibri"/>
                <w:color w:val="000000"/>
                <w:lang w:eastAsia="en-AU"/>
              </w:rPr>
              <w:t> </w:t>
            </w:r>
          </w:p>
        </w:tc>
        <w:tc>
          <w:tcPr>
            <w:tcW w:w="808" w:type="pct"/>
            <w:tcBorders>
              <w:left w:val="nil"/>
              <w:bottom w:val="single" w:sz="8" w:space="0" w:color="auto"/>
              <w:right w:val="nil"/>
            </w:tcBorders>
            <w:shd w:val="clear" w:color="auto" w:fill="auto"/>
            <w:vAlign w:val="center"/>
            <w:hideMark/>
          </w:tcPr>
          <w:p w14:paraId="5CDB5ED1" w14:textId="77777777" w:rsidR="00FA2FC6" w:rsidRPr="00FA2FC6" w:rsidRDefault="00FA2FC6" w:rsidP="00FA2FC6">
            <w:pPr>
              <w:keepNext/>
              <w:keepLines/>
              <w:jc w:val="center"/>
              <w:rPr>
                <w:rFonts w:ascii="Calibri" w:eastAsia="Times New Roman" w:hAnsi="Calibri" w:cs="Calibri"/>
                <w:b/>
                <w:bCs/>
                <w:color w:val="000000"/>
                <w:lang w:eastAsia="en-AU"/>
              </w:rPr>
            </w:pPr>
            <w:r w:rsidRPr="00FA2FC6">
              <w:rPr>
                <w:rFonts w:ascii="Calibri" w:eastAsia="Times New Roman" w:hAnsi="Calibri" w:cs="Calibri"/>
                <w:b/>
                <w:bCs/>
                <w:color w:val="000000"/>
                <w:lang w:eastAsia="en-AU"/>
              </w:rPr>
              <w:t>NLIS &amp; sire genotyping</w:t>
            </w:r>
          </w:p>
        </w:tc>
      </w:tr>
      <w:tr w:rsidR="00FA2FC6" w:rsidRPr="00FA2FC6" w14:paraId="431A41EA" w14:textId="77777777" w:rsidTr="002E7F49">
        <w:trPr>
          <w:trHeight w:val="300"/>
        </w:trPr>
        <w:tc>
          <w:tcPr>
            <w:tcW w:w="638" w:type="pct"/>
            <w:tcBorders>
              <w:top w:val="nil"/>
              <w:bottom w:val="nil"/>
              <w:right w:val="nil"/>
            </w:tcBorders>
            <w:shd w:val="clear" w:color="auto" w:fill="auto"/>
            <w:vAlign w:val="center"/>
            <w:hideMark/>
          </w:tcPr>
          <w:p w14:paraId="0962850C" w14:textId="64A9DB18" w:rsidR="00FA2FC6" w:rsidRPr="00FA2FC6" w:rsidRDefault="000052FE" w:rsidP="00FA2FC6">
            <w:pPr>
              <w:jc w:val="center"/>
              <w:rPr>
                <w:rFonts w:eastAsia="Times New Roman" w:cstheme="minorHAnsi"/>
                <w:color w:val="000000"/>
                <w:sz w:val="18"/>
                <w:szCs w:val="18"/>
                <w:lang w:eastAsia="en-AU"/>
              </w:rPr>
            </w:pPr>
            <w:r w:rsidRPr="00B92ECB">
              <w:rPr>
                <w:rFonts w:eastAsia="Times New Roman" w:cstheme="minorHAnsi"/>
                <w:color w:val="000000"/>
                <w:sz w:val="18"/>
                <w:szCs w:val="18"/>
                <w:lang w:eastAsia="en-AU"/>
              </w:rPr>
              <w:t>a</w:t>
            </w:r>
          </w:p>
        </w:tc>
        <w:tc>
          <w:tcPr>
            <w:tcW w:w="2331" w:type="pct"/>
            <w:tcBorders>
              <w:top w:val="nil"/>
              <w:left w:val="nil"/>
              <w:bottom w:val="nil"/>
              <w:right w:val="nil"/>
            </w:tcBorders>
            <w:shd w:val="clear" w:color="auto" w:fill="auto"/>
            <w:vAlign w:val="center"/>
            <w:hideMark/>
          </w:tcPr>
          <w:p w14:paraId="2396DEC6"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Number of flocks submitting genotypes</w:t>
            </w:r>
          </w:p>
        </w:tc>
        <w:tc>
          <w:tcPr>
            <w:tcW w:w="451" w:type="pct"/>
            <w:tcBorders>
              <w:top w:val="nil"/>
              <w:left w:val="nil"/>
              <w:bottom w:val="nil"/>
              <w:right w:val="nil"/>
            </w:tcBorders>
            <w:shd w:val="clear" w:color="auto" w:fill="auto"/>
            <w:vAlign w:val="center"/>
            <w:hideMark/>
          </w:tcPr>
          <w:p w14:paraId="6DED1B5B" w14:textId="77777777" w:rsidR="00FA2FC6" w:rsidRPr="00FA2FC6" w:rsidRDefault="00FA2FC6" w:rsidP="00FA2FC6">
            <w:pPr>
              <w:rPr>
                <w:rFonts w:ascii="Calibri" w:eastAsia="Times New Roman" w:hAnsi="Calibri" w:cs="Calibri"/>
                <w:color w:val="000000"/>
                <w:lang w:eastAsia="en-AU"/>
              </w:rPr>
            </w:pPr>
          </w:p>
        </w:tc>
        <w:tc>
          <w:tcPr>
            <w:tcW w:w="771" w:type="pct"/>
            <w:tcBorders>
              <w:top w:val="nil"/>
              <w:left w:val="nil"/>
              <w:bottom w:val="nil"/>
              <w:right w:val="nil"/>
            </w:tcBorders>
            <w:shd w:val="clear" w:color="auto" w:fill="auto"/>
            <w:vAlign w:val="center"/>
            <w:hideMark/>
          </w:tcPr>
          <w:p w14:paraId="3C3F7290"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16,667</w:t>
            </w:r>
          </w:p>
        </w:tc>
        <w:tc>
          <w:tcPr>
            <w:tcW w:w="808" w:type="pct"/>
            <w:tcBorders>
              <w:top w:val="nil"/>
              <w:left w:val="nil"/>
              <w:bottom w:val="nil"/>
            </w:tcBorders>
            <w:shd w:val="clear" w:color="auto" w:fill="auto"/>
            <w:vAlign w:val="center"/>
            <w:hideMark/>
          </w:tcPr>
          <w:p w14:paraId="691AC591"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w:t>
            </w:r>
          </w:p>
        </w:tc>
      </w:tr>
      <w:tr w:rsidR="00FA2FC6" w:rsidRPr="00FA2FC6" w14:paraId="5D286CAD" w14:textId="77777777" w:rsidTr="002E7F49">
        <w:trPr>
          <w:trHeight w:val="315"/>
        </w:trPr>
        <w:tc>
          <w:tcPr>
            <w:tcW w:w="638" w:type="pct"/>
            <w:tcBorders>
              <w:top w:val="nil"/>
              <w:bottom w:val="nil"/>
              <w:right w:val="nil"/>
            </w:tcBorders>
            <w:shd w:val="clear" w:color="auto" w:fill="auto"/>
            <w:vAlign w:val="center"/>
            <w:hideMark/>
          </w:tcPr>
          <w:p w14:paraId="615F799C" w14:textId="36475A4B" w:rsidR="00FA2FC6" w:rsidRPr="00FA2FC6" w:rsidRDefault="000052FE" w:rsidP="00FA2FC6">
            <w:pPr>
              <w:jc w:val="center"/>
              <w:rPr>
                <w:rFonts w:eastAsia="Times New Roman" w:cstheme="minorHAnsi"/>
                <w:color w:val="000000"/>
                <w:sz w:val="18"/>
                <w:szCs w:val="18"/>
                <w:lang w:eastAsia="en-AU"/>
              </w:rPr>
            </w:pPr>
            <w:r w:rsidRPr="00B92ECB">
              <w:rPr>
                <w:rFonts w:eastAsia="Times New Roman" w:cstheme="minorHAnsi"/>
                <w:color w:val="000000"/>
                <w:sz w:val="18"/>
                <w:szCs w:val="18"/>
                <w:lang w:eastAsia="en-AU"/>
              </w:rPr>
              <w:t>b</w:t>
            </w:r>
          </w:p>
        </w:tc>
        <w:tc>
          <w:tcPr>
            <w:tcW w:w="2331" w:type="pct"/>
            <w:tcBorders>
              <w:top w:val="nil"/>
              <w:left w:val="nil"/>
              <w:bottom w:val="nil"/>
              <w:right w:val="nil"/>
            </w:tcBorders>
            <w:shd w:val="clear" w:color="auto" w:fill="auto"/>
            <w:noWrap/>
            <w:vAlign w:val="bottom"/>
            <w:hideMark/>
          </w:tcPr>
          <w:p w14:paraId="26C93A14"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Number of sires genotyped</w:t>
            </w:r>
          </w:p>
        </w:tc>
        <w:tc>
          <w:tcPr>
            <w:tcW w:w="451" w:type="pct"/>
            <w:tcBorders>
              <w:top w:val="nil"/>
              <w:left w:val="nil"/>
              <w:bottom w:val="nil"/>
              <w:right w:val="nil"/>
            </w:tcBorders>
            <w:shd w:val="clear" w:color="auto" w:fill="auto"/>
            <w:noWrap/>
            <w:vAlign w:val="bottom"/>
            <w:hideMark/>
          </w:tcPr>
          <w:p w14:paraId="10C5D408" w14:textId="77777777" w:rsidR="00FA2FC6" w:rsidRPr="00FA2FC6" w:rsidRDefault="00FA2FC6" w:rsidP="00FA2FC6">
            <w:pPr>
              <w:rPr>
                <w:rFonts w:ascii="Calibri" w:eastAsia="Times New Roman" w:hAnsi="Calibri" w:cs="Calibri"/>
                <w:color w:val="000000"/>
                <w:lang w:eastAsia="en-AU"/>
              </w:rPr>
            </w:pPr>
          </w:p>
        </w:tc>
        <w:tc>
          <w:tcPr>
            <w:tcW w:w="771" w:type="pct"/>
            <w:tcBorders>
              <w:top w:val="nil"/>
              <w:left w:val="nil"/>
              <w:bottom w:val="nil"/>
              <w:right w:val="nil"/>
            </w:tcBorders>
            <w:shd w:val="clear" w:color="auto" w:fill="auto"/>
            <w:noWrap/>
            <w:vAlign w:val="bottom"/>
            <w:hideMark/>
          </w:tcPr>
          <w:p w14:paraId="1063E451" w14:textId="77777777" w:rsidR="00FA2FC6" w:rsidRPr="00FA2FC6" w:rsidRDefault="00FA2FC6" w:rsidP="00FA2FC6">
            <w:pPr>
              <w:rPr>
                <w:rFonts w:ascii="Times New Roman" w:eastAsia="Times New Roman" w:hAnsi="Times New Roman" w:cs="Times New Roman"/>
                <w:sz w:val="20"/>
                <w:szCs w:val="20"/>
                <w:lang w:eastAsia="en-AU"/>
              </w:rPr>
            </w:pPr>
          </w:p>
        </w:tc>
        <w:tc>
          <w:tcPr>
            <w:tcW w:w="808" w:type="pct"/>
            <w:tcBorders>
              <w:top w:val="nil"/>
              <w:left w:val="nil"/>
              <w:bottom w:val="nil"/>
            </w:tcBorders>
            <w:shd w:val="clear" w:color="auto" w:fill="auto"/>
            <w:vAlign w:val="center"/>
            <w:hideMark/>
          </w:tcPr>
          <w:p w14:paraId="633AADBF" w14:textId="049247FC" w:rsidR="00FA2FC6" w:rsidRPr="00FA2FC6" w:rsidRDefault="00993FA1" w:rsidP="00FA2FC6">
            <w:pPr>
              <w:jc w:val="center"/>
              <w:rPr>
                <w:rFonts w:ascii="Calibri" w:eastAsia="Times New Roman" w:hAnsi="Calibri" w:cs="Calibri"/>
                <w:color w:val="000000"/>
                <w:lang w:eastAsia="en-AU"/>
              </w:rPr>
            </w:pPr>
            <w:r>
              <w:rPr>
                <w:rFonts w:ascii="Calibri" w:eastAsia="Times New Roman" w:hAnsi="Calibri" w:cs="Calibri"/>
                <w:color w:val="000000"/>
                <w:lang w:eastAsia="en-AU"/>
              </w:rPr>
              <w:t>1</w:t>
            </w:r>
            <w:r w:rsidR="00FA2FC6" w:rsidRPr="00FA2FC6">
              <w:rPr>
                <w:rFonts w:ascii="Calibri" w:eastAsia="Times New Roman" w:hAnsi="Calibri" w:cs="Calibri"/>
                <w:color w:val="000000"/>
                <w:lang w:eastAsia="en-AU"/>
              </w:rPr>
              <w:t>00,000</w:t>
            </w:r>
          </w:p>
        </w:tc>
      </w:tr>
      <w:tr w:rsidR="00FA2FC6" w:rsidRPr="00FA2FC6" w14:paraId="35E9C6D7" w14:textId="77777777" w:rsidTr="002E7F49">
        <w:trPr>
          <w:trHeight w:val="315"/>
        </w:trPr>
        <w:tc>
          <w:tcPr>
            <w:tcW w:w="638" w:type="pct"/>
            <w:tcBorders>
              <w:top w:val="nil"/>
              <w:left w:val="nil"/>
              <w:bottom w:val="nil"/>
              <w:right w:val="nil"/>
            </w:tcBorders>
            <w:shd w:val="clear" w:color="auto" w:fill="auto"/>
            <w:noWrap/>
            <w:vAlign w:val="bottom"/>
            <w:hideMark/>
          </w:tcPr>
          <w:p w14:paraId="72DDFF16" w14:textId="78029F0A" w:rsidR="00FA2FC6" w:rsidRPr="00FA2FC6" w:rsidRDefault="000052FE" w:rsidP="00FA2FC6">
            <w:pPr>
              <w:jc w:val="center"/>
              <w:rPr>
                <w:rFonts w:eastAsia="Times New Roman" w:cstheme="minorHAnsi"/>
                <w:color w:val="000000"/>
                <w:lang w:eastAsia="en-AU"/>
              </w:rPr>
            </w:pPr>
            <w:r w:rsidRPr="00B92ECB">
              <w:rPr>
                <w:rFonts w:eastAsia="Times New Roman" w:cstheme="minorHAnsi"/>
                <w:color w:val="000000"/>
                <w:lang w:eastAsia="en-AU"/>
              </w:rPr>
              <w:t>c</w:t>
            </w:r>
          </w:p>
        </w:tc>
        <w:tc>
          <w:tcPr>
            <w:tcW w:w="2331" w:type="pct"/>
            <w:tcBorders>
              <w:top w:val="nil"/>
              <w:left w:val="nil"/>
              <w:bottom w:val="nil"/>
              <w:right w:val="nil"/>
            </w:tcBorders>
            <w:shd w:val="clear" w:color="auto" w:fill="auto"/>
            <w:noWrap/>
            <w:vAlign w:val="bottom"/>
            <w:hideMark/>
          </w:tcPr>
          <w:p w14:paraId="498FF1D1"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Traceability</w:t>
            </w:r>
          </w:p>
        </w:tc>
        <w:tc>
          <w:tcPr>
            <w:tcW w:w="451" w:type="pct"/>
            <w:tcBorders>
              <w:top w:val="nil"/>
              <w:left w:val="nil"/>
              <w:bottom w:val="nil"/>
              <w:right w:val="nil"/>
            </w:tcBorders>
            <w:shd w:val="clear" w:color="auto" w:fill="auto"/>
            <w:noWrap/>
            <w:vAlign w:val="bottom"/>
            <w:hideMark/>
          </w:tcPr>
          <w:p w14:paraId="323CBE76"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90%</w:t>
            </w:r>
          </w:p>
        </w:tc>
        <w:tc>
          <w:tcPr>
            <w:tcW w:w="771" w:type="pct"/>
            <w:tcBorders>
              <w:top w:val="nil"/>
              <w:left w:val="nil"/>
              <w:bottom w:val="nil"/>
              <w:right w:val="nil"/>
            </w:tcBorders>
            <w:shd w:val="clear" w:color="auto" w:fill="auto"/>
            <w:noWrap/>
            <w:vAlign w:val="bottom"/>
            <w:hideMark/>
          </w:tcPr>
          <w:p w14:paraId="5F637F0B"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99%</w:t>
            </w:r>
          </w:p>
        </w:tc>
        <w:tc>
          <w:tcPr>
            <w:tcW w:w="808" w:type="pct"/>
            <w:tcBorders>
              <w:top w:val="nil"/>
              <w:left w:val="nil"/>
              <w:bottom w:val="nil"/>
            </w:tcBorders>
            <w:shd w:val="clear" w:color="auto" w:fill="auto"/>
            <w:vAlign w:val="center"/>
            <w:hideMark/>
          </w:tcPr>
          <w:p w14:paraId="070DC275"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99.5%</w:t>
            </w:r>
          </w:p>
        </w:tc>
      </w:tr>
      <w:tr w:rsidR="00FA2FC6" w:rsidRPr="00FA2FC6" w14:paraId="75D89052" w14:textId="77777777" w:rsidTr="00FA2FC6">
        <w:trPr>
          <w:trHeight w:val="300"/>
        </w:trPr>
        <w:tc>
          <w:tcPr>
            <w:tcW w:w="2970" w:type="pct"/>
            <w:gridSpan w:val="2"/>
            <w:tcBorders>
              <w:top w:val="nil"/>
              <w:bottom w:val="nil"/>
              <w:right w:val="nil"/>
            </w:tcBorders>
            <w:shd w:val="clear" w:color="auto" w:fill="auto"/>
            <w:vAlign w:val="center"/>
            <w:hideMark/>
          </w:tcPr>
          <w:p w14:paraId="647DF2C1" w14:textId="77777777" w:rsidR="00FA2FC6" w:rsidRPr="00FA2FC6" w:rsidRDefault="00FA2FC6" w:rsidP="00FA2FC6">
            <w:pPr>
              <w:rPr>
                <w:rFonts w:eastAsia="Times New Roman" w:cstheme="minorHAnsi"/>
                <w:color w:val="000000"/>
                <w:lang w:eastAsia="en-AU"/>
              </w:rPr>
            </w:pPr>
            <w:r w:rsidRPr="00FA2FC6">
              <w:rPr>
                <w:rFonts w:eastAsia="Times New Roman" w:cstheme="minorHAnsi"/>
                <w:color w:val="000000"/>
                <w:lang w:eastAsia="en-AU"/>
              </w:rPr>
              <w:t> </w:t>
            </w:r>
          </w:p>
        </w:tc>
        <w:tc>
          <w:tcPr>
            <w:tcW w:w="451" w:type="pct"/>
            <w:tcBorders>
              <w:top w:val="nil"/>
              <w:left w:val="nil"/>
              <w:bottom w:val="nil"/>
              <w:right w:val="nil"/>
            </w:tcBorders>
            <w:shd w:val="clear" w:color="auto" w:fill="auto"/>
            <w:vAlign w:val="center"/>
            <w:hideMark/>
          </w:tcPr>
          <w:p w14:paraId="4ED6CF59" w14:textId="77777777" w:rsidR="00FA2FC6" w:rsidRPr="00FA2FC6" w:rsidRDefault="00FA2FC6" w:rsidP="00FA2FC6">
            <w:pPr>
              <w:rPr>
                <w:rFonts w:ascii="Calibri" w:eastAsia="Times New Roman" w:hAnsi="Calibri" w:cs="Calibri"/>
                <w:color w:val="000000"/>
                <w:lang w:eastAsia="en-AU"/>
              </w:rPr>
            </w:pPr>
          </w:p>
        </w:tc>
        <w:tc>
          <w:tcPr>
            <w:tcW w:w="771" w:type="pct"/>
            <w:tcBorders>
              <w:top w:val="nil"/>
              <w:left w:val="nil"/>
              <w:bottom w:val="nil"/>
              <w:right w:val="nil"/>
            </w:tcBorders>
            <w:shd w:val="clear" w:color="auto" w:fill="auto"/>
            <w:vAlign w:val="bottom"/>
            <w:hideMark/>
          </w:tcPr>
          <w:p w14:paraId="21DD5F21" w14:textId="77777777" w:rsidR="00FA2FC6" w:rsidRPr="00FA2FC6" w:rsidRDefault="00FA2FC6" w:rsidP="00FA2FC6">
            <w:pPr>
              <w:rPr>
                <w:rFonts w:ascii="Times New Roman" w:eastAsia="Times New Roman" w:hAnsi="Times New Roman" w:cs="Times New Roman"/>
                <w:sz w:val="20"/>
                <w:szCs w:val="20"/>
                <w:lang w:eastAsia="en-AU"/>
              </w:rPr>
            </w:pPr>
          </w:p>
        </w:tc>
        <w:tc>
          <w:tcPr>
            <w:tcW w:w="808" w:type="pct"/>
            <w:tcBorders>
              <w:top w:val="nil"/>
              <w:left w:val="nil"/>
              <w:bottom w:val="nil"/>
            </w:tcBorders>
            <w:shd w:val="clear" w:color="auto" w:fill="auto"/>
            <w:vAlign w:val="bottom"/>
            <w:hideMark/>
          </w:tcPr>
          <w:p w14:paraId="449727A4"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 </w:t>
            </w:r>
          </w:p>
        </w:tc>
      </w:tr>
      <w:tr w:rsidR="00FA2FC6" w:rsidRPr="00FA2FC6" w14:paraId="45FE0A93" w14:textId="77777777" w:rsidTr="00FA2FC6">
        <w:trPr>
          <w:trHeight w:val="300"/>
        </w:trPr>
        <w:tc>
          <w:tcPr>
            <w:tcW w:w="2970" w:type="pct"/>
            <w:gridSpan w:val="2"/>
            <w:tcBorders>
              <w:top w:val="nil"/>
              <w:bottom w:val="nil"/>
              <w:right w:val="nil"/>
            </w:tcBorders>
            <w:shd w:val="clear" w:color="auto" w:fill="auto"/>
            <w:vAlign w:val="center"/>
            <w:hideMark/>
          </w:tcPr>
          <w:p w14:paraId="1025A083" w14:textId="77777777" w:rsidR="00FA2FC6" w:rsidRPr="00FA2FC6" w:rsidRDefault="00FA2FC6" w:rsidP="00FA2FC6">
            <w:pPr>
              <w:rPr>
                <w:rFonts w:eastAsia="Times New Roman" w:cstheme="minorHAnsi"/>
                <w:b/>
                <w:bCs/>
                <w:color w:val="000000"/>
                <w:lang w:eastAsia="en-AU"/>
              </w:rPr>
            </w:pPr>
            <w:r w:rsidRPr="00FA2FC6">
              <w:rPr>
                <w:rFonts w:eastAsia="Times New Roman" w:cstheme="minorHAnsi"/>
                <w:b/>
                <w:bCs/>
                <w:color w:val="000000"/>
                <w:lang w:eastAsia="en-AU"/>
              </w:rPr>
              <w:t>Cost ($m p.a., industry)</w:t>
            </w:r>
            <w:r w:rsidRPr="00FA2FC6">
              <w:rPr>
                <w:rFonts w:eastAsia="Times New Roman" w:cstheme="minorHAnsi"/>
                <w:color w:val="000000"/>
                <w:lang w:eastAsia="en-AU"/>
              </w:rPr>
              <w:t> </w:t>
            </w:r>
          </w:p>
        </w:tc>
        <w:tc>
          <w:tcPr>
            <w:tcW w:w="451" w:type="pct"/>
            <w:tcBorders>
              <w:top w:val="nil"/>
              <w:left w:val="nil"/>
              <w:bottom w:val="nil"/>
              <w:right w:val="nil"/>
            </w:tcBorders>
            <w:shd w:val="clear" w:color="auto" w:fill="auto"/>
            <w:vAlign w:val="center"/>
            <w:hideMark/>
          </w:tcPr>
          <w:p w14:paraId="0E8B8BD9" w14:textId="77777777" w:rsidR="00FA2FC6" w:rsidRPr="00FA2FC6" w:rsidRDefault="00FA2FC6" w:rsidP="00FA2FC6">
            <w:pPr>
              <w:rPr>
                <w:rFonts w:ascii="Calibri" w:eastAsia="Times New Roman" w:hAnsi="Calibri" w:cs="Calibri"/>
                <w:b/>
                <w:bCs/>
                <w:color w:val="000000"/>
                <w:lang w:eastAsia="en-AU"/>
              </w:rPr>
            </w:pPr>
          </w:p>
        </w:tc>
        <w:tc>
          <w:tcPr>
            <w:tcW w:w="771" w:type="pct"/>
            <w:tcBorders>
              <w:top w:val="nil"/>
              <w:left w:val="nil"/>
              <w:bottom w:val="nil"/>
              <w:right w:val="nil"/>
            </w:tcBorders>
            <w:shd w:val="clear" w:color="auto" w:fill="auto"/>
            <w:vAlign w:val="bottom"/>
            <w:hideMark/>
          </w:tcPr>
          <w:p w14:paraId="1A80B789" w14:textId="77777777" w:rsidR="00FA2FC6" w:rsidRPr="00FA2FC6" w:rsidRDefault="00FA2FC6" w:rsidP="00FA2FC6">
            <w:pPr>
              <w:rPr>
                <w:rFonts w:ascii="Times New Roman" w:eastAsia="Times New Roman" w:hAnsi="Times New Roman" w:cs="Times New Roman"/>
                <w:sz w:val="20"/>
                <w:szCs w:val="20"/>
                <w:lang w:eastAsia="en-AU"/>
              </w:rPr>
            </w:pPr>
          </w:p>
        </w:tc>
        <w:tc>
          <w:tcPr>
            <w:tcW w:w="808" w:type="pct"/>
            <w:tcBorders>
              <w:top w:val="nil"/>
              <w:left w:val="nil"/>
              <w:bottom w:val="nil"/>
            </w:tcBorders>
            <w:shd w:val="clear" w:color="auto" w:fill="auto"/>
            <w:vAlign w:val="bottom"/>
            <w:hideMark/>
          </w:tcPr>
          <w:p w14:paraId="570DC2FB"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 </w:t>
            </w:r>
          </w:p>
        </w:tc>
      </w:tr>
      <w:tr w:rsidR="00FA2FC6" w:rsidRPr="00FA2FC6" w14:paraId="48366693" w14:textId="77777777" w:rsidTr="002E7F49">
        <w:trPr>
          <w:trHeight w:val="300"/>
        </w:trPr>
        <w:tc>
          <w:tcPr>
            <w:tcW w:w="638" w:type="pct"/>
            <w:tcBorders>
              <w:top w:val="nil"/>
              <w:bottom w:val="nil"/>
              <w:right w:val="nil"/>
            </w:tcBorders>
            <w:shd w:val="clear" w:color="auto" w:fill="auto"/>
            <w:vAlign w:val="center"/>
            <w:hideMark/>
          </w:tcPr>
          <w:p w14:paraId="3DE878C0" w14:textId="67D8EF64" w:rsidR="00FA2FC6" w:rsidRPr="00FA2FC6" w:rsidRDefault="000052FE" w:rsidP="00FA2FC6">
            <w:pPr>
              <w:jc w:val="center"/>
              <w:rPr>
                <w:rFonts w:eastAsia="Times New Roman" w:cstheme="minorHAnsi"/>
                <w:color w:val="000000"/>
                <w:sz w:val="18"/>
                <w:szCs w:val="18"/>
                <w:lang w:eastAsia="en-AU"/>
              </w:rPr>
            </w:pPr>
            <w:r w:rsidRPr="00B92ECB">
              <w:rPr>
                <w:rFonts w:eastAsia="Times New Roman" w:cstheme="minorHAnsi"/>
                <w:color w:val="000000"/>
                <w:sz w:val="18"/>
                <w:szCs w:val="18"/>
                <w:lang w:eastAsia="en-AU"/>
              </w:rPr>
              <w:t>d</w:t>
            </w:r>
          </w:p>
        </w:tc>
        <w:tc>
          <w:tcPr>
            <w:tcW w:w="2331" w:type="pct"/>
            <w:tcBorders>
              <w:top w:val="nil"/>
              <w:left w:val="nil"/>
              <w:bottom w:val="nil"/>
              <w:right w:val="nil"/>
            </w:tcBorders>
            <w:shd w:val="clear" w:color="auto" w:fill="auto"/>
            <w:vAlign w:val="center"/>
            <w:hideMark/>
          </w:tcPr>
          <w:p w14:paraId="1A6D454E"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Implementation (genotyping – sheep)</w:t>
            </w:r>
          </w:p>
        </w:tc>
        <w:tc>
          <w:tcPr>
            <w:tcW w:w="451" w:type="pct"/>
            <w:tcBorders>
              <w:top w:val="nil"/>
              <w:left w:val="nil"/>
              <w:bottom w:val="nil"/>
              <w:right w:val="nil"/>
            </w:tcBorders>
            <w:shd w:val="clear" w:color="auto" w:fill="auto"/>
            <w:vAlign w:val="center"/>
            <w:hideMark/>
          </w:tcPr>
          <w:p w14:paraId="6D0875DC" w14:textId="77777777" w:rsidR="00FA2FC6" w:rsidRPr="00FA2FC6" w:rsidRDefault="00FA2FC6" w:rsidP="00FA2FC6">
            <w:pPr>
              <w:rPr>
                <w:rFonts w:ascii="Calibri" w:eastAsia="Times New Roman" w:hAnsi="Calibri" w:cs="Calibri"/>
                <w:color w:val="000000"/>
                <w:lang w:eastAsia="en-AU"/>
              </w:rPr>
            </w:pPr>
          </w:p>
        </w:tc>
        <w:tc>
          <w:tcPr>
            <w:tcW w:w="771" w:type="pct"/>
            <w:tcBorders>
              <w:top w:val="nil"/>
              <w:left w:val="nil"/>
              <w:bottom w:val="nil"/>
              <w:right w:val="nil"/>
            </w:tcBorders>
            <w:shd w:val="clear" w:color="auto" w:fill="auto"/>
            <w:vAlign w:val="center"/>
            <w:hideMark/>
          </w:tcPr>
          <w:p w14:paraId="789E5F6C"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$12</w:t>
            </w:r>
          </w:p>
        </w:tc>
        <w:tc>
          <w:tcPr>
            <w:tcW w:w="808" w:type="pct"/>
            <w:tcBorders>
              <w:top w:val="nil"/>
              <w:left w:val="nil"/>
              <w:bottom w:val="nil"/>
            </w:tcBorders>
            <w:shd w:val="clear" w:color="auto" w:fill="auto"/>
            <w:vAlign w:val="center"/>
            <w:hideMark/>
          </w:tcPr>
          <w:p w14:paraId="6EBF9EA7" w14:textId="16012D21"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w:t>
            </w:r>
            <w:r w:rsidR="00892AE0">
              <w:rPr>
                <w:rFonts w:ascii="Calibri" w:eastAsia="Times New Roman" w:hAnsi="Calibri" w:cs="Calibri"/>
                <w:color w:val="000000"/>
                <w:lang w:eastAsia="en-AU"/>
              </w:rPr>
              <w:t>3</w:t>
            </w:r>
          </w:p>
        </w:tc>
      </w:tr>
      <w:tr w:rsidR="00FA2FC6" w:rsidRPr="00FA2FC6" w14:paraId="1B0B0FF5" w14:textId="77777777" w:rsidTr="002E7F49">
        <w:trPr>
          <w:trHeight w:val="300"/>
        </w:trPr>
        <w:tc>
          <w:tcPr>
            <w:tcW w:w="638" w:type="pct"/>
            <w:tcBorders>
              <w:top w:val="nil"/>
              <w:bottom w:val="nil"/>
              <w:right w:val="nil"/>
            </w:tcBorders>
            <w:shd w:val="clear" w:color="auto" w:fill="auto"/>
            <w:vAlign w:val="center"/>
            <w:hideMark/>
          </w:tcPr>
          <w:p w14:paraId="6A0A039F" w14:textId="77777777" w:rsidR="00FA2FC6" w:rsidRPr="00FA2FC6" w:rsidRDefault="00FA2FC6" w:rsidP="00FA2FC6">
            <w:pPr>
              <w:jc w:val="right"/>
              <w:rPr>
                <w:rFonts w:eastAsia="Times New Roman" w:cstheme="minorHAnsi"/>
                <w:color w:val="000000"/>
                <w:lang w:eastAsia="en-AU"/>
              </w:rPr>
            </w:pPr>
            <w:r w:rsidRPr="00FA2FC6">
              <w:rPr>
                <w:rFonts w:eastAsia="Times New Roman" w:cstheme="minorHAnsi"/>
                <w:color w:val="000000"/>
                <w:lang w:eastAsia="en-AU"/>
              </w:rPr>
              <w:t> </w:t>
            </w:r>
          </w:p>
        </w:tc>
        <w:tc>
          <w:tcPr>
            <w:tcW w:w="2331" w:type="pct"/>
            <w:tcBorders>
              <w:top w:val="nil"/>
              <w:left w:val="nil"/>
              <w:bottom w:val="nil"/>
              <w:right w:val="nil"/>
            </w:tcBorders>
            <w:shd w:val="clear" w:color="auto" w:fill="auto"/>
            <w:vAlign w:val="center"/>
            <w:hideMark/>
          </w:tcPr>
          <w:p w14:paraId="1D39CC05" w14:textId="77777777" w:rsidR="00FA2FC6" w:rsidRPr="00FA2FC6" w:rsidRDefault="00FA2FC6" w:rsidP="00FA2FC6">
            <w:pPr>
              <w:jc w:val="right"/>
              <w:rPr>
                <w:rFonts w:ascii="Calibri" w:eastAsia="Times New Roman" w:hAnsi="Calibri" w:cs="Calibri"/>
                <w:color w:val="000000"/>
                <w:lang w:eastAsia="en-AU"/>
              </w:rPr>
            </w:pPr>
          </w:p>
        </w:tc>
        <w:tc>
          <w:tcPr>
            <w:tcW w:w="451" w:type="pct"/>
            <w:tcBorders>
              <w:top w:val="nil"/>
              <w:left w:val="nil"/>
              <w:bottom w:val="nil"/>
              <w:right w:val="nil"/>
            </w:tcBorders>
            <w:shd w:val="clear" w:color="auto" w:fill="auto"/>
            <w:vAlign w:val="center"/>
            <w:hideMark/>
          </w:tcPr>
          <w:p w14:paraId="4D54ACD0" w14:textId="77777777" w:rsidR="00FA2FC6" w:rsidRPr="00FA2FC6" w:rsidRDefault="00FA2FC6" w:rsidP="00FA2FC6">
            <w:pPr>
              <w:rPr>
                <w:rFonts w:ascii="Times New Roman" w:eastAsia="Times New Roman" w:hAnsi="Times New Roman" w:cs="Times New Roman"/>
                <w:sz w:val="20"/>
                <w:szCs w:val="20"/>
                <w:lang w:eastAsia="en-AU"/>
              </w:rPr>
            </w:pPr>
          </w:p>
        </w:tc>
        <w:tc>
          <w:tcPr>
            <w:tcW w:w="771" w:type="pct"/>
            <w:tcBorders>
              <w:top w:val="nil"/>
              <w:left w:val="nil"/>
              <w:bottom w:val="nil"/>
              <w:right w:val="nil"/>
            </w:tcBorders>
            <w:shd w:val="clear" w:color="auto" w:fill="auto"/>
            <w:vAlign w:val="center"/>
            <w:hideMark/>
          </w:tcPr>
          <w:p w14:paraId="44768EF7" w14:textId="77777777" w:rsidR="00FA2FC6" w:rsidRPr="00FA2FC6" w:rsidRDefault="00FA2FC6" w:rsidP="00FA2FC6">
            <w:pPr>
              <w:rPr>
                <w:rFonts w:ascii="Times New Roman" w:eastAsia="Times New Roman" w:hAnsi="Times New Roman" w:cs="Times New Roman"/>
                <w:sz w:val="20"/>
                <w:szCs w:val="20"/>
                <w:lang w:eastAsia="en-AU"/>
              </w:rPr>
            </w:pPr>
          </w:p>
        </w:tc>
        <w:tc>
          <w:tcPr>
            <w:tcW w:w="808" w:type="pct"/>
            <w:tcBorders>
              <w:top w:val="nil"/>
              <w:left w:val="nil"/>
              <w:bottom w:val="nil"/>
            </w:tcBorders>
            <w:shd w:val="clear" w:color="auto" w:fill="auto"/>
            <w:vAlign w:val="center"/>
            <w:hideMark/>
          </w:tcPr>
          <w:p w14:paraId="135766AF"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 </w:t>
            </w:r>
          </w:p>
        </w:tc>
      </w:tr>
      <w:tr w:rsidR="00FA2FC6" w:rsidRPr="00FA2FC6" w14:paraId="4E2FB6CF" w14:textId="77777777" w:rsidTr="00FA2FC6">
        <w:trPr>
          <w:trHeight w:val="300"/>
        </w:trPr>
        <w:tc>
          <w:tcPr>
            <w:tcW w:w="2970" w:type="pct"/>
            <w:gridSpan w:val="2"/>
            <w:tcBorders>
              <w:top w:val="nil"/>
              <w:bottom w:val="nil"/>
              <w:right w:val="nil"/>
            </w:tcBorders>
            <w:shd w:val="clear" w:color="auto" w:fill="auto"/>
            <w:vAlign w:val="center"/>
            <w:hideMark/>
          </w:tcPr>
          <w:p w14:paraId="126FEF51" w14:textId="77777777" w:rsidR="00FA2FC6" w:rsidRPr="00FA2FC6" w:rsidRDefault="00FA2FC6" w:rsidP="00FA2FC6">
            <w:pPr>
              <w:rPr>
                <w:rFonts w:eastAsia="Times New Roman" w:cstheme="minorHAnsi"/>
                <w:b/>
                <w:bCs/>
                <w:color w:val="000000"/>
                <w:lang w:eastAsia="en-AU"/>
              </w:rPr>
            </w:pPr>
            <w:r w:rsidRPr="00FA2FC6">
              <w:rPr>
                <w:rFonts w:eastAsia="Times New Roman" w:cstheme="minorHAnsi"/>
                <w:b/>
                <w:bCs/>
                <w:color w:val="000000"/>
                <w:lang w:eastAsia="en-AU"/>
              </w:rPr>
              <w:t>Benefit ($m p.a., industry – sheep)</w:t>
            </w:r>
            <w:r w:rsidRPr="00FA2FC6">
              <w:rPr>
                <w:rFonts w:eastAsia="Times New Roman" w:cstheme="minorHAnsi"/>
                <w:color w:val="000000"/>
                <w:lang w:eastAsia="en-AU"/>
              </w:rPr>
              <w:t> </w:t>
            </w:r>
          </w:p>
        </w:tc>
        <w:tc>
          <w:tcPr>
            <w:tcW w:w="451" w:type="pct"/>
            <w:tcBorders>
              <w:top w:val="nil"/>
              <w:left w:val="nil"/>
              <w:bottom w:val="nil"/>
              <w:right w:val="nil"/>
            </w:tcBorders>
            <w:shd w:val="clear" w:color="auto" w:fill="auto"/>
            <w:vAlign w:val="center"/>
            <w:hideMark/>
          </w:tcPr>
          <w:p w14:paraId="6B3CAA93" w14:textId="77777777" w:rsidR="00FA2FC6" w:rsidRPr="00FA2FC6" w:rsidRDefault="00FA2FC6" w:rsidP="00FA2FC6">
            <w:pPr>
              <w:rPr>
                <w:rFonts w:ascii="Calibri" w:eastAsia="Times New Roman" w:hAnsi="Calibri" w:cs="Calibri"/>
                <w:b/>
                <w:bCs/>
                <w:color w:val="000000"/>
                <w:lang w:eastAsia="en-AU"/>
              </w:rPr>
            </w:pPr>
          </w:p>
        </w:tc>
        <w:tc>
          <w:tcPr>
            <w:tcW w:w="771" w:type="pct"/>
            <w:tcBorders>
              <w:top w:val="nil"/>
              <w:left w:val="nil"/>
              <w:bottom w:val="nil"/>
              <w:right w:val="nil"/>
            </w:tcBorders>
            <w:shd w:val="clear" w:color="auto" w:fill="auto"/>
            <w:vAlign w:val="center"/>
            <w:hideMark/>
          </w:tcPr>
          <w:p w14:paraId="1168B36E" w14:textId="77777777" w:rsidR="00FA2FC6" w:rsidRPr="00FA2FC6" w:rsidRDefault="00FA2FC6" w:rsidP="00FA2FC6">
            <w:pPr>
              <w:rPr>
                <w:rFonts w:ascii="Times New Roman" w:eastAsia="Times New Roman" w:hAnsi="Times New Roman" w:cs="Times New Roman"/>
                <w:sz w:val="20"/>
                <w:szCs w:val="20"/>
                <w:lang w:eastAsia="en-AU"/>
              </w:rPr>
            </w:pPr>
          </w:p>
        </w:tc>
        <w:tc>
          <w:tcPr>
            <w:tcW w:w="808" w:type="pct"/>
            <w:tcBorders>
              <w:top w:val="nil"/>
              <w:left w:val="nil"/>
              <w:bottom w:val="nil"/>
            </w:tcBorders>
            <w:shd w:val="clear" w:color="auto" w:fill="auto"/>
            <w:vAlign w:val="center"/>
            <w:hideMark/>
          </w:tcPr>
          <w:p w14:paraId="78B83755"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 </w:t>
            </w:r>
          </w:p>
        </w:tc>
      </w:tr>
      <w:tr w:rsidR="00FA2FC6" w:rsidRPr="00FA2FC6" w14:paraId="5761D57B" w14:textId="77777777" w:rsidTr="002E7F49">
        <w:trPr>
          <w:trHeight w:val="300"/>
        </w:trPr>
        <w:tc>
          <w:tcPr>
            <w:tcW w:w="638" w:type="pct"/>
            <w:tcBorders>
              <w:top w:val="nil"/>
              <w:bottom w:val="nil"/>
              <w:right w:val="nil"/>
            </w:tcBorders>
            <w:shd w:val="clear" w:color="auto" w:fill="auto"/>
            <w:vAlign w:val="center"/>
            <w:hideMark/>
          </w:tcPr>
          <w:p w14:paraId="1784F1A7" w14:textId="390FC4F1" w:rsidR="00FA2FC6" w:rsidRPr="00FA2FC6" w:rsidRDefault="00F70D7D" w:rsidP="000052FE">
            <w:pPr>
              <w:jc w:val="center"/>
              <w:rPr>
                <w:rFonts w:eastAsia="Times New Roman" w:cstheme="minorHAnsi"/>
                <w:color w:val="000000"/>
                <w:sz w:val="20"/>
                <w:szCs w:val="20"/>
                <w:lang w:eastAsia="en-AU"/>
              </w:rPr>
            </w:pPr>
            <w:r w:rsidRPr="00B92ECB">
              <w:rPr>
                <w:rFonts w:eastAsia="Times New Roman" w:cstheme="minorHAnsi"/>
                <w:color w:val="000000"/>
                <w:sz w:val="18"/>
                <w:szCs w:val="18"/>
                <w:lang w:eastAsia="en-AU"/>
              </w:rPr>
              <w:t>e</w:t>
            </w:r>
          </w:p>
        </w:tc>
        <w:tc>
          <w:tcPr>
            <w:tcW w:w="2331" w:type="pct"/>
            <w:tcBorders>
              <w:top w:val="nil"/>
              <w:left w:val="nil"/>
              <w:bottom w:val="nil"/>
              <w:right w:val="nil"/>
            </w:tcBorders>
            <w:shd w:val="clear" w:color="auto" w:fill="auto"/>
            <w:vAlign w:val="center"/>
            <w:hideMark/>
          </w:tcPr>
          <w:p w14:paraId="62374DF6"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Traceability (v pre-NLIS) </w:t>
            </w:r>
          </w:p>
        </w:tc>
        <w:tc>
          <w:tcPr>
            <w:tcW w:w="451" w:type="pct"/>
            <w:tcBorders>
              <w:top w:val="nil"/>
              <w:left w:val="nil"/>
              <w:bottom w:val="nil"/>
              <w:right w:val="nil"/>
            </w:tcBorders>
            <w:shd w:val="clear" w:color="auto" w:fill="auto"/>
            <w:vAlign w:val="center"/>
            <w:hideMark/>
          </w:tcPr>
          <w:p w14:paraId="7EB6BC57"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$148</w:t>
            </w:r>
          </w:p>
        </w:tc>
        <w:tc>
          <w:tcPr>
            <w:tcW w:w="771" w:type="pct"/>
            <w:tcBorders>
              <w:top w:val="nil"/>
              <w:left w:val="nil"/>
              <w:bottom w:val="nil"/>
              <w:right w:val="nil"/>
            </w:tcBorders>
            <w:shd w:val="clear" w:color="auto" w:fill="auto"/>
            <w:vAlign w:val="center"/>
            <w:hideMark/>
          </w:tcPr>
          <w:p w14:paraId="43645DFA"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$213</w:t>
            </w:r>
          </w:p>
        </w:tc>
        <w:tc>
          <w:tcPr>
            <w:tcW w:w="808" w:type="pct"/>
            <w:tcBorders>
              <w:top w:val="nil"/>
              <w:left w:val="nil"/>
              <w:bottom w:val="nil"/>
            </w:tcBorders>
            <w:shd w:val="clear" w:color="auto" w:fill="auto"/>
            <w:vAlign w:val="center"/>
            <w:hideMark/>
          </w:tcPr>
          <w:p w14:paraId="7C7609C5"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$218</w:t>
            </w:r>
          </w:p>
        </w:tc>
      </w:tr>
      <w:tr w:rsidR="00FA2FC6" w:rsidRPr="00FA2FC6" w14:paraId="4EDCD863" w14:textId="77777777" w:rsidTr="002E7F49">
        <w:trPr>
          <w:trHeight w:val="300"/>
        </w:trPr>
        <w:tc>
          <w:tcPr>
            <w:tcW w:w="638" w:type="pct"/>
            <w:tcBorders>
              <w:top w:val="nil"/>
              <w:bottom w:val="nil"/>
              <w:right w:val="nil"/>
            </w:tcBorders>
            <w:shd w:val="clear" w:color="auto" w:fill="auto"/>
            <w:vAlign w:val="center"/>
            <w:hideMark/>
          </w:tcPr>
          <w:p w14:paraId="5F47C6E5" w14:textId="65F0B4F1" w:rsidR="00FA2FC6" w:rsidRPr="00FA2FC6" w:rsidRDefault="00F70D7D" w:rsidP="00F70D7D">
            <w:pPr>
              <w:jc w:val="center"/>
              <w:rPr>
                <w:rFonts w:eastAsia="Times New Roman" w:cstheme="minorHAnsi"/>
                <w:color w:val="000000"/>
                <w:sz w:val="20"/>
                <w:szCs w:val="20"/>
                <w:lang w:eastAsia="en-AU"/>
              </w:rPr>
            </w:pPr>
            <w:r w:rsidRPr="00B92ECB">
              <w:rPr>
                <w:rFonts w:eastAsia="Times New Roman" w:cstheme="minorHAnsi"/>
                <w:color w:val="000000"/>
                <w:sz w:val="20"/>
                <w:szCs w:val="20"/>
                <w:lang w:eastAsia="en-AU"/>
              </w:rPr>
              <w:t>f</w:t>
            </w:r>
          </w:p>
        </w:tc>
        <w:tc>
          <w:tcPr>
            <w:tcW w:w="2331" w:type="pct"/>
            <w:tcBorders>
              <w:top w:val="nil"/>
              <w:left w:val="nil"/>
              <w:bottom w:val="nil"/>
              <w:right w:val="nil"/>
            </w:tcBorders>
            <w:shd w:val="clear" w:color="auto" w:fill="auto"/>
            <w:vAlign w:val="center"/>
            <w:hideMark/>
          </w:tcPr>
          <w:p w14:paraId="5FA618A7"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Faster genetic progress due to data </w:t>
            </w:r>
          </w:p>
        </w:tc>
        <w:tc>
          <w:tcPr>
            <w:tcW w:w="451" w:type="pct"/>
            <w:tcBorders>
              <w:top w:val="nil"/>
              <w:left w:val="nil"/>
              <w:bottom w:val="nil"/>
              <w:right w:val="nil"/>
            </w:tcBorders>
            <w:shd w:val="clear" w:color="auto" w:fill="auto"/>
            <w:vAlign w:val="center"/>
            <w:hideMark/>
          </w:tcPr>
          <w:p w14:paraId="020CBA3B" w14:textId="77777777" w:rsidR="00FA2FC6" w:rsidRPr="00FA2FC6" w:rsidRDefault="00FA2FC6" w:rsidP="00FA2FC6">
            <w:pPr>
              <w:rPr>
                <w:rFonts w:ascii="Calibri" w:eastAsia="Times New Roman" w:hAnsi="Calibri" w:cs="Calibri"/>
                <w:color w:val="000000"/>
                <w:lang w:eastAsia="en-AU"/>
              </w:rPr>
            </w:pPr>
          </w:p>
        </w:tc>
        <w:tc>
          <w:tcPr>
            <w:tcW w:w="771" w:type="pct"/>
            <w:tcBorders>
              <w:top w:val="nil"/>
              <w:left w:val="nil"/>
              <w:bottom w:val="nil"/>
              <w:right w:val="nil"/>
            </w:tcBorders>
            <w:shd w:val="clear" w:color="auto" w:fill="auto"/>
            <w:vAlign w:val="center"/>
            <w:hideMark/>
          </w:tcPr>
          <w:p w14:paraId="3D510AB4"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$0</w:t>
            </w:r>
          </w:p>
        </w:tc>
        <w:tc>
          <w:tcPr>
            <w:tcW w:w="808" w:type="pct"/>
            <w:tcBorders>
              <w:top w:val="nil"/>
              <w:left w:val="nil"/>
              <w:bottom w:val="nil"/>
            </w:tcBorders>
            <w:shd w:val="clear" w:color="auto" w:fill="auto"/>
            <w:vAlign w:val="center"/>
            <w:hideMark/>
          </w:tcPr>
          <w:p w14:paraId="691467BE"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$0</w:t>
            </w:r>
          </w:p>
        </w:tc>
      </w:tr>
      <w:tr w:rsidR="00FA2FC6" w:rsidRPr="00FA2FC6" w14:paraId="2C27D982" w14:textId="77777777" w:rsidTr="002E7F49">
        <w:trPr>
          <w:trHeight w:val="300"/>
        </w:trPr>
        <w:tc>
          <w:tcPr>
            <w:tcW w:w="638" w:type="pct"/>
            <w:tcBorders>
              <w:top w:val="nil"/>
              <w:bottom w:val="nil"/>
              <w:right w:val="nil"/>
            </w:tcBorders>
            <w:shd w:val="clear" w:color="auto" w:fill="auto"/>
            <w:vAlign w:val="center"/>
            <w:hideMark/>
          </w:tcPr>
          <w:p w14:paraId="09662B2E" w14:textId="4EFD3422" w:rsidR="00FA2FC6" w:rsidRPr="00FA2FC6" w:rsidRDefault="00F70D7D" w:rsidP="00F70D7D">
            <w:pPr>
              <w:jc w:val="center"/>
              <w:rPr>
                <w:rFonts w:eastAsia="Times New Roman" w:cstheme="minorHAnsi"/>
                <w:color w:val="000000"/>
                <w:sz w:val="20"/>
                <w:szCs w:val="20"/>
                <w:lang w:eastAsia="en-AU"/>
              </w:rPr>
            </w:pPr>
            <w:r w:rsidRPr="00B92ECB">
              <w:rPr>
                <w:rFonts w:eastAsia="Times New Roman" w:cstheme="minorHAnsi"/>
                <w:color w:val="000000"/>
                <w:sz w:val="20"/>
                <w:szCs w:val="20"/>
                <w:lang w:eastAsia="en-AU"/>
              </w:rPr>
              <w:t>g</w:t>
            </w:r>
          </w:p>
        </w:tc>
        <w:tc>
          <w:tcPr>
            <w:tcW w:w="2331" w:type="pct"/>
            <w:tcBorders>
              <w:top w:val="nil"/>
              <w:left w:val="nil"/>
              <w:bottom w:val="nil"/>
              <w:right w:val="nil"/>
            </w:tcBorders>
            <w:shd w:val="clear" w:color="auto" w:fill="auto"/>
            <w:vAlign w:val="center"/>
            <w:hideMark/>
          </w:tcPr>
          <w:p w14:paraId="2F9335B0" w14:textId="77777777" w:rsidR="00FA2FC6" w:rsidRPr="00FA2FC6" w:rsidRDefault="00FA2FC6" w:rsidP="00FA2FC6">
            <w:pPr>
              <w:rPr>
                <w:rFonts w:ascii="Calibri" w:eastAsia="Times New Roman" w:hAnsi="Calibri" w:cs="Calibri"/>
                <w:color w:val="000000"/>
                <w:lang w:eastAsia="en-AU"/>
              </w:rPr>
            </w:pPr>
            <w:r w:rsidRPr="00FA2FC6">
              <w:rPr>
                <w:rFonts w:ascii="Calibri" w:eastAsia="Times New Roman" w:hAnsi="Calibri" w:cs="Calibri"/>
                <w:color w:val="000000"/>
                <w:lang w:eastAsia="en-AU"/>
              </w:rPr>
              <w:t>Changing ram sources</w:t>
            </w:r>
          </w:p>
        </w:tc>
        <w:tc>
          <w:tcPr>
            <w:tcW w:w="451" w:type="pct"/>
            <w:tcBorders>
              <w:top w:val="nil"/>
              <w:left w:val="nil"/>
              <w:bottom w:val="nil"/>
              <w:right w:val="nil"/>
            </w:tcBorders>
            <w:shd w:val="clear" w:color="auto" w:fill="auto"/>
            <w:vAlign w:val="center"/>
            <w:hideMark/>
          </w:tcPr>
          <w:p w14:paraId="3D7F80B2" w14:textId="77777777" w:rsidR="00FA2FC6" w:rsidRPr="00FA2FC6" w:rsidRDefault="00FA2FC6" w:rsidP="00FA2FC6">
            <w:pPr>
              <w:rPr>
                <w:rFonts w:ascii="Calibri" w:eastAsia="Times New Roman" w:hAnsi="Calibri" w:cs="Calibri"/>
                <w:color w:val="000000"/>
                <w:lang w:eastAsia="en-AU"/>
              </w:rPr>
            </w:pPr>
          </w:p>
        </w:tc>
        <w:tc>
          <w:tcPr>
            <w:tcW w:w="771" w:type="pct"/>
            <w:tcBorders>
              <w:top w:val="nil"/>
              <w:left w:val="nil"/>
              <w:bottom w:val="nil"/>
              <w:right w:val="nil"/>
            </w:tcBorders>
            <w:shd w:val="clear" w:color="auto" w:fill="auto"/>
            <w:vAlign w:val="center"/>
            <w:hideMark/>
          </w:tcPr>
          <w:p w14:paraId="5F790BBF"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$23</w:t>
            </w:r>
          </w:p>
        </w:tc>
        <w:tc>
          <w:tcPr>
            <w:tcW w:w="808" w:type="pct"/>
            <w:tcBorders>
              <w:top w:val="nil"/>
              <w:left w:val="nil"/>
              <w:bottom w:val="nil"/>
            </w:tcBorders>
            <w:shd w:val="clear" w:color="auto" w:fill="auto"/>
            <w:vAlign w:val="center"/>
            <w:hideMark/>
          </w:tcPr>
          <w:p w14:paraId="41C48B7C" w14:textId="77777777" w:rsidR="00FA2FC6" w:rsidRPr="00FA2FC6" w:rsidRDefault="00FA2FC6" w:rsidP="00FA2FC6">
            <w:pPr>
              <w:jc w:val="center"/>
              <w:rPr>
                <w:rFonts w:ascii="Calibri" w:eastAsia="Times New Roman" w:hAnsi="Calibri" w:cs="Calibri"/>
                <w:color w:val="000000"/>
                <w:lang w:eastAsia="en-AU"/>
              </w:rPr>
            </w:pPr>
            <w:r w:rsidRPr="00FA2FC6">
              <w:rPr>
                <w:rFonts w:ascii="Calibri" w:eastAsia="Times New Roman" w:hAnsi="Calibri" w:cs="Calibri"/>
                <w:color w:val="000000"/>
                <w:lang w:eastAsia="en-AU"/>
              </w:rPr>
              <w:t>$23</w:t>
            </w:r>
          </w:p>
        </w:tc>
      </w:tr>
      <w:tr w:rsidR="00FA2FC6" w:rsidRPr="00FA2FC6" w14:paraId="77A8CD9A" w14:textId="77777777" w:rsidTr="00FA2FC6">
        <w:trPr>
          <w:trHeight w:val="300"/>
        </w:trPr>
        <w:tc>
          <w:tcPr>
            <w:tcW w:w="2970" w:type="pct"/>
            <w:gridSpan w:val="2"/>
            <w:tcBorders>
              <w:top w:val="nil"/>
              <w:bottom w:val="nil"/>
              <w:right w:val="nil"/>
            </w:tcBorders>
            <w:shd w:val="clear" w:color="auto" w:fill="auto"/>
            <w:vAlign w:val="center"/>
            <w:hideMark/>
          </w:tcPr>
          <w:p w14:paraId="0FD01251" w14:textId="77777777" w:rsidR="00FA2FC6" w:rsidRPr="00FA2FC6" w:rsidRDefault="00FA2FC6" w:rsidP="00FA2FC6">
            <w:pPr>
              <w:jc w:val="center"/>
              <w:rPr>
                <w:rFonts w:ascii="Calibri" w:eastAsia="Times New Roman" w:hAnsi="Calibri" w:cs="Calibri"/>
                <w:b/>
                <w:bCs/>
                <w:color w:val="000000"/>
                <w:lang w:eastAsia="en-AU"/>
              </w:rPr>
            </w:pPr>
            <w:r w:rsidRPr="00FA2FC6">
              <w:rPr>
                <w:rFonts w:ascii="Calibri" w:eastAsia="Times New Roman" w:hAnsi="Calibri" w:cs="Calibri"/>
                <w:b/>
                <w:bCs/>
                <w:color w:val="000000"/>
                <w:lang w:eastAsia="en-AU"/>
              </w:rPr>
              <w:t> </w:t>
            </w:r>
          </w:p>
        </w:tc>
        <w:tc>
          <w:tcPr>
            <w:tcW w:w="451" w:type="pct"/>
            <w:tcBorders>
              <w:top w:val="nil"/>
              <w:left w:val="nil"/>
              <w:bottom w:val="nil"/>
              <w:right w:val="nil"/>
            </w:tcBorders>
            <w:shd w:val="clear" w:color="auto" w:fill="auto"/>
            <w:vAlign w:val="center"/>
            <w:hideMark/>
          </w:tcPr>
          <w:p w14:paraId="3C5B68D8" w14:textId="77777777" w:rsidR="00FA2FC6" w:rsidRPr="00FA2FC6" w:rsidRDefault="00FA2FC6" w:rsidP="00FA2FC6">
            <w:pPr>
              <w:jc w:val="center"/>
              <w:rPr>
                <w:rFonts w:ascii="Calibri" w:eastAsia="Times New Roman" w:hAnsi="Calibri" w:cs="Calibri"/>
                <w:b/>
                <w:bCs/>
                <w:color w:val="000000"/>
                <w:lang w:eastAsia="en-AU"/>
              </w:rPr>
            </w:pPr>
          </w:p>
        </w:tc>
        <w:tc>
          <w:tcPr>
            <w:tcW w:w="771" w:type="pct"/>
            <w:tcBorders>
              <w:top w:val="nil"/>
              <w:left w:val="nil"/>
              <w:bottom w:val="nil"/>
              <w:right w:val="nil"/>
            </w:tcBorders>
            <w:shd w:val="clear" w:color="auto" w:fill="auto"/>
            <w:vAlign w:val="center"/>
            <w:hideMark/>
          </w:tcPr>
          <w:p w14:paraId="19D201E2" w14:textId="77777777" w:rsidR="00FA2FC6" w:rsidRPr="00FA2FC6" w:rsidRDefault="00FA2FC6" w:rsidP="00FA2FC6">
            <w:pPr>
              <w:jc w:val="right"/>
              <w:rPr>
                <w:rFonts w:ascii="Times New Roman" w:eastAsia="Times New Roman" w:hAnsi="Times New Roman" w:cs="Times New Roman"/>
                <w:sz w:val="20"/>
                <w:szCs w:val="20"/>
                <w:lang w:eastAsia="en-AU"/>
              </w:rPr>
            </w:pPr>
          </w:p>
        </w:tc>
        <w:tc>
          <w:tcPr>
            <w:tcW w:w="808" w:type="pct"/>
            <w:tcBorders>
              <w:top w:val="nil"/>
              <w:left w:val="nil"/>
              <w:bottom w:val="nil"/>
            </w:tcBorders>
            <w:shd w:val="clear" w:color="auto" w:fill="auto"/>
            <w:vAlign w:val="center"/>
            <w:hideMark/>
          </w:tcPr>
          <w:p w14:paraId="289F05A8" w14:textId="77777777" w:rsidR="00FA2FC6" w:rsidRPr="00FA2FC6" w:rsidRDefault="00FA2FC6" w:rsidP="00FA2FC6">
            <w:pPr>
              <w:jc w:val="right"/>
              <w:rPr>
                <w:rFonts w:ascii="Calibri" w:eastAsia="Times New Roman" w:hAnsi="Calibri" w:cs="Calibri"/>
                <w:color w:val="000000"/>
                <w:lang w:eastAsia="en-AU"/>
              </w:rPr>
            </w:pPr>
            <w:r w:rsidRPr="00FA2FC6">
              <w:rPr>
                <w:rFonts w:ascii="Calibri" w:eastAsia="Times New Roman" w:hAnsi="Calibri" w:cs="Calibri"/>
                <w:color w:val="000000"/>
                <w:lang w:eastAsia="en-AU"/>
              </w:rPr>
              <w:t> </w:t>
            </w:r>
          </w:p>
        </w:tc>
      </w:tr>
      <w:tr w:rsidR="000052FE" w:rsidRPr="00FA2FC6" w14:paraId="40581479" w14:textId="77777777" w:rsidTr="00FA2FC6">
        <w:trPr>
          <w:trHeight w:val="300"/>
        </w:trPr>
        <w:tc>
          <w:tcPr>
            <w:tcW w:w="2970" w:type="pct"/>
            <w:gridSpan w:val="2"/>
            <w:tcBorders>
              <w:top w:val="nil"/>
              <w:bottom w:val="nil"/>
              <w:right w:val="nil"/>
            </w:tcBorders>
            <w:shd w:val="clear" w:color="auto" w:fill="auto"/>
            <w:vAlign w:val="center"/>
            <w:hideMark/>
          </w:tcPr>
          <w:p w14:paraId="21E48967" w14:textId="77777777" w:rsidR="00FA2FC6" w:rsidRPr="00FA2FC6" w:rsidRDefault="00FA2FC6" w:rsidP="00FA2FC6">
            <w:pPr>
              <w:rPr>
                <w:rFonts w:ascii="Calibri" w:eastAsia="Times New Roman" w:hAnsi="Calibri" w:cs="Calibri"/>
                <w:b/>
                <w:bCs/>
                <w:i/>
                <w:iCs/>
                <w:lang w:eastAsia="en-AU"/>
              </w:rPr>
            </w:pPr>
            <w:r w:rsidRPr="00FA2FC6">
              <w:rPr>
                <w:rFonts w:ascii="Calibri" w:eastAsia="Times New Roman" w:hAnsi="Calibri" w:cs="Calibri"/>
                <w:b/>
                <w:bCs/>
                <w:i/>
                <w:iCs/>
                <w:lang w:eastAsia="en-AU"/>
              </w:rPr>
              <w:t>Net ($m p.a., sheep), base case</w:t>
            </w:r>
          </w:p>
        </w:tc>
        <w:tc>
          <w:tcPr>
            <w:tcW w:w="451" w:type="pct"/>
            <w:tcBorders>
              <w:top w:val="nil"/>
              <w:left w:val="nil"/>
              <w:bottom w:val="nil"/>
              <w:right w:val="nil"/>
            </w:tcBorders>
            <w:shd w:val="clear" w:color="auto" w:fill="auto"/>
            <w:vAlign w:val="center"/>
            <w:hideMark/>
          </w:tcPr>
          <w:p w14:paraId="57780304" w14:textId="77777777" w:rsidR="00FA2FC6" w:rsidRPr="00FA2FC6" w:rsidRDefault="00FA2FC6" w:rsidP="00FA2FC6">
            <w:pPr>
              <w:jc w:val="center"/>
              <w:rPr>
                <w:rFonts w:ascii="Calibri" w:eastAsia="Times New Roman" w:hAnsi="Calibri" w:cs="Calibri"/>
                <w:b/>
                <w:bCs/>
                <w:i/>
                <w:iCs/>
                <w:lang w:eastAsia="en-AU"/>
              </w:rPr>
            </w:pPr>
            <w:r w:rsidRPr="00FA2FC6">
              <w:rPr>
                <w:rFonts w:ascii="Calibri" w:eastAsia="Times New Roman" w:hAnsi="Calibri" w:cs="Calibri"/>
                <w:b/>
                <w:bCs/>
                <w:i/>
                <w:iCs/>
                <w:lang w:eastAsia="en-AU"/>
              </w:rPr>
              <w:t>$148</w:t>
            </w:r>
          </w:p>
        </w:tc>
        <w:tc>
          <w:tcPr>
            <w:tcW w:w="771" w:type="pct"/>
            <w:tcBorders>
              <w:top w:val="nil"/>
              <w:left w:val="nil"/>
              <w:bottom w:val="nil"/>
              <w:right w:val="nil"/>
            </w:tcBorders>
            <w:shd w:val="clear" w:color="auto" w:fill="auto"/>
            <w:vAlign w:val="center"/>
            <w:hideMark/>
          </w:tcPr>
          <w:p w14:paraId="32189F0C" w14:textId="77777777" w:rsidR="00FA2FC6" w:rsidRPr="00FA2FC6" w:rsidRDefault="00FA2FC6" w:rsidP="00FA2FC6">
            <w:pPr>
              <w:jc w:val="center"/>
              <w:rPr>
                <w:rFonts w:ascii="Calibri" w:eastAsia="Times New Roman" w:hAnsi="Calibri" w:cs="Calibri"/>
                <w:b/>
                <w:bCs/>
                <w:i/>
                <w:iCs/>
                <w:lang w:eastAsia="en-AU"/>
              </w:rPr>
            </w:pPr>
            <w:r w:rsidRPr="00FA2FC6">
              <w:rPr>
                <w:rFonts w:ascii="Calibri" w:eastAsia="Times New Roman" w:hAnsi="Calibri" w:cs="Calibri"/>
                <w:b/>
                <w:bCs/>
                <w:i/>
                <w:iCs/>
                <w:lang w:eastAsia="en-AU"/>
              </w:rPr>
              <w:t>$224</w:t>
            </w:r>
          </w:p>
        </w:tc>
        <w:tc>
          <w:tcPr>
            <w:tcW w:w="808" w:type="pct"/>
            <w:tcBorders>
              <w:top w:val="nil"/>
              <w:left w:val="nil"/>
              <w:bottom w:val="nil"/>
            </w:tcBorders>
            <w:shd w:val="clear" w:color="auto" w:fill="auto"/>
            <w:vAlign w:val="center"/>
            <w:hideMark/>
          </w:tcPr>
          <w:p w14:paraId="759A6D17" w14:textId="77777777" w:rsidR="00FA2FC6" w:rsidRPr="00FA2FC6" w:rsidRDefault="00FA2FC6" w:rsidP="00FA2FC6">
            <w:pPr>
              <w:jc w:val="center"/>
              <w:rPr>
                <w:rFonts w:ascii="Calibri" w:eastAsia="Times New Roman" w:hAnsi="Calibri" w:cs="Calibri"/>
                <w:b/>
                <w:bCs/>
                <w:i/>
                <w:iCs/>
                <w:lang w:eastAsia="en-AU"/>
              </w:rPr>
            </w:pPr>
            <w:r w:rsidRPr="00FA2FC6">
              <w:rPr>
                <w:rFonts w:ascii="Calibri" w:eastAsia="Times New Roman" w:hAnsi="Calibri" w:cs="Calibri"/>
                <w:b/>
                <w:bCs/>
                <w:i/>
                <w:iCs/>
                <w:lang w:eastAsia="en-AU"/>
              </w:rPr>
              <w:t>$231</w:t>
            </w:r>
          </w:p>
        </w:tc>
      </w:tr>
      <w:tr w:rsidR="000052FE" w:rsidRPr="00FA2FC6" w14:paraId="765874FE" w14:textId="77777777" w:rsidTr="00FA2FC6">
        <w:trPr>
          <w:trHeight w:val="300"/>
        </w:trPr>
        <w:tc>
          <w:tcPr>
            <w:tcW w:w="2970" w:type="pct"/>
            <w:gridSpan w:val="2"/>
            <w:tcBorders>
              <w:top w:val="nil"/>
              <w:bottom w:val="single" w:sz="4" w:space="0" w:color="000000"/>
              <w:right w:val="nil"/>
            </w:tcBorders>
            <w:shd w:val="clear" w:color="auto" w:fill="auto"/>
            <w:vAlign w:val="center"/>
            <w:hideMark/>
          </w:tcPr>
          <w:p w14:paraId="0E164F62" w14:textId="77777777" w:rsidR="00FA2FC6" w:rsidRPr="00FA2FC6" w:rsidRDefault="00FA2FC6" w:rsidP="00FA2FC6">
            <w:pPr>
              <w:rPr>
                <w:rFonts w:ascii="Calibri" w:eastAsia="Times New Roman" w:hAnsi="Calibri" w:cs="Calibri"/>
                <w:b/>
                <w:bCs/>
                <w:i/>
                <w:iCs/>
                <w:lang w:eastAsia="en-AU"/>
              </w:rPr>
            </w:pPr>
            <w:r w:rsidRPr="00FA2FC6">
              <w:rPr>
                <w:rFonts w:ascii="Calibri" w:eastAsia="Times New Roman" w:hAnsi="Calibri" w:cs="Calibri"/>
                <w:b/>
                <w:bCs/>
                <w:i/>
                <w:iCs/>
                <w:lang w:eastAsia="en-AU"/>
              </w:rPr>
              <w:t>Increase due to genotyping</w:t>
            </w:r>
          </w:p>
        </w:tc>
        <w:tc>
          <w:tcPr>
            <w:tcW w:w="451" w:type="pct"/>
            <w:tcBorders>
              <w:top w:val="nil"/>
              <w:left w:val="nil"/>
              <w:bottom w:val="single" w:sz="4" w:space="0" w:color="000000"/>
              <w:right w:val="nil"/>
            </w:tcBorders>
            <w:shd w:val="clear" w:color="auto" w:fill="auto"/>
            <w:vAlign w:val="bottom"/>
            <w:hideMark/>
          </w:tcPr>
          <w:p w14:paraId="08F02BE3" w14:textId="77777777" w:rsidR="00FA2FC6" w:rsidRPr="00FA2FC6" w:rsidRDefault="00FA2FC6" w:rsidP="00FA2FC6">
            <w:pPr>
              <w:rPr>
                <w:rFonts w:ascii="Calibri" w:eastAsia="Times New Roman" w:hAnsi="Calibri" w:cs="Calibri"/>
                <w:lang w:eastAsia="en-AU"/>
              </w:rPr>
            </w:pPr>
            <w:r w:rsidRPr="00FA2FC6">
              <w:rPr>
                <w:rFonts w:ascii="Calibri" w:eastAsia="Times New Roman" w:hAnsi="Calibri" w:cs="Calibri"/>
                <w:lang w:eastAsia="en-AU"/>
              </w:rPr>
              <w:t> </w:t>
            </w:r>
          </w:p>
        </w:tc>
        <w:tc>
          <w:tcPr>
            <w:tcW w:w="771" w:type="pct"/>
            <w:tcBorders>
              <w:top w:val="nil"/>
              <w:left w:val="nil"/>
              <w:bottom w:val="single" w:sz="4" w:space="0" w:color="000000"/>
              <w:right w:val="nil"/>
            </w:tcBorders>
            <w:shd w:val="clear" w:color="auto" w:fill="auto"/>
            <w:vAlign w:val="center"/>
            <w:hideMark/>
          </w:tcPr>
          <w:p w14:paraId="00D0494F" w14:textId="77777777" w:rsidR="00FA2FC6" w:rsidRPr="00FA2FC6" w:rsidRDefault="00FA2FC6" w:rsidP="00FA2FC6">
            <w:pPr>
              <w:jc w:val="center"/>
              <w:rPr>
                <w:rFonts w:ascii="Calibri" w:eastAsia="Times New Roman" w:hAnsi="Calibri" w:cs="Calibri"/>
                <w:b/>
                <w:bCs/>
                <w:i/>
                <w:iCs/>
                <w:lang w:eastAsia="en-AU"/>
              </w:rPr>
            </w:pPr>
            <w:r w:rsidRPr="00FA2FC6">
              <w:rPr>
                <w:rFonts w:ascii="Calibri" w:eastAsia="Times New Roman" w:hAnsi="Calibri" w:cs="Calibri"/>
                <w:b/>
                <w:bCs/>
                <w:i/>
                <w:iCs/>
                <w:lang w:eastAsia="en-AU"/>
              </w:rPr>
              <w:t>51%</w:t>
            </w:r>
          </w:p>
        </w:tc>
        <w:tc>
          <w:tcPr>
            <w:tcW w:w="808" w:type="pct"/>
            <w:tcBorders>
              <w:top w:val="nil"/>
              <w:left w:val="nil"/>
              <w:bottom w:val="single" w:sz="4" w:space="0" w:color="000000"/>
            </w:tcBorders>
            <w:shd w:val="clear" w:color="auto" w:fill="auto"/>
            <w:vAlign w:val="center"/>
            <w:hideMark/>
          </w:tcPr>
          <w:p w14:paraId="519904C2" w14:textId="77777777" w:rsidR="00FA2FC6" w:rsidRPr="00FA2FC6" w:rsidRDefault="00FA2FC6" w:rsidP="00FA2FC6">
            <w:pPr>
              <w:jc w:val="center"/>
              <w:rPr>
                <w:rFonts w:ascii="Calibri" w:eastAsia="Times New Roman" w:hAnsi="Calibri" w:cs="Calibri"/>
                <w:b/>
                <w:bCs/>
                <w:i/>
                <w:iCs/>
                <w:lang w:eastAsia="en-AU"/>
              </w:rPr>
            </w:pPr>
            <w:r w:rsidRPr="00FA2FC6">
              <w:rPr>
                <w:rFonts w:ascii="Calibri" w:eastAsia="Times New Roman" w:hAnsi="Calibri" w:cs="Calibri"/>
                <w:b/>
                <w:bCs/>
                <w:i/>
                <w:iCs/>
                <w:lang w:eastAsia="en-AU"/>
              </w:rPr>
              <w:t>56%</w:t>
            </w:r>
          </w:p>
        </w:tc>
      </w:tr>
    </w:tbl>
    <w:p w14:paraId="3B38B704" w14:textId="0DD1D1FC" w:rsidR="009050FB" w:rsidRDefault="009050FB" w:rsidP="00EA14BD">
      <w:pPr>
        <w:rPr>
          <w:color w:val="FF0000"/>
        </w:rPr>
      </w:pPr>
    </w:p>
    <w:p w14:paraId="6973C02E" w14:textId="77777777" w:rsidR="00F70D7D" w:rsidRPr="009822B7" w:rsidRDefault="00F70D7D" w:rsidP="00F70D7D">
      <w:pPr>
        <w:ind w:left="993"/>
        <w:rPr>
          <w:i/>
          <w:iCs/>
          <w:u w:val="single"/>
        </w:rPr>
      </w:pPr>
      <w:r w:rsidRPr="009822B7">
        <w:rPr>
          <w:i/>
          <w:iCs/>
          <w:u w:val="single"/>
        </w:rPr>
        <w:t>Notes</w:t>
      </w:r>
    </w:p>
    <w:p w14:paraId="18A096FB" w14:textId="175D6B3C" w:rsidR="00F70D7D" w:rsidRDefault="00F70D7D" w:rsidP="00F70D7D">
      <w:pPr>
        <w:ind w:left="993"/>
        <w:rPr>
          <w:i/>
          <w:iCs/>
        </w:rPr>
      </w:pPr>
      <w:r w:rsidRPr="003D030E">
        <w:rPr>
          <w:i/>
          <w:iCs/>
        </w:rPr>
        <w:t xml:space="preserve">a. </w:t>
      </w:r>
      <w:r>
        <w:rPr>
          <w:i/>
          <w:iCs/>
        </w:rPr>
        <w:t>Assume</w:t>
      </w:r>
      <w:r w:rsidR="00092573">
        <w:rPr>
          <w:i/>
          <w:iCs/>
        </w:rPr>
        <w:t>s every flock (or sub-flock) sampled every 3 years</w:t>
      </w:r>
    </w:p>
    <w:p w14:paraId="63CCCEBB" w14:textId="007773BE" w:rsidR="00F70D7D" w:rsidRDefault="00F70D7D" w:rsidP="00F70D7D">
      <w:pPr>
        <w:ind w:left="993"/>
        <w:rPr>
          <w:i/>
          <w:iCs/>
        </w:rPr>
      </w:pPr>
      <w:r>
        <w:rPr>
          <w:i/>
          <w:iCs/>
        </w:rPr>
        <w:t xml:space="preserve">b. </w:t>
      </w:r>
      <w:r w:rsidR="00092573">
        <w:rPr>
          <w:i/>
          <w:iCs/>
        </w:rPr>
        <w:t>Annual number of new sires</w:t>
      </w:r>
    </w:p>
    <w:p w14:paraId="4323DAF0" w14:textId="77EF982F" w:rsidR="00F70D7D" w:rsidRDefault="00F70D7D" w:rsidP="00F70D7D">
      <w:pPr>
        <w:ind w:left="993"/>
        <w:rPr>
          <w:i/>
          <w:iCs/>
        </w:rPr>
      </w:pPr>
      <w:r>
        <w:rPr>
          <w:i/>
          <w:iCs/>
        </w:rPr>
        <w:t xml:space="preserve">c. </w:t>
      </w:r>
      <w:r w:rsidR="00993FA1">
        <w:rPr>
          <w:i/>
          <w:iCs/>
        </w:rPr>
        <w:t>Assumes $700 for flock profile and $33 per sire</w:t>
      </w:r>
    </w:p>
    <w:p w14:paraId="5192FE75" w14:textId="77777777" w:rsidR="00F70D7D" w:rsidRDefault="00F70D7D" w:rsidP="00F70D7D">
      <w:pPr>
        <w:ind w:left="993"/>
        <w:rPr>
          <w:i/>
          <w:iCs/>
        </w:rPr>
      </w:pPr>
      <w:r>
        <w:rPr>
          <w:i/>
          <w:iCs/>
        </w:rPr>
        <w:t>d. Proportion of commercial steers and heifers that are managed according to predicted performance based on genotypes</w:t>
      </w:r>
    </w:p>
    <w:p w14:paraId="0F389D1B" w14:textId="3C64BC2A" w:rsidR="00F70D7D" w:rsidRDefault="00F70D7D" w:rsidP="00F70D7D">
      <w:pPr>
        <w:ind w:left="993"/>
        <w:rPr>
          <w:i/>
          <w:iCs/>
        </w:rPr>
      </w:pPr>
      <w:r>
        <w:rPr>
          <w:i/>
          <w:iCs/>
        </w:rPr>
        <w:t xml:space="preserve">e. </w:t>
      </w:r>
      <w:r w:rsidR="00892AE0">
        <w:rPr>
          <w:i/>
          <w:iCs/>
        </w:rPr>
        <w:t xml:space="preserve">Based on </w:t>
      </w:r>
      <w:r w:rsidR="007A4ECF" w:rsidRPr="007A4ECF">
        <w:rPr>
          <w:i/>
          <w:iCs/>
        </w:rPr>
        <w:fldChar w:fldCharType="begin"/>
      </w:r>
      <w:r w:rsidR="007A4ECF" w:rsidRPr="007A4ECF">
        <w:rPr>
          <w:i/>
          <w:iCs/>
        </w:rPr>
        <w:instrText xml:space="preserve"> REF _Ref92046291 \h  \* MERGEFORMAT </w:instrText>
      </w:r>
      <w:r w:rsidR="007A4ECF" w:rsidRPr="007A4ECF">
        <w:rPr>
          <w:i/>
          <w:iCs/>
        </w:rPr>
      </w:r>
      <w:r w:rsidR="007A4ECF" w:rsidRPr="007A4ECF">
        <w:rPr>
          <w:i/>
          <w:iCs/>
        </w:rPr>
        <w:fldChar w:fldCharType="separate"/>
      </w:r>
      <w:r w:rsidR="008D0D42" w:rsidRPr="008D0D42">
        <w:rPr>
          <w:i/>
          <w:iCs/>
        </w:rPr>
        <w:t xml:space="preserve">Figure </w:t>
      </w:r>
      <w:r w:rsidR="008D0D42" w:rsidRPr="008D0D42">
        <w:rPr>
          <w:i/>
          <w:iCs/>
          <w:noProof/>
        </w:rPr>
        <w:t>32</w:t>
      </w:r>
      <w:r w:rsidR="007A4ECF" w:rsidRPr="007A4ECF">
        <w:rPr>
          <w:i/>
          <w:iCs/>
        </w:rPr>
        <w:fldChar w:fldCharType="end"/>
      </w:r>
      <w:r w:rsidR="007A4ECF">
        <w:rPr>
          <w:i/>
          <w:iCs/>
        </w:rPr>
        <w:t>, assigning 24% of the value to sheep</w:t>
      </w:r>
      <w:r w:rsidR="00395ED6">
        <w:rPr>
          <w:i/>
          <w:iCs/>
        </w:rPr>
        <w:t xml:space="preserve"> and </w:t>
      </w:r>
      <w:r w:rsidR="00570107">
        <w:rPr>
          <w:i/>
          <w:iCs/>
        </w:rPr>
        <w:t>to allow for curvili</w:t>
      </w:r>
      <w:r w:rsidR="00B92ECB">
        <w:rPr>
          <w:i/>
          <w:iCs/>
        </w:rPr>
        <w:t xml:space="preserve">nearity, </w:t>
      </w:r>
      <w:proofErr w:type="gramStart"/>
      <w:r w:rsidR="00395ED6">
        <w:rPr>
          <w:i/>
          <w:iCs/>
        </w:rPr>
        <w:t xml:space="preserve">assuming </w:t>
      </w:r>
      <w:r w:rsidR="00D30109">
        <w:rPr>
          <w:i/>
          <w:iCs/>
        </w:rPr>
        <w:t>that</w:t>
      </w:r>
      <w:proofErr w:type="gramEnd"/>
      <w:r w:rsidR="00D30109">
        <w:rPr>
          <w:i/>
          <w:iCs/>
        </w:rPr>
        <w:t xml:space="preserve"> 1/3 of the benefit of increasing traceability from </w:t>
      </w:r>
      <w:r w:rsidR="00570107">
        <w:rPr>
          <w:i/>
          <w:iCs/>
        </w:rPr>
        <w:t>90% to 100% occurs between 90% and 95%, with 2/3 of the benefit occurring between 95% and 100%.</w:t>
      </w:r>
    </w:p>
    <w:p w14:paraId="09EFDD0B" w14:textId="4453C12E" w:rsidR="00F70D7D" w:rsidRDefault="00F70D7D" w:rsidP="00F70D7D">
      <w:pPr>
        <w:ind w:left="993"/>
        <w:rPr>
          <w:i/>
          <w:iCs/>
        </w:rPr>
      </w:pPr>
      <w:r>
        <w:rPr>
          <w:i/>
          <w:iCs/>
        </w:rPr>
        <w:t xml:space="preserve">f. </w:t>
      </w:r>
      <w:r w:rsidR="00B92ECB">
        <w:rPr>
          <w:i/>
          <w:iCs/>
        </w:rPr>
        <w:t>Assumes no additional reference data – see text</w:t>
      </w:r>
    </w:p>
    <w:p w14:paraId="51FFA65E" w14:textId="0F7F3F38" w:rsidR="00F70D7D" w:rsidRPr="002E7F49" w:rsidRDefault="00F70D7D" w:rsidP="00F70D7D">
      <w:pPr>
        <w:ind w:left="993"/>
      </w:pPr>
      <w:r>
        <w:rPr>
          <w:i/>
          <w:iCs/>
        </w:rPr>
        <w:t xml:space="preserve">g. </w:t>
      </w:r>
      <w:r w:rsidR="002E7F49">
        <w:rPr>
          <w:i/>
          <w:iCs/>
        </w:rPr>
        <w:t>Based on Atkins (</w:t>
      </w:r>
      <w:r w:rsidR="002E7F49" w:rsidRPr="002E7F49">
        <w:rPr>
          <w:i/>
          <w:iCs/>
        </w:rPr>
        <w:t>op cit.)</w:t>
      </w:r>
    </w:p>
    <w:p w14:paraId="579E46E7" w14:textId="1DC4E191" w:rsidR="00F70D7D" w:rsidRDefault="00F70D7D" w:rsidP="00F70D7D">
      <w:pPr>
        <w:spacing w:line="259" w:lineRule="auto"/>
      </w:pPr>
    </w:p>
    <w:p w14:paraId="250E3292" w14:textId="19F81D14" w:rsidR="005A6736" w:rsidRDefault="005A6736" w:rsidP="00F70D7D">
      <w:pPr>
        <w:spacing w:line="259" w:lineRule="auto"/>
      </w:pPr>
      <w:r>
        <w:t xml:space="preserve">These results indicate that </w:t>
      </w:r>
      <w:r w:rsidR="00E65A77">
        <w:t xml:space="preserve">using DNA to augment the current NLIS system in sheep could potentially be quite cost effective, </w:t>
      </w:r>
      <w:proofErr w:type="gramStart"/>
      <w:r w:rsidR="00E65A77">
        <w:t>provided that</w:t>
      </w:r>
      <w:proofErr w:type="gramEnd"/>
      <w:r w:rsidR="00E65A77">
        <w:t xml:space="preserve"> </w:t>
      </w:r>
      <w:r w:rsidR="00EC3C7F">
        <w:t xml:space="preserve">sampling of the national sheep flock is done judiciously.  </w:t>
      </w:r>
      <w:r w:rsidR="00612BE6">
        <w:t>Most of the additional benefit is likely to arise from improvements in traceability</w:t>
      </w:r>
      <w:r w:rsidR="005D174E">
        <w:t>. However, our</w:t>
      </w:r>
      <w:r w:rsidR="00612BE6">
        <w:t xml:space="preserve"> </w:t>
      </w:r>
      <w:r w:rsidR="00967872">
        <w:t xml:space="preserve">modelling suggests that the </w:t>
      </w:r>
      <w:r w:rsidR="00F37C2A">
        <w:t xml:space="preserve">potential value through </w:t>
      </w:r>
      <w:r w:rsidR="00612BE6">
        <w:t xml:space="preserve">stimulating ram </w:t>
      </w:r>
      <w:r w:rsidR="00967872">
        <w:t>buyer mobility is still significant.</w:t>
      </w:r>
      <w:r w:rsidR="00F37C2A">
        <w:t xml:space="preserve">  </w:t>
      </w:r>
      <w:r w:rsidR="0098781A">
        <w:t xml:space="preserve">It might be expected that initially, much of the additional value is achieved simply by ram buyers identifying </w:t>
      </w:r>
      <w:r w:rsidR="00EB1B29">
        <w:t xml:space="preserve">sources of </w:t>
      </w:r>
      <w:r w:rsidR="0098781A">
        <w:t xml:space="preserve">more </w:t>
      </w:r>
      <w:r w:rsidR="00EB1B29">
        <w:t xml:space="preserve">profitable sires, but in the longer run, most of the additional benefit is likely to be </w:t>
      </w:r>
      <w:r w:rsidR="001A5B81">
        <w:t>caused</w:t>
      </w:r>
      <w:r w:rsidR="00EB1B29">
        <w:t xml:space="preserve"> by </w:t>
      </w:r>
      <w:r w:rsidR="001A5B81">
        <w:t xml:space="preserve">improved ram breeding practices driven by </w:t>
      </w:r>
      <w:r w:rsidR="00EB1B29">
        <w:t>greater competition</w:t>
      </w:r>
      <w:r w:rsidR="001A5B81">
        <w:t>.</w:t>
      </w:r>
      <w:r w:rsidR="00EB1B29">
        <w:t xml:space="preserve">  </w:t>
      </w:r>
      <w:r w:rsidR="0098781A">
        <w:t xml:space="preserve"> </w:t>
      </w:r>
      <w:r w:rsidR="00967872">
        <w:t xml:space="preserve">  </w:t>
      </w:r>
    </w:p>
    <w:p w14:paraId="5C79854E" w14:textId="77777777" w:rsidR="005A6736" w:rsidRPr="00196DEF" w:rsidRDefault="005A6736" w:rsidP="00F70D7D">
      <w:pPr>
        <w:spacing w:line="259" w:lineRule="auto"/>
      </w:pPr>
    </w:p>
    <w:p w14:paraId="11F35FF2" w14:textId="77777777" w:rsidR="00D61744" w:rsidRDefault="00D61744" w:rsidP="00D61744">
      <w:pPr>
        <w:pStyle w:val="Heading3"/>
      </w:pPr>
      <w:bookmarkStart w:id="174" w:name="_Toc95983418"/>
      <w:r>
        <w:lastRenderedPageBreak/>
        <w:t>Distribution of benefits by sector</w:t>
      </w:r>
      <w:bookmarkEnd w:id="174"/>
    </w:p>
    <w:p w14:paraId="6C5742D9" w14:textId="40B478BE" w:rsidR="00D61744" w:rsidRDefault="00D61744" w:rsidP="002362D3">
      <w:pPr>
        <w:pStyle w:val="Heading2"/>
      </w:pPr>
    </w:p>
    <w:p w14:paraId="6688E2D8" w14:textId="195A0912" w:rsidR="00D61744" w:rsidRPr="00D61744" w:rsidRDefault="00D61744" w:rsidP="00D61744">
      <w:r w:rsidRPr="00D61744">
        <w:t xml:space="preserve">Benefits of NLIS in sheep were </w:t>
      </w:r>
      <w:r>
        <w:t>estimated</w:t>
      </w:r>
      <w:r w:rsidRPr="00D61744">
        <w:t xml:space="preserve"> by Dwyer and Clarke (2015) to be distributed as shown in</w:t>
      </w:r>
      <w:r w:rsidR="00E17B49">
        <w:t xml:space="preserve"> </w:t>
      </w:r>
      <w:r w:rsidR="00E17B49">
        <w:fldChar w:fldCharType="begin"/>
      </w:r>
      <w:r w:rsidR="00E17B49">
        <w:instrText xml:space="preserve"> REF _Ref87706772 \h </w:instrText>
      </w:r>
      <w:r w:rsidR="00E17B49">
        <w:fldChar w:fldCharType="separate"/>
      </w:r>
      <w:r w:rsidR="008D0D42">
        <w:t xml:space="preserve">Figure </w:t>
      </w:r>
      <w:r w:rsidR="008D0D42">
        <w:rPr>
          <w:noProof/>
        </w:rPr>
        <w:t>31</w:t>
      </w:r>
      <w:r w:rsidR="00E17B49">
        <w:fldChar w:fldCharType="end"/>
      </w:r>
      <w:r w:rsidRPr="00D61744">
        <w:t xml:space="preserve">, with domestic consumers and overseas customers each realising over 30% of the total.  There are no published estimates of how the benefits of genetic gain in sheep are distributed, but it is reasonable to assume that they are probably </w:t>
      </w:r>
      <w:proofErr w:type="gramStart"/>
      <w:r w:rsidRPr="00D61744">
        <w:t>similar to</w:t>
      </w:r>
      <w:proofErr w:type="gramEnd"/>
      <w:r w:rsidRPr="00D61744">
        <w:t xml:space="preserve"> beef (see </w:t>
      </w:r>
      <w:r w:rsidR="00302383">
        <w:fldChar w:fldCharType="begin"/>
      </w:r>
      <w:r w:rsidR="00302383">
        <w:instrText xml:space="preserve"> REF _Ref95829261 \h </w:instrText>
      </w:r>
      <w:r w:rsidR="00302383">
        <w:fldChar w:fldCharType="separate"/>
      </w:r>
      <w:r w:rsidR="008D0D42">
        <w:t xml:space="preserve">Figure </w:t>
      </w:r>
      <w:r w:rsidR="008D0D42">
        <w:rPr>
          <w:noProof/>
        </w:rPr>
        <w:t>33</w:t>
      </w:r>
      <w:r w:rsidR="00302383">
        <w:fldChar w:fldCharType="end"/>
      </w:r>
      <w:r w:rsidR="00302383">
        <w:t>).</w:t>
      </w:r>
    </w:p>
    <w:p w14:paraId="71AA269B" w14:textId="77777777" w:rsidR="00D61744" w:rsidRDefault="00D61744" w:rsidP="002362D3">
      <w:pPr>
        <w:pStyle w:val="Heading2"/>
      </w:pPr>
    </w:p>
    <w:p w14:paraId="0A7DAA1A" w14:textId="77777777" w:rsidR="00D61744" w:rsidRDefault="00D61744" w:rsidP="002362D3">
      <w:pPr>
        <w:pStyle w:val="Heading2"/>
      </w:pPr>
    </w:p>
    <w:p w14:paraId="49899260" w14:textId="0047D194" w:rsidR="00B465EF" w:rsidRPr="00870CD2" w:rsidRDefault="00B465EF" w:rsidP="002362D3">
      <w:pPr>
        <w:pStyle w:val="Heading2"/>
      </w:pPr>
      <w:bookmarkStart w:id="175" w:name="_Toc95983419"/>
      <w:r w:rsidRPr="00870CD2">
        <w:t xml:space="preserve">Other </w:t>
      </w:r>
      <w:r w:rsidR="00303E50" w:rsidRPr="00870CD2">
        <w:t>ancillary benefits</w:t>
      </w:r>
      <w:bookmarkEnd w:id="175"/>
    </w:p>
    <w:p w14:paraId="27282B11" w14:textId="77777777" w:rsidR="00870CD2" w:rsidRDefault="00870CD2" w:rsidP="00B465EF"/>
    <w:p w14:paraId="31A25A06" w14:textId="4555676C" w:rsidR="00B465EF" w:rsidRDefault="00B465EF" w:rsidP="00B465EF">
      <w:r w:rsidRPr="00A468B6">
        <w:t xml:space="preserve">The examples shown above are just a subset of applications that are possible once a system links </w:t>
      </w:r>
      <w:r w:rsidR="007A7F3E">
        <w:t>identity</w:t>
      </w:r>
      <w:r w:rsidRPr="00A468B6">
        <w:t xml:space="preserve">, </w:t>
      </w:r>
      <w:proofErr w:type="gramStart"/>
      <w:r w:rsidRPr="00A468B6">
        <w:t>genotype</w:t>
      </w:r>
      <w:proofErr w:type="gramEnd"/>
      <w:r w:rsidRPr="00A468B6">
        <w:t xml:space="preserve"> and some form(s) of performance data.</w:t>
      </w:r>
      <w:r w:rsidR="00100567">
        <w:t xml:space="preserve">  For example, </w:t>
      </w:r>
      <w:r w:rsidRPr="00A468B6">
        <w:t xml:space="preserve">Appendix </w:t>
      </w:r>
      <w:r w:rsidR="00F355A4">
        <w:t>6</w:t>
      </w:r>
      <w:r w:rsidRPr="00A468B6">
        <w:t xml:space="preserve"> outlines how the Irish national </w:t>
      </w:r>
      <w:r w:rsidR="00945A17">
        <w:t>genomic identification</w:t>
      </w:r>
      <w:r w:rsidRPr="00A468B6">
        <w:t xml:space="preserve"> system is being linked to animal health databases enabling therapeutic response, but also enabling R&amp;D into (in this case) the genetics of </w:t>
      </w:r>
      <w:proofErr w:type="gramStart"/>
      <w:r w:rsidRPr="00A468B6">
        <w:t>particular conditions</w:t>
      </w:r>
      <w:proofErr w:type="gramEnd"/>
      <w:r w:rsidRPr="00A468B6">
        <w:t>. Once such R&amp;D is complete, it will be possible to detect at-risk animals as soon as a genotype is available.</w:t>
      </w:r>
      <w:r w:rsidR="00945A17">
        <w:t xml:space="preserve">  </w:t>
      </w:r>
      <w:r w:rsidR="004D1279">
        <w:t xml:space="preserve">The Irish experience </w:t>
      </w:r>
      <w:r w:rsidR="002528EA">
        <w:t xml:space="preserve">demonstrates </w:t>
      </w:r>
      <w:r w:rsidRPr="00A468B6">
        <w:t>the power of linked data as a learning or research vehicle, which will underpin future search tools and services</w:t>
      </w:r>
      <w:r>
        <w:t>.</w:t>
      </w:r>
      <w:r w:rsidR="004D1279">
        <w:t xml:space="preserve">  </w:t>
      </w:r>
      <w:r>
        <w:t>This distinction underlies the discussion of opportunities in the section “Strategic and Governance Considerations”.</w:t>
      </w:r>
    </w:p>
    <w:p w14:paraId="3C6465CE" w14:textId="03F7DDA4" w:rsidR="00B465EF" w:rsidRDefault="00B465EF" w:rsidP="00B465EF"/>
    <w:p w14:paraId="56FE8244" w14:textId="4B05A81D" w:rsidR="00DF0D77" w:rsidRDefault="00DF0D77" w:rsidP="00B465EF"/>
    <w:p w14:paraId="18C24DCE" w14:textId="1B32F945" w:rsidR="006A60FF" w:rsidRPr="00727F93" w:rsidRDefault="006A60FF" w:rsidP="001B608A">
      <w:pPr>
        <w:pStyle w:val="Heading2"/>
      </w:pPr>
      <w:bookmarkStart w:id="176" w:name="_Toc95983420"/>
      <w:r w:rsidRPr="00727F93">
        <w:t>Economic modelling</w:t>
      </w:r>
      <w:r w:rsidR="004E1A6F">
        <w:t xml:space="preserve"> - summary</w:t>
      </w:r>
      <w:bookmarkEnd w:id="176"/>
    </w:p>
    <w:p w14:paraId="712FA42F" w14:textId="77777777" w:rsidR="006A60FF" w:rsidRDefault="006A60FF" w:rsidP="006A60FF"/>
    <w:p w14:paraId="2FF51354" w14:textId="796284EE" w:rsidR="006A60FF" w:rsidRDefault="006A60FF" w:rsidP="006A60FF">
      <w:r>
        <w:t>Not unexpectedly, our initial modelling shows results to be very sensitive to assumptions around:</w:t>
      </w:r>
    </w:p>
    <w:p w14:paraId="5392A721" w14:textId="77777777" w:rsidR="005B6326" w:rsidRDefault="005B6326" w:rsidP="006A60FF"/>
    <w:p w14:paraId="152AE057" w14:textId="51DD1614" w:rsidR="005A6736" w:rsidRDefault="005A6736" w:rsidP="005A6736">
      <w:pPr>
        <w:pStyle w:val="ListParagraph"/>
        <w:numPr>
          <w:ilvl w:val="0"/>
          <w:numId w:val="10"/>
        </w:numPr>
      </w:pPr>
      <w:r w:rsidRPr="004E1A6F">
        <w:rPr>
          <w:b/>
          <w:bCs/>
          <w:i/>
          <w:iCs/>
        </w:rPr>
        <w:t>Risk parameters</w:t>
      </w:r>
      <w:r w:rsidRPr="007F2749">
        <w:t>.</w:t>
      </w:r>
      <w:r>
        <w:t xml:space="preserve">  As indicated by White </w:t>
      </w:r>
      <w:r w:rsidRPr="004E1A6F">
        <w:rPr>
          <w:i/>
          <w:iCs/>
        </w:rPr>
        <w:t>et al.</w:t>
      </w:r>
      <w:r>
        <w:t xml:space="preserve"> (2019)</w:t>
      </w:r>
      <w:r w:rsidRPr="008077F5">
        <w:rPr>
          <w:vertAlign w:val="superscript"/>
        </w:rPr>
        <w:fldChar w:fldCharType="begin"/>
      </w:r>
      <w:r w:rsidRPr="008077F5">
        <w:rPr>
          <w:vertAlign w:val="superscript"/>
        </w:rPr>
        <w:instrText xml:space="preserve"> NOTEREF _Ref89245159 \h </w:instrText>
      </w:r>
      <w:r>
        <w:rPr>
          <w:vertAlign w:val="superscript"/>
        </w:rPr>
        <w:instrText xml:space="preserve"> \* MERGEFORMAT </w:instrText>
      </w:r>
      <w:r w:rsidRPr="008077F5">
        <w:rPr>
          <w:vertAlign w:val="superscript"/>
        </w:rPr>
      </w:r>
      <w:r w:rsidRPr="008077F5">
        <w:rPr>
          <w:vertAlign w:val="superscript"/>
        </w:rPr>
        <w:fldChar w:fldCharType="separate"/>
      </w:r>
      <w:r w:rsidR="008D0D42">
        <w:rPr>
          <w:vertAlign w:val="superscript"/>
        </w:rPr>
        <w:t>61</w:t>
      </w:r>
      <w:r w:rsidRPr="008077F5">
        <w:rPr>
          <w:vertAlign w:val="superscript"/>
        </w:rPr>
        <w:fldChar w:fldCharType="end"/>
      </w:r>
      <w:r>
        <w:t xml:space="preserve">, the likelihood and extent of a disease outbreak or contamination event are a major determinant of industry </w:t>
      </w:r>
      <w:proofErr w:type="gramStart"/>
      <w:r>
        <w:t>benefit</w:t>
      </w:r>
      <w:proofErr w:type="gramEnd"/>
      <w:r>
        <w:t xml:space="preserve"> and these are particularly difficult to evaluate.</w:t>
      </w:r>
    </w:p>
    <w:p w14:paraId="2B50A280" w14:textId="77777777" w:rsidR="005A6736" w:rsidRDefault="005A6736" w:rsidP="005A6736">
      <w:pPr>
        <w:pStyle w:val="ListParagraph"/>
        <w:ind w:left="360"/>
      </w:pPr>
    </w:p>
    <w:p w14:paraId="67F346CB" w14:textId="36CC8BD5" w:rsidR="006A60FF" w:rsidRDefault="006A60FF" w:rsidP="00374617">
      <w:pPr>
        <w:pStyle w:val="ListParagraph"/>
        <w:numPr>
          <w:ilvl w:val="0"/>
          <w:numId w:val="10"/>
        </w:numPr>
      </w:pPr>
      <w:r w:rsidRPr="004E1A6F">
        <w:rPr>
          <w:b/>
          <w:bCs/>
          <w:i/>
          <w:iCs/>
        </w:rPr>
        <w:t>Genotyping costs</w:t>
      </w:r>
      <w:r>
        <w:t>.  Current levels are known but there is uncertainty around likely future costs with greatly increased throughput and technological developments.</w:t>
      </w:r>
    </w:p>
    <w:p w14:paraId="601D4E2F" w14:textId="77777777" w:rsidR="005B6326" w:rsidRDefault="005B6326" w:rsidP="005B6326">
      <w:pPr>
        <w:pStyle w:val="ListParagraph"/>
        <w:ind w:left="360"/>
      </w:pPr>
    </w:p>
    <w:p w14:paraId="7AEFCC4F" w14:textId="3089784D" w:rsidR="006A60FF" w:rsidRDefault="006A60FF" w:rsidP="00374617">
      <w:pPr>
        <w:pStyle w:val="ListParagraph"/>
        <w:numPr>
          <w:ilvl w:val="0"/>
          <w:numId w:val="10"/>
        </w:numPr>
      </w:pPr>
      <w:r w:rsidRPr="004E1A6F">
        <w:rPr>
          <w:b/>
          <w:bCs/>
          <w:i/>
          <w:iCs/>
        </w:rPr>
        <w:t>Adoption levels</w:t>
      </w:r>
      <w:r>
        <w:t>.  These could be influenced by policy or simply by market forces, with a range of possibilities ranging from totally voluntary with user pays, through to mandatory with industry and/or government subsidies.  We do not consider that DNA traceability could totally displace the current tag-based system for the foreseeable future, so have not considered such a scenario.</w:t>
      </w:r>
    </w:p>
    <w:p w14:paraId="09BDFF69" w14:textId="77777777" w:rsidR="005B6326" w:rsidRPr="005B6326" w:rsidRDefault="005B6326" w:rsidP="005B6326"/>
    <w:p w14:paraId="5C7DE87C" w14:textId="398ED6A4" w:rsidR="006A60FF" w:rsidRDefault="006A60FF" w:rsidP="00374617">
      <w:pPr>
        <w:pStyle w:val="ListParagraph"/>
        <w:numPr>
          <w:ilvl w:val="0"/>
          <w:numId w:val="10"/>
        </w:numPr>
      </w:pPr>
      <w:r w:rsidRPr="004E1A6F">
        <w:rPr>
          <w:b/>
          <w:bCs/>
          <w:i/>
          <w:iCs/>
        </w:rPr>
        <w:t>Animal prices</w:t>
      </w:r>
      <w:r>
        <w:t xml:space="preserve">. Prices of red meat have increased significantly in recent times but there is no certainty that current price premiums will be maintained into the future.  Assumptions around prices received </w:t>
      </w:r>
      <w:r w:rsidR="008B05D9">
        <w:t xml:space="preserve">relative to the cost of genotyping </w:t>
      </w:r>
      <w:r>
        <w:t>have a significant effect on the scale of benefits modelled.</w:t>
      </w:r>
    </w:p>
    <w:p w14:paraId="4E2A5071" w14:textId="77777777" w:rsidR="006A60FF" w:rsidRDefault="006A60FF" w:rsidP="006A60FF"/>
    <w:p w14:paraId="3BBE4DA2" w14:textId="1106D784" w:rsidR="003E7C39" w:rsidRDefault="006A60FF" w:rsidP="003E7C39">
      <w:r>
        <w:t xml:space="preserve">If adoption levels are sufficiently high, </w:t>
      </w:r>
      <w:r w:rsidR="004E1A6F">
        <w:t xml:space="preserve">it is clear that </w:t>
      </w:r>
      <w:r>
        <w:t>the ancillary benefits (</w:t>
      </w:r>
      <w:proofErr w:type="gramStart"/>
      <w:r w:rsidRPr="001B608A">
        <w:rPr>
          <w:i/>
          <w:iCs/>
        </w:rPr>
        <w:t>i.e</w:t>
      </w:r>
      <w:r>
        <w:t>.</w:t>
      </w:r>
      <w:proofErr w:type="gramEnd"/>
      <w:r>
        <w:t xml:space="preserve"> apart from traceability) can greatly outweigh implementation costs and are scalable in that the greater the participation rate, the higher the overall benefits and the greater the potential synergies between systems.  </w:t>
      </w:r>
      <w:r w:rsidR="0073047C">
        <w:t xml:space="preserve">Some form of industry-wide genotyping clearly </w:t>
      </w:r>
      <w:r w:rsidR="003E7C39">
        <w:t xml:space="preserve">has the potential to be transformational both across and along value chains.  </w:t>
      </w:r>
    </w:p>
    <w:p w14:paraId="6D545B3D" w14:textId="7064C23B" w:rsidR="00E611F9" w:rsidRDefault="00E611F9" w:rsidP="006A60FF"/>
    <w:p w14:paraId="74408EAE" w14:textId="1E024A0C" w:rsidR="00E31943" w:rsidRPr="00AA4C70" w:rsidRDefault="00E31943" w:rsidP="00E31943">
      <w:pPr>
        <w:spacing w:line="259" w:lineRule="auto"/>
      </w:pPr>
      <w:r>
        <w:t>I</w:t>
      </w:r>
      <w:r w:rsidRPr="00AA4C70">
        <w:t xml:space="preserve">t </w:t>
      </w:r>
      <w:r>
        <w:t xml:space="preserve">therefore </w:t>
      </w:r>
      <w:r w:rsidRPr="00AA4C70">
        <w:t>seems clear that high levels of adoption of DNA-based tools</w:t>
      </w:r>
      <w:r>
        <w:t xml:space="preserve"> </w:t>
      </w:r>
      <w:r w:rsidRPr="00AA4C70">
        <w:t xml:space="preserve">can make large contributions to both increasing industry rate and value of genetic progress, and to profitability of management decisions in individual enterprises and value-chains. Under high levels of adoption, </w:t>
      </w:r>
      <w:r w:rsidRPr="00AA4C70">
        <w:lastRenderedPageBreak/>
        <w:t>these ancillary benefits can plausibly offset the implementation costs, and create a situation where DNA-based traceability becomes almost a “free by-product”.</w:t>
      </w:r>
      <w:r>
        <w:t xml:space="preserve">  </w:t>
      </w:r>
      <w:r w:rsidRPr="00AA4C70">
        <w:t xml:space="preserve">These potential benefits are the same under the </w:t>
      </w:r>
      <w:r>
        <w:t xml:space="preserve">(arguably) </w:t>
      </w:r>
      <w:r w:rsidRPr="00AA4C70">
        <w:t xml:space="preserve">optimistic modelling of benefits of </w:t>
      </w:r>
      <w:proofErr w:type="gramStart"/>
      <w:r w:rsidRPr="00AA4C70">
        <w:t>traceability, and</w:t>
      </w:r>
      <w:proofErr w:type="gramEnd"/>
      <w:r w:rsidRPr="00AA4C70">
        <w:t xml:space="preserve"> remain just as important – because the on-farm costs must be offset by value perceived by each individual decision-maker.</w:t>
      </w:r>
    </w:p>
    <w:p w14:paraId="6BAE9422" w14:textId="18E08BA5" w:rsidR="00E31943" w:rsidRDefault="00E31943" w:rsidP="00E31943">
      <w:pPr>
        <w:spacing w:line="259" w:lineRule="auto"/>
      </w:pPr>
      <w:r w:rsidRPr="00AA4C70">
        <w:t>An overall, key point then, is to think about the nature of the benefits accruing from traceability and other applications of DNA technologies:</w:t>
      </w:r>
    </w:p>
    <w:p w14:paraId="7959EEBD" w14:textId="77777777" w:rsidR="00832757" w:rsidRPr="00AA4C70" w:rsidRDefault="00832757" w:rsidP="00E31943">
      <w:pPr>
        <w:spacing w:line="259" w:lineRule="auto"/>
      </w:pPr>
    </w:p>
    <w:p w14:paraId="677DDD61" w14:textId="52051B94" w:rsidR="00832757" w:rsidRDefault="00E31943" w:rsidP="00CC23D5">
      <w:pPr>
        <w:pStyle w:val="ListParagraph"/>
        <w:numPr>
          <w:ilvl w:val="0"/>
          <w:numId w:val="40"/>
        </w:numPr>
        <w:spacing w:line="259" w:lineRule="auto"/>
      </w:pPr>
      <w:r w:rsidRPr="00D1544F">
        <w:t xml:space="preserve">Traceability is a somewhat intangible “insurance” good – with its extent or distribution varying with the extent of an incident. This is not to say that the benefit is intangible to any affected individuals or businesses, but even there, it is of the form of a reduced (or even absent) loss, rather than an actual cash gain. </w:t>
      </w:r>
    </w:p>
    <w:p w14:paraId="28FFE90A" w14:textId="77777777" w:rsidR="00C21CE4" w:rsidRPr="00D1544F" w:rsidRDefault="00C21CE4" w:rsidP="00C21CE4">
      <w:pPr>
        <w:spacing w:line="259" w:lineRule="auto"/>
      </w:pPr>
    </w:p>
    <w:p w14:paraId="77063A18" w14:textId="41ECBC95" w:rsidR="00E31943" w:rsidRDefault="00E31943" w:rsidP="00E31943">
      <w:pPr>
        <w:pStyle w:val="ListParagraph"/>
        <w:numPr>
          <w:ilvl w:val="0"/>
          <w:numId w:val="40"/>
        </w:numPr>
        <w:spacing w:line="259" w:lineRule="auto"/>
      </w:pPr>
      <w:r w:rsidRPr="00D1544F">
        <w:t>Faster genetic progress is also somewhat intangible – individuals have some influence over what they capture through their individual sire purchasing, but individually have little impact on the overall rate of progress … but everyone is better off if that is higher.</w:t>
      </w:r>
    </w:p>
    <w:p w14:paraId="320B80B6" w14:textId="77777777" w:rsidR="00832757" w:rsidRPr="00D1544F" w:rsidRDefault="00832757" w:rsidP="00832757">
      <w:pPr>
        <w:pStyle w:val="ListParagraph"/>
        <w:spacing w:line="259" w:lineRule="auto"/>
        <w:ind w:left="360"/>
      </w:pPr>
    </w:p>
    <w:p w14:paraId="44EFAAD9" w14:textId="75439EB0" w:rsidR="00E31943" w:rsidRDefault="00E31943" w:rsidP="00E31943">
      <w:pPr>
        <w:pStyle w:val="ListParagraph"/>
        <w:numPr>
          <w:ilvl w:val="0"/>
          <w:numId w:val="40"/>
        </w:numPr>
        <w:spacing w:line="259" w:lineRule="auto"/>
      </w:pPr>
      <w:r w:rsidRPr="00D1544F">
        <w:t xml:space="preserve">The individual business or value chain applications are much more like private benefits – you </w:t>
      </w:r>
      <w:r w:rsidR="00832757">
        <w:t xml:space="preserve">make an </w:t>
      </w:r>
      <w:proofErr w:type="gramStart"/>
      <w:r w:rsidR="00832757">
        <w:t>investment</w:t>
      </w:r>
      <w:r w:rsidRPr="00D1544F">
        <w:t>,</w:t>
      </w:r>
      <w:proofErr w:type="gramEnd"/>
      <w:r w:rsidRPr="00D1544F">
        <w:t xml:space="preserve"> you see an effect (as long as you have some financial records).</w:t>
      </w:r>
    </w:p>
    <w:p w14:paraId="25A39494" w14:textId="77777777" w:rsidR="00E31943" w:rsidRDefault="00E31943" w:rsidP="006A60FF"/>
    <w:bookmarkEnd w:id="141"/>
    <w:p w14:paraId="05ED8831" w14:textId="10D266E4" w:rsidR="008674A4" w:rsidRDefault="008674A4" w:rsidP="008674A4">
      <w:r>
        <w:t xml:space="preserve">Our conclusion </w:t>
      </w:r>
      <w:bookmarkStart w:id="177" w:name="_Hlk92234252"/>
      <w:r>
        <w:t>is that using DNA to augment traceability is highly aligned with the IS</w:t>
      </w:r>
      <w:r w:rsidR="009C1CD9">
        <w:t>2025</w:t>
      </w:r>
      <w:r>
        <w:t xml:space="preserve"> strategy</w:t>
      </w:r>
      <w:bookmarkEnd w:id="177"/>
      <w:r>
        <w:t xml:space="preserve"> (see </w:t>
      </w:r>
      <w:r>
        <w:fldChar w:fldCharType="begin"/>
      </w:r>
      <w:r>
        <w:instrText xml:space="preserve"> REF _Ref88594673 \h </w:instrText>
      </w:r>
      <w:r>
        <w:fldChar w:fldCharType="separate"/>
      </w:r>
      <w:r w:rsidR="008D0D42" w:rsidRPr="00BE1717">
        <w:t xml:space="preserve">Figure </w:t>
      </w:r>
      <w:r w:rsidR="008D0D42">
        <w:rPr>
          <w:noProof/>
        </w:rPr>
        <w:t>34</w:t>
      </w:r>
      <w:r>
        <w:fldChar w:fldCharType="end"/>
      </w:r>
      <w:r>
        <w:t>).</w:t>
      </w:r>
      <w:r w:rsidR="00936E97">
        <w:t xml:space="preserve">  However, it raises </w:t>
      </w:r>
      <w:proofErr w:type="gramStart"/>
      <w:r w:rsidR="00936E97">
        <w:t>a number of</w:t>
      </w:r>
      <w:proofErr w:type="gramEnd"/>
      <w:r w:rsidR="00936E97">
        <w:t xml:space="preserve"> strategic questions which require resolution:</w:t>
      </w:r>
    </w:p>
    <w:p w14:paraId="6909F060" w14:textId="77777777" w:rsidR="00936E97" w:rsidRDefault="00936E97" w:rsidP="008674A4"/>
    <w:p w14:paraId="1FD074C9" w14:textId="6FE7BDEE" w:rsidR="00524384" w:rsidRPr="00524384" w:rsidRDefault="008966D0" w:rsidP="00374617">
      <w:pPr>
        <w:pStyle w:val="ListParagraph"/>
        <w:numPr>
          <w:ilvl w:val="0"/>
          <w:numId w:val="11"/>
        </w:numPr>
      </w:pPr>
      <w:r>
        <w:t>What is an appropriate implementation model?</w:t>
      </w:r>
      <w:r w:rsidR="004473DD">
        <w:t xml:space="preserve"> </w:t>
      </w:r>
      <w:r>
        <w:t xml:space="preserve"> Should participation be mandatory, voluntary, simply market-</w:t>
      </w:r>
      <w:proofErr w:type="gramStart"/>
      <w:r>
        <w:t>driven</w:t>
      </w:r>
      <w:proofErr w:type="gramEnd"/>
      <w:r>
        <w:t xml:space="preserve"> or opportunistic as is currently the case?</w:t>
      </w:r>
      <w:r w:rsidR="00A75967">
        <w:t xml:space="preserve">  Most people basically </w:t>
      </w:r>
      <w:r w:rsidR="005776B3">
        <w:t xml:space="preserve">find the cost of </w:t>
      </w:r>
      <w:r w:rsidR="00A75967">
        <w:t xml:space="preserve">NLIS </w:t>
      </w:r>
      <w:r w:rsidR="005776B3">
        <w:t>to be acceptable for industry benefit</w:t>
      </w:r>
      <w:r w:rsidR="00524384">
        <w:t>, but a</w:t>
      </w:r>
      <w:r w:rsidR="00524384" w:rsidRPr="00524384">
        <w:t xml:space="preserve">dding DNA significantly increases enterprise costs, and </w:t>
      </w:r>
      <w:r w:rsidR="00524384">
        <w:t xml:space="preserve">is </w:t>
      </w:r>
      <w:r w:rsidR="00524384" w:rsidRPr="00524384">
        <w:t xml:space="preserve">likely to be resisted </w:t>
      </w:r>
      <w:r w:rsidR="00524384">
        <w:t xml:space="preserve">because the </w:t>
      </w:r>
      <w:r w:rsidR="00524384" w:rsidRPr="00524384">
        <w:t xml:space="preserve">benefits </w:t>
      </w:r>
      <w:r w:rsidR="00524384">
        <w:t xml:space="preserve">are </w:t>
      </w:r>
      <w:r w:rsidR="00524384" w:rsidRPr="00524384">
        <w:t xml:space="preserve">not </w:t>
      </w:r>
      <w:r w:rsidR="00524384">
        <w:t xml:space="preserve">sufficiently </w:t>
      </w:r>
      <w:r w:rsidR="00524384" w:rsidRPr="00524384">
        <w:t xml:space="preserve">obvious </w:t>
      </w:r>
      <w:r w:rsidR="00524384">
        <w:t>or</w:t>
      </w:r>
      <w:r w:rsidR="00524384" w:rsidRPr="00524384">
        <w:t xml:space="preserve"> direct</w:t>
      </w:r>
      <w:r w:rsidR="00524384">
        <w:t>.</w:t>
      </w:r>
    </w:p>
    <w:p w14:paraId="2E3679FE" w14:textId="77777777" w:rsidR="008966D0" w:rsidRDefault="008966D0" w:rsidP="008966D0">
      <w:pPr>
        <w:pStyle w:val="ListParagraph"/>
        <w:ind w:left="360"/>
      </w:pPr>
      <w:r>
        <w:t xml:space="preserve"> </w:t>
      </w:r>
    </w:p>
    <w:p w14:paraId="7AF2CAA7" w14:textId="60FCCA81" w:rsidR="008966D0" w:rsidRDefault="008966D0" w:rsidP="00374617">
      <w:pPr>
        <w:pStyle w:val="ListParagraph"/>
        <w:numPr>
          <w:ilvl w:val="0"/>
          <w:numId w:val="11"/>
        </w:numPr>
      </w:pPr>
      <w:r>
        <w:t xml:space="preserve">How </w:t>
      </w:r>
      <w:r w:rsidR="004473DD">
        <w:t>can</w:t>
      </w:r>
      <w:r>
        <w:t xml:space="preserve"> an acceptable governance system </w:t>
      </w:r>
      <w:r w:rsidR="004473DD">
        <w:t xml:space="preserve">be set up </w:t>
      </w:r>
      <w:r>
        <w:t>that oversees coordination of the different databases but also recognises the value of participation and determines the ownership of data</w:t>
      </w:r>
      <w:r w:rsidR="004473DD">
        <w:t>?</w:t>
      </w:r>
      <w:r>
        <w:t xml:space="preserve">  </w:t>
      </w:r>
    </w:p>
    <w:p w14:paraId="4F557083" w14:textId="77777777" w:rsidR="008966D0" w:rsidRDefault="008966D0" w:rsidP="00C6090D"/>
    <w:p w14:paraId="1BCA3792" w14:textId="7DDE8284" w:rsidR="008966D0" w:rsidRDefault="008966D0" w:rsidP="00374617">
      <w:pPr>
        <w:pStyle w:val="ListParagraph"/>
        <w:numPr>
          <w:ilvl w:val="0"/>
          <w:numId w:val="11"/>
        </w:numPr>
      </w:pPr>
      <w:r>
        <w:t xml:space="preserve">How </w:t>
      </w:r>
      <w:r w:rsidR="004473DD">
        <w:t xml:space="preserve">can </w:t>
      </w:r>
      <w:r>
        <w:t xml:space="preserve">genotyping providers </w:t>
      </w:r>
      <w:r w:rsidR="004473DD">
        <w:t xml:space="preserve">be best co-ordinated </w:t>
      </w:r>
      <w:r>
        <w:t xml:space="preserve">and </w:t>
      </w:r>
      <w:r w:rsidR="00EB0E90">
        <w:t xml:space="preserve">can </w:t>
      </w:r>
      <w:r>
        <w:t xml:space="preserve">appropriate standards </w:t>
      </w:r>
      <w:r w:rsidR="00EB0E90">
        <w:t xml:space="preserve">be established? </w:t>
      </w:r>
      <w:r>
        <w:t>(</w:t>
      </w:r>
      <w:r w:rsidR="00EB0E90">
        <w:t>Note,</w:t>
      </w:r>
      <w:r>
        <w:t xml:space="preserve"> however, that these issues have already been effectively addressed when using genomics for genetic evaluation, albeit at a far lower scale).</w:t>
      </w:r>
    </w:p>
    <w:p w14:paraId="37C297AF" w14:textId="77777777" w:rsidR="008966D0" w:rsidRDefault="008966D0" w:rsidP="00C6090D"/>
    <w:p w14:paraId="3F41DE87" w14:textId="104DED5B" w:rsidR="008966D0" w:rsidRDefault="00EB0E90" w:rsidP="00374617">
      <w:pPr>
        <w:pStyle w:val="ListParagraph"/>
        <w:numPr>
          <w:ilvl w:val="0"/>
          <w:numId w:val="11"/>
        </w:numPr>
      </w:pPr>
      <w:r>
        <w:t xml:space="preserve">Can </w:t>
      </w:r>
      <w:r w:rsidR="008966D0">
        <w:t>current turn-around times and the costs of genotyping be reduced through economies of scale</w:t>
      </w:r>
      <w:r>
        <w:t>?</w:t>
      </w:r>
    </w:p>
    <w:p w14:paraId="5D02C598" w14:textId="0A1A5B59" w:rsidR="008966D0" w:rsidRDefault="008966D0" w:rsidP="00A75967">
      <w:pPr>
        <w:pStyle w:val="ListParagraph"/>
        <w:ind w:left="360"/>
      </w:pPr>
    </w:p>
    <w:p w14:paraId="302F09E6" w14:textId="09048F08" w:rsidR="0068395B" w:rsidRDefault="0068395B" w:rsidP="00A75967">
      <w:pPr>
        <w:pStyle w:val="ListParagraph"/>
        <w:ind w:left="360"/>
      </w:pPr>
      <w:r>
        <w:t xml:space="preserve">Such questions are not trivial and </w:t>
      </w:r>
      <w:r w:rsidR="00DE22FB">
        <w:t>will be addressed in the following section</w:t>
      </w:r>
      <w:r w:rsidR="002A7BE4">
        <w:t>s</w:t>
      </w:r>
      <w:r w:rsidR="00DE22FB">
        <w:t>.</w:t>
      </w:r>
    </w:p>
    <w:p w14:paraId="048E784D" w14:textId="77777777" w:rsidR="008674A4" w:rsidRDefault="008674A4" w:rsidP="008674A4"/>
    <w:p w14:paraId="68A9D3CC" w14:textId="3A456C78" w:rsidR="008674A4" w:rsidRDefault="008674A4" w:rsidP="008674A4">
      <w:pPr>
        <w:keepNext/>
        <w:keepLines/>
      </w:pPr>
    </w:p>
    <w:p w14:paraId="38AEC7C1" w14:textId="7FFAA842" w:rsidR="009F0A01" w:rsidRDefault="009F0A01" w:rsidP="008674A4">
      <w:pPr>
        <w:keepNext/>
        <w:keepLines/>
      </w:pPr>
      <w:r>
        <w:rPr>
          <w:noProof/>
        </w:rPr>
        <w:drawing>
          <wp:inline distT="0" distB="0" distL="0" distR="0" wp14:anchorId="4E15EA9B" wp14:editId="48D0C6A9">
            <wp:extent cx="6114197" cy="50591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124087" cy="5067354"/>
                    </a:xfrm>
                    <a:prstGeom prst="rect">
                      <a:avLst/>
                    </a:prstGeom>
                    <a:ln>
                      <a:noFill/>
                    </a:ln>
                    <a:extLst>
                      <a:ext uri="{53640926-AAD7-44D8-BBD7-CCE9431645EC}">
                        <a14:shadowObscured xmlns:a14="http://schemas.microsoft.com/office/drawing/2010/main"/>
                      </a:ext>
                    </a:extLst>
                  </pic:spPr>
                </pic:pic>
              </a:graphicData>
            </a:graphic>
          </wp:inline>
        </w:drawing>
      </w:r>
    </w:p>
    <w:p w14:paraId="564B14A5" w14:textId="77777777" w:rsidR="009F0A01" w:rsidRDefault="009F0A01" w:rsidP="008674A4">
      <w:pPr>
        <w:keepNext/>
        <w:keepLines/>
      </w:pPr>
    </w:p>
    <w:p w14:paraId="562F314B" w14:textId="3845BA35" w:rsidR="008674A4" w:rsidRPr="00BE1717" w:rsidRDefault="008674A4" w:rsidP="00475E28">
      <w:pPr>
        <w:pStyle w:val="Caption"/>
      </w:pPr>
      <w:bookmarkStart w:id="178" w:name="_Ref88594673"/>
      <w:bookmarkStart w:id="179" w:name="_Toc95983480"/>
      <w:r w:rsidRPr="00BE1717">
        <w:t xml:space="preserve">Figure </w:t>
      </w:r>
      <w:r>
        <w:fldChar w:fldCharType="begin"/>
      </w:r>
      <w:r>
        <w:instrText>SEQ Figure \* ARABIC</w:instrText>
      </w:r>
      <w:r>
        <w:fldChar w:fldCharType="separate"/>
      </w:r>
      <w:r w:rsidR="008D0D42">
        <w:rPr>
          <w:noProof/>
        </w:rPr>
        <w:t>34</w:t>
      </w:r>
      <w:r>
        <w:fldChar w:fldCharType="end"/>
      </w:r>
      <w:bookmarkEnd w:id="178"/>
      <w:r w:rsidRPr="00BE1717">
        <w:t>.</w:t>
      </w:r>
      <w:r>
        <w:t xml:space="preserve"> </w:t>
      </w:r>
      <w:r w:rsidRPr="00BE1717">
        <w:t xml:space="preserve">Elements of the </w:t>
      </w:r>
      <w:r w:rsidR="009F0A01">
        <w:t>IS</w:t>
      </w:r>
      <w:r w:rsidR="0068206F">
        <w:t>2025</w:t>
      </w:r>
      <w:r w:rsidR="009F0A01" w:rsidRPr="00BE1717">
        <w:t xml:space="preserve"> </w:t>
      </w:r>
      <w:r w:rsidRPr="00BE1717">
        <w:t>strategy</w:t>
      </w:r>
      <w:r>
        <w:t xml:space="preserve">, showing those </w:t>
      </w:r>
      <w:r w:rsidRPr="00BE1717">
        <w:t>that would be augmented with genomic identification (</w:t>
      </w:r>
      <w:r w:rsidR="00FB0751">
        <w:t>framed</w:t>
      </w:r>
      <w:r w:rsidRPr="00BE1717">
        <w:t>)</w:t>
      </w:r>
      <w:bookmarkEnd w:id="179"/>
    </w:p>
    <w:p w14:paraId="6B82F192" w14:textId="77777777" w:rsidR="008674A4" w:rsidRDefault="008674A4" w:rsidP="008674A4"/>
    <w:p w14:paraId="0091D0CA" w14:textId="1F84FEF5" w:rsidR="00DF224B" w:rsidRDefault="00DF224B" w:rsidP="006A60FF"/>
    <w:p w14:paraId="0633B71D" w14:textId="77777777" w:rsidR="002A7BE4" w:rsidRDefault="002A7BE4">
      <w:pPr>
        <w:rPr>
          <w:rFonts w:asciiTheme="majorHAnsi" w:eastAsiaTheme="majorEastAsia" w:hAnsiTheme="majorHAnsi" w:cstheme="majorBidi"/>
          <w:b/>
          <w:color w:val="0070C0"/>
          <w:sz w:val="32"/>
          <w:szCs w:val="32"/>
        </w:rPr>
      </w:pPr>
      <w:r>
        <w:br w:type="page"/>
      </w:r>
    </w:p>
    <w:p w14:paraId="5A1BD105" w14:textId="1D3E9DAD" w:rsidR="00DF224B" w:rsidRDefault="00DF224B" w:rsidP="00CF79BD">
      <w:pPr>
        <w:pStyle w:val="Heading1"/>
      </w:pPr>
      <w:bookmarkStart w:id="180" w:name="_Toc95983421"/>
      <w:r w:rsidRPr="00D24E9E">
        <w:lastRenderedPageBreak/>
        <w:t>Strategic and governance dimensions</w:t>
      </w:r>
      <w:bookmarkEnd w:id="180"/>
    </w:p>
    <w:p w14:paraId="79574BA8" w14:textId="77777777" w:rsidR="00BE6E23" w:rsidRDefault="00BE6E23" w:rsidP="00DF224B">
      <w:pPr>
        <w:rPr>
          <w:i/>
          <w:highlight w:val="yellow"/>
        </w:rPr>
      </w:pPr>
    </w:p>
    <w:p w14:paraId="4DE834C4" w14:textId="27361281" w:rsidR="00DF224B" w:rsidRDefault="00DF224B" w:rsidP="00EE4E0C">
      <w:pPr>
        <w:pStyle w:val="Heading2"/>
      </w:pPr>
      <w:bookmarkStart w:id="181" w:name="_Toc95983422"/>
      <w:bookmarkStart w:id="182" w:name="_Hlk92213700"/>
      <w:r>
        <w:t>Data Dependence</w:t>
      </w:r>
      <w:bookmarkEnd w:id="181"/>
    </w:p>
    <w:bookmarkEnd w:id="182"/>
    <w:p w14:paraId="6070B4F4" w14:textId="77777777" w:rsidR="00610FDD" w:rsidRPr="00610FDD" w:rsidRDefault="00610FDD" w:rsidP="00610FDD"/>
    <w:p w14:paraId="603D10D4" w14:textId="6B21A157" w:rsidR="00DF224B" w:rsidRDefault="00DF224B" w:rsidP="00DF224B">
      <w:r w:rsidRPr="008D6A2D">
        <w:t>Whether for traceability purposes alone, or for delivering the ancillary benefits discussed here, there are several developments that must be in place for any benefit of use of DNA technologies:</w:t>
      </w:r>
    </w:p>
    <w:p w14:paraId="04376971" w14:textId="77777777" w:rsidR="00BE7A14" w:rsidRPr="008D6A2D" w:rsidRDefault="00BE7A14" w:rsidP="00DF224B"/>
    <w:p w14:paraId="25C4FE81" w14:textId="11F10734" w:rsidR="00A4461F" w:rsidRDefault="00A41ED2" w:rsidP="00A31F19">
      <w:pPr>
        <w:pStyle w:val="ListParagraph"/>
        <w:numPr>
          <w:ilvl w:val="0"/>
          <w:numId w:val="16"/>
        </w:numPr>
        <w:spacing w:after="160" w:line="259" w:lineRule="auto"/>
        <w:ind w:left="360"/>
      </w:pPr>
      <w:bookmarkStart w:id="183" w:name="Database_issues"/>
      <w:bookmarkEnd w:id="183"/>
      <w:r w:rsidRPr="00FE1006">
        <w:rPr>
          <w:b/>
          <w:bCs/>
        </w:rPr>
        <w:t>Appropriate database</w:t>
      </w:r>
      <w:r>
        <w:t xml:space="preserve"> </w:t>
      </w:r>
      <w:r w:rsidR="00DF224B" w:rsidRPr="008D6A2D">
        <w:t>There must be a DNA database established under the control</w:t>
      </w:r>
      <w:r w:rsidR="000518C8">
        <w:t xml:space="preserve"> of</w:t>
      </w:r>
      <w:r w:rsidR="00DF224B" w:rsidRPr="008D6A2D">
        <w:t>, or at least with the access for, the traceability organisation.</w:t>
      </w:r>
      <w:r w:rsidR="00AE48C1">
        <w:t xml:space="preserve">  </w:t>
      </w:r>
      <w:r w:rsidR="00DF224B" w:rsidRPr="008D6A2D">
        <w:t>Such databases exist, including several over which MLA has some level of control (</w:t>
      </w:r>
      <w:proofErr w:type="gramStart"/>
      <w:r w:rsidR="00DF224B" w:rsidRPr="00FE1006">
        <w:rPr>
          <w:i/>
          <w:iCs/>
        </w:rPr>
        <w:t>e</w:t>
      </w:r>
      <w:r w:rsidR="00AE48C1" w:rsidRPr="00FE1006">
        <w:rPr>
          <w:i/>
          <w:iCs/>
        </w:rPr>
        <w:t>.</w:t>
      </w:r>
      <w:r w:rsidR="00DF224B" w:rsidRPr="00FE1006">
        <w:rPr>
          <w:i/>
          <w:iCs/>
        </w:rPr>
        <w:t>g</w:t>
      </w:r>
      <w:r w:rsidR="00AE48C1" w:rsidRPr="00FE1006">
        <w:rPr>
          <w:i/>
          <w:iCs/>
        </w:rPr>
        <w:t>.</w:t>
      </w:r>
      <w:proofErr w:type="gramEnd"/>
      <w:r w:rsidR="00DF224B" w:rsidRPr="008D6A2D">
        <w:t xml:space="preserve"> Sheep Genomics database, beef R&amp;D project databases managed by AGBU and likely </w:t>
      </w:r>
      <w:r w:rsidR="006B470B">
        <w:t xml:space="preserve">by </w:t>
      </w:r>
      <w:r w:rsidR="00DF224B" w:rsidRPr="008D6A2D">
        <w:t>other research providers</w:t>
      </w:r>
      <w:r w:rsidR="006B470B">
        <w:t xml:space="preserve"> </w:t>
      </w:r>
      <w:r w:rsidR="00814C19">
        <w:t xml:space="preserve">such as </w:t>
      </w:r>
      <w:r w:rsidR="006B470B">
        <w:t xml:space="preserve">CSIRO, NSW DPI </w:t>
      </w:r>
      <w:r w:rsidR="006B470B" w:rsidRPr="00FE1006">
        <w:rPr>
          <w:i/>
          <w:iCs/>
        </w:rPr>
        <w:t>etc</w:t>
      </w:r>
      <w:r w:rsidR="00814C19">
        <w:t>.</w:t>
      </w:r>
      <w:r w:rsidR="00DF224B" w:rsidRPr="008D6A2D">
        <w:t>)</w:t>
      </w:r>
      <w:r w:rsidR="00AE48C1">
        <w:t xml:space="preserve">.  </w:t>
      </w:r>
      <w:r w:rsidR="00DF224B" w:rsidRPr="008D6A2D">
        <w:t>Those databases could be replicated quite simply, and are scalable essentially infinitely, subject to access to suitable servers (or the cloud). By replicate, we mean copy the structure so that new genotypes could start to be added to an empty “box”</w:t>
      </w:r>
      <w:r w:rsidR="00AE48C1">
        <w:t>.</w:t>
      </w:r>
      <w:r w:rsidR="00133B59">
        <w:t xml:space="preserve">  </w:t>
      </w:r>
      <w:r w:rsidR="00FE1006" w:rsidRPr="00FE1006">
        <w:t xml:space="preserve">It </w:t>
      </w:r>
      <w:r w:rsidR="00FE1006">
        <w:t>is</w:t>
      </w:r>
      <w:r w:rsidR="00FE1006" w:rsidRPr="00FE1006">
        <w:t xml:space="preserve"> important to note that genotype databases already exist, many of which involve MLA; and </w:t>
      </w:r>
      <w:proofErr w:type="gramStart"/>
      <w:r w:rsidR="00FE1006" w:rsidRPr="00FE1006">
        <w:t>so</w:t>
      </w:r>
      <w:proofErr w:type="gramEnd"/>
      <w:r w:rsidR="00FE1006" w:rsidRPr="00FE1006">
        <w:t xml:space="preserve"> development of a database is not starting from scratch</w:t>
      </w:r>
      <w:r w:rsidR="00FE1006">
        <w:t>.</w:t>
      </w:r>
    </w:p>
    <w:p w14:paraId="70881203" w14:textId="77777777" w:rsidR="00FE1006" w:rsidRDefault="00FE1006" w:rsidP="00FE1006">
      <w:pPr>
        <w:pStyle w:val="ListParagraph"/>
        <w:spacing w:after="160" w:line="259" w:lineRule="auto"/>
        <w:ind w:left="360"/>
      </w:pPr>
    </w:p>
    <w:p w14:paraId="46A15270" w14:textId="280B4A14" w:rsidR="00DF224B" w:rsidRDefault="00A41ED2" w:rsidP="00374617">
      <w:pPr>
        <w:pStyle w:val="ListParagraph"/>
        <w:numPr>
          <w:ilvl w:val="0"/>
          <w:numId w:val="16"/>
        </w:numPr>
        <w:spacing w:after="160" w:line="259" w:lineRule="auto"/>
        <w:ind w:left="360"/>
      </w:pPr>
      <w:r w:rsidRPr="00A41ED2">
        <w:rPr>
          <w:b/>
          <w:bCs/>
        </w:rPr>
        <w:t>Linkage with other databases</w:t>
      </w:r>
      <w:r>
        <w:t xml:space="preserve"> </w:t>
      </w:r>
      <w:r w:rsidR="00DF224B" w:rsidRPr="008D6A2D">
        <w:t>Th</w:t>
      </w:r>
      <w:r>
        <w:t>e DNA</w:t>
      </w:r>
      <w:r w:rsidR="00DF224B" w:rsidRPr="008D6A2D">
        <w:t xml:space="preserve"> database must be linked </w:t>
      </w:r>
      <w:r w:rsidR="00177B44" w:rsidRPr="008D6A2D">
        <w:t xml:space="preserve">to the existing NLIS database </w:t>
      </w:r>
      <w:r w:rsidR="00DF224B" w:rsidRPr="008D6A2D">
        <w:t xml:space="preserve">via some standard and universal identification </w:t>
      </w:r>
      <w:r w:rsidR="00177B44">
        <w:t>protocol</w:t>
      </w:r>
      <w:r w:rsidR="00DF224B" w:rsidRPr="008D6A2D">
        <w:t xml:space="preserve">. This is </w:t>
      </w:r>
      <w:proofErr w:type="gramStart"/>
      <w:r w:rsidR="00DF224B" w:rsidRPr="008D6A2D">
        <w:t>in order to</w:t>
      </w:r>
      <w:proofErr w:type="gramEnd"/>
      <w:r w:rsidR="00DF224B" w:rsidRPr="008D6A2D">
        <w:t xml:space="preserve"> enable the linking of a genotype to a known animal (with known origin, ownership </w:t>
      </w:r>
      <w:r w:rsidR="00DF224B" w:rsidRPr="00C611A2">
        <w:rPr>
          <w:i/>
          <w:iCs/>
        </w:rPr>
        <w:t>etc</w:t>
      </w:r>
      <w:r w:rsidR="00DF224B" w:rsidRPr="008D6A2D">
        <w:t xml:space="preserve">). The most likely such ID system would be the NLIS itself. At least some of the DNA databases in existence include NLIS number for animals, so the principle and method </w:t>
      </w:r>
      <w:r w:rsidR="00C611A2">
        <w:t>are</w:t>
      </w:r>
      <w:r w:rsidR="00DF224B" w:rsidRPr="008D6A2D">
        <w:t xml:space="preserve"> established</w:t>
      </w:r>
      <w:r w:rsidR="00366AD5">
        <w:t>.</w:t>
      </w:r>
      <w:r w:rsidR="00D10D38" w:rsidRPr="00D10D38">
        <w:t xml:space="preserve"> </w:t>
      </w:r>
      <w:r w:rsidR="00D10D38">
        <w:t xml:space="preserve"> </w:t>
      </w:r>
      <w:r w:rsidR="00D10D38" w:rsidRPr="00D10D38">
        <w:t xml:space="preserve">Detailed specifications of the database are beyond the scope of the project but clearly some key considerations would include the capability for uploading and storing large volumes of genotype data, DNA matching algorithms, permissions </w:t>
      </w:r>
      <w:r w:rsidR="00D10D38" w:rsidRPr="00D10D38">
        <w:rPr>
          <w:i/>
          <w:iCs/>
        </w:rPr>
        <w:t>etc</w:t>
      </w:r>
      <w:r w:rsidR="00D10D38" w:rsidRPr="00D10D38">
        <w:t>.</w:t>
      </w:r>
    </w:p>
    <w:p w14:paraId="0F3B6ADE" w14:textId="77777777" w:rsidR="00CB5650" w:rsidRPr="008D6A2D" w:rsidRDefault="00CB5650" w:rsidP="00527330">
      <w:pPr>
        <w:pStyle w:val="ListParagraph"/>
        <w:spacing w:after="160" w:line="259" w:lineRule="auto"/>
        <w:ind w:left="360"/>
      </w:pPr>
    </w:p>
    <w:p w14:paraId="7E1BF96B" w14:textId="09E2802A" w:rsidR="00DF224B" w:rsidRDefault="0008042B" w:rsidP="00374617">
      <w:pPr>
        <w:pStyle w:val="ListParagraph"/>
        <w:numPr>
          <w:ilvl w:val="0"/>
          <w:numId w:val="16"/>
        </w:numPr>
        <w:spacing w:after="160" w:line="259" w:lineRule="auto"/>
        <w:ind w:left="360"/>
      </w:pPr>
      <w:r w:rsidRPr="0008042B">
        <w:rPr>
          <w:b/>
          <w:bCs/>
        </w:rPr>
        <w:t xml:space="preserve">Performance </w:t>
      </w:r>
      <w:proofErr w:type="gramStart"/>
      <w:r w:rsidR="006B470B" w:rsidRPr="0008042B">
        <w:rPr>
          <w:b/>
          <w:bCs/>
        </w:rPr>
        <w:t>databases</w:t>
      </w:r>
      <w:r>
        <w:t xml:space="preserve"> </w:t>
      </w:r>
      <w:r w:rsidR="006B470B">
        <w:t xml:space="preserve"> For</w:t>
      </w:r>
      <w:proofErr w:type="gramEnd"/>
      <w:r w:rsidR="00DF224B">
        <w:t xml:space="preserve"> the ancillary benefits to be realised, there must be access to databases of performance data (called here reference databases). </w:t>
      </w:r>
      <w:r>
        <w:t xml:space="preserve"> </w:t>
      </w:r>
      <w:r w:rsidR="00DF224B">
        <w:t>The linking data field here can be ID, or simply genotype. Examples of such databases include the R&amp;D project databases referred to above, along with databases held and managed by breed societies (either directly, or via contracts with ABRI).</w:t>
      </w:r>
      <w:r w:rsidR="0050122F">
        <w:t xml:space="preserve">  </w:t>
      </w:r>
      <w:r w:rsidR="00DF224B">
        <w:t>Technically, this is relatively straightforward – once data formats are defined between any two players, data can flow in either direction very simply, even very large files.</w:t>
      </w:r>
      <w:r w:rsidR="0050122F">
        <w:t xml:space="preserve">  </w:t>
      </w:r>
      <w:r w:rsidR="00DF224B">
        <w:t xml:space="preserve">The aspect of this linking that is most challenging to achieve, is the data access and use agreements: agreements that define what party A can do with data owned or managed by party B (and any others), and whether there are commercial components </w:t>
      </w:r>
      <w:proofErr w:type="gramStart"/>
      <w:r w:rsidR="00830884" w:rsidRPr="00830884">
        <w:rPr>
          <w:i/>
          <w:iCs/>
        </w:rPr>
        <w:t>i.e.</w:t>
      </w:r>
      <w:proofErr w:type="gramEnd"/>
      <w:r w:rsidR="00DF224B">
        <w:t xml:space="preserve"> party A has to pay some form of royalty for use of data owned or managed by party B (and any others).</w:t>
      </w:r>
      <w:r w:rsidR="0050122F">
        <w:t xml:space="preserve">  </w:t>
      </w:r>
      <w:r w:rsidR="00DF224B">
        <w:t xml:space="preserve">The challenging aspect here is not the development of such agreements itself – examples exist of licenses for use of R&amp;D data, for </w:t>
      </w:r>
      <w:r w:rsidR="00830884">
        <w:t>instance</w:t>
      </w:r>
      <w:r w:rsidR="00DF224B">
        <w:t xml:space="preserve">. </w:t>
      </w:r>
      <w:r w:rsidR="00C138ED">
        <w:t>Rather, t</w:t>
      </w:r>
      <w:r w:rsidR="00DF224B">
        <w:t>he challeng</w:t>
      </w:r>
      <w:r w:rsidR="00A10898">
        <w:t xml:space="preserve">e </w:t>
      </w:r>
      <w:r w:rsidR="00DF224B">
        <w:t>is ensuring robust agreements</w:t>
      </w:r>
      <w:r w:rsidR="00A10898">
        <w:t xml:space="preserve"> are put in place</w:t>
      </w:r>
      <w:r w:rsidR="00DF224B">
        <w:t xml:space="preserve"> </w:t>
      </w:r>
      <w:proofErr w:type="gramStart"/>
      <w:r w:rsidR="00DF224B" w:rsidRPr="00830884">
        <w:rPr>
          <w:i/>
          <w:iCs/>
        </w:rPr>
        <w:t>i</w:t>
      </w:r>
      <w:r w:rsidR="00830884" w:rsidRPr="00830884">
        <w:rPr>
          <w:i/>
          <w:iCs/>
        </w:rPr>
        <w:t>.</w:t>
      </w:r>
      <w:r w:rsidR="00DF224B" w:rsidRPr="00830884">
        <w:rPr>
          <w:i/>
          <w:iCs/>
        </w:rPr>
        <w:t>e</w:t>
      </w:r>
      <w:r w:rsidR="00830884" w:rsidRPr="00830884">
        <w:rPr>
          <w:i/>
          <w:iCs/>
        </w:rPr>
        <w:t>.</w:t>
      </w:r>
      <w:proofErr w:type="gramEnd"/>
      <w:r w:rsidR="00DF224B">
        <w:t xml:space="preserve"> that can be trusted, and defining any commercial terms </w:t>
      </w:r>
      <w:r w:rsidR="00DF224B" w:rsidRPr="0008042B">
        <w:rPr>
          <w:i/>
          <w:iCs/>
        </w:rPr>
        <w:t>i</w:t>
      </w:r>
      <w:r>
        <w:rPr>
          <w:i/>
          <w:iCs/>
        </w:rPr>
        <w:t>.</w:t>
      </w:r>
      <w:r w:rsidR="00DF224B" w:rsidRPr="0008042B">
        <w:rPr>
          <w:i/>
          <w:iCs/>
        </w:rPr>
        <w:t>e</w:t>
      </w:r>
      <w:r w:rsidRPr="0008042B">
        <w:rPr>
          <w:i/>
          <w:iCs/>
        </w:rPr>
        <w:t>.</w:t>
      </w:r>
      <w:r w:rsidR="00DF224B">
        <w:t xml:space="preserve"> what payments are due for access to data.</w:t>
      </w:r>
      <w:r w:rsidR="0050122F">
        <w:t xml:space="preserve">  </w:t>
      </w:r>
      <w:r w:rsidR="00DF224B">
        <w:t xml:space="preserve">The value proposition for doing this basically applies across all possible uses of genotype data, whether traceability and/or the ancillary benefits: that the accuracy, or decision-making power available to any individual or business or set of businesses increases with the amount of data. Using the example of </w:t>
      </w:r>
      <w:proofErr w:type="gramStart"/>
      <w:r w:rsidR="00DF224B">
        <w:t>parties</w:t>
      </w:r>
      <w:proofErr w:type="gramEnd"/>
      <w:r w:rsidR="00DF224B">
        <w:t xml:space="preserve"> A, B </w:t>
      </w:r>
      <w:r w:rsidR="00DF224B" w:rsidRPr="00975FA4">
        <w:rPr>
          <w:i/>
          <w:iCs/>
        </w:rPr>
        <w:t>etc</w:t>
      </w:r>
      <w:r w:rsidR="00975FA4">
        <w:rPr>
          <w:i/>
          <w:iCs/>
        </w:rPr>
        <w:t>.</w:t>
      </w:r>
      <w:r w:rsidR="00DF224B">
        <w:t xml:space="preserve"> above, it is that whatever decision-making power is available to A as a result of collecting data, it will be greater when data collected by A is combined with data collected by B </w:t>
      </w:r>
      <w:r w:rsidR="00DF224B" w:rsidRPr="00975FA4">
        <w:rPr>
          <w:i/>
          <w:iCs/>
        </w:rPr>
        <w:t>etc</w:t>
      </w:r>
      <w:r w:rsidR="00DF224B">
        <w:t>. This is illustrated</w:t>
      </w:r>
      <w:r w:rsidR="002701FF">
        <w:t xml:space="preserve"> </w:t>
      </w:r>
      <w:r w:rsidR="00DF224B">
        <w:t xml:space="preserve">for the accuracy of genomic selection </w:t>
      </w:r>
      <w:r w:rsidR="002701FF">
        <w:t xml:space="preserve">in </w:t>
      </w:r>
      <w:r w:rsidR="002701FF">
        <w:fldChar w:fldCharType="begin"/>
      </w:r>
      <w:r w:rsidR="002701FF">
        <w:instrText xml:space="preserve"> REF _Ref87906753 \h </w:instrText>
      </w:r>
      <w:r w:rsidR="0050122F">
        <w:instrText xml:space="preserve"> \* MERGEFORMAT </w:instrText>
      </w:r>
      <w:r w:rsidR="002701FF">
        <w:fldChar w:fldCharType="separate"/>
      </w:r>
      <w:r w:rsidR="008D0D42">
        <w:t>Figure 35</w:t>
      </w:r>
      <w:r w:rsidR="002701FF">
        <w:fldChar w:fldCharType="end"/>
      </w:r>
      <w:r w:rsidR="002701FF">
        <w:t xml:space="preserve">, which is the </w:t>
      </w:r>
      <w:r w:rsidR="00DF224B">
        <w:t>chart of Goddard and Hayes (2009)</w:t>
      </w:r>
      <w:r w:rsidR="002701FF">
        <w:t xml:space="preserve">. </w:t>
      </w:r>
    </w:p>
    <w:p w14:paraId="123C8019" w14:textId="77777777" w:rsidR="00DF224B" w:rsidRDefault="00DF224B" w:rsidP="005322F5">
      <w:pPr>
        <w:keepNext/>
        <w:keepLines/>
        <w:jc w:val="center"/>
      </w:pPr>
      <w:r w:rsidRPr="003219C4">
        <w:rPr>
          <w:noProof/>
          <w:lang w:eastAsia="en-AU"/>
        </w:rPr>
        <w:lastRenderedPageBreak/>
        <w:drawing>
          <wp:inline distT="0" distB="0" distL="0" distR="0" wp14:anchorId="093D2E3B" wp14:editId="3461D6C3">
            <wp:extent cx="4489450" cy="3086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28212"/>
                    <a:stretch/>
                  </pic:blipFill>
                  <pic:spPr bwMode="auto">
                    <a:xfrm>
                      <a:off x="0" y="0"/>
                      <a:ext cx="448945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18289A74" w14:textId="042CF933" w:rsidR="00DD0178" w:rsidRDefault="00DD0178" w:rsidP="00475E28">
      <w:pPr>
        <w:pStyle w:val="Caption"/>
      </w:pPr>
      <w:bookmarkStart w:id="184" w:name="_Ref87906753"/>
      <w:bookmarkStart w:id="185" w:name="_Toc95983481"/>
      <w:r>
        <w:t xml:space="preserve">Figure </w:t>
      </w:r>
      <w:r>
        <w:fldChar w:fldCharType="begin"/>
      </w:r>
      <w:r>
        <w:instrText>SEQ Figure \* ARABIC</w:instrText>
      </w:r>
      <w:r>
        <w:fldChar w:fldCharType="separate"/>
      </w:r>
      <w:r w:rsidR="008D0D42">
        <w:rPr>
          <w:noProof/>
        </w:rPr>
        <w:t>35</w:t>
      </w:r>
      <w:r>
        <w:fldChar w:fldCharType="end"/>
      </w:r>
      <w:bookmarkEnd w:id="184"/>
      <w:r w:rsidR="00430B24">
        <w:t xml:space="preserve">.  </w:t>
      </w:r>
      <w:r>
        <w:t xml:space="preserve">Calculation of number of animals in a reference population and accuracy of breeding values (From </w:t>
      </w:r>
      <w:r w:rsidR="00430B24">
        <w:t xml:space="preserve">Goddard and </w:t>
      </w:r>
      <w:r>
        <w:t xml:space="preserve">Hayes </w:t>
      </w:r>
      <w:r w:rsidR="00430B24">
        <w:t>2009</w:t>
      </w:r>
      <w:r>
        <w:t>)</w:t>
      </w:r>
      <w:bookmarkEnd w:id="185"/>
      <w:r>
        <w:t xml:space="preserve">  </w:t>
      </w:r>
    </w:p>
    <w:p w14:paraId="68BA2403" w14:textId="77777777" w:rsidR="00DD0178" w:rsidRPr="001B608A" w:rsidRDefault="00DD0178" w:rsidP="005322F5">
      <w:pPr>
        <w:keepNext/>
        <w:keepLines/>
        <w:pBdr>
          <w:top w:val="single" w:sz="4" w:space="1" w:color="auto"/>
          <w:left w:val="single" w:sz="4" w:space="4" w:color="auto"/>
          <w:bottom w:val="single" w:sz="4" w:space="1" w:color="auto"/>
          <w:right w:val="single" w:sz="4" w:space="4" w:color="auto"/>
        </w:pBdr>
        <w:rPr>
          <w:sz w:val="18"/>
          <w:szCs w:val="18"/>
        </w:rPr>
      </w:pPr>
      <w:r w:rsidRPr="001B608A">
        <w:rPr>
          <w:sz w:val="18"/>
          <w:szCs w:val="18"/>
        </w:rPr>
        <w:t>a. To achieve an accuracy of 0.7 for estimated genomic breeding values (GEBVs) calculated from SNPs requires an increasing number of animals in the reference population as the heritability declines or the N</w:t>
      </w:r>
      <w:r w:rsidRPr="001B608A">
        <w:rPr>
          <w:sz w:val="18"/>
          <w:szCs w:val="18"/>
          <w:vertAlign w:val="subscript"/>
        </w:rPr>
        <w:t>e</w:t>
      </w:r>
      <w:r w:rsidRPr="001B608A">
        <w:rPr>
          <w:sz w:val="18"/>
          <w:szCs w:val="18"/>
        </w:rPr>
        <w:t xml:space="preserve"> of the population increases.</w:t>
      </w:r>
    </w:p>
    <w:p w14:paraId="1B7BA5D2" w14:textId="7581B79B" w:rsidR="00DD0178" w:rsidRPr="001B608A" w:rsidRDefault="00DD0178" w:rsidP="001B608A">
      <w:pPr>
        <w:pBdr>
          <w:top w:val="single" w:sz="4" w:space="1" w:color="auto"/>
          <w:left w:val="single" w:sz="4" w:space="4" w:color="auto"/>
          <w:bottom w:val="single" w:sz="4" w:space="1" w:color="auto"/>
          <w:right w:val="single" w:sz="4" w:space="4" w:color="auto"/>
        </w:pBdr>
        <w:rPr>
          <w:sz w:val="18"/>
          <w:szCs w:val="18"/>
        </w:rPr>
      </w:pPr>
      <w:r w:rsidRPr="001B608A">
        <w:rPr>
          <w:sz w:val="18"/>
          <w:szCs w:val="18"/>
        </w:rPr>
        <w:t>b. Accuracy of GEBVs of un-</w:t>
      </w:r>
      <w:proofErr w:type="spellStart"/>
      <w:r w:rsidRPr="001B608A">
        <w:rPr>
          <w:sz w:val="18"/>
          <w:szCs w:val="18"/>
        </w:rPr>
        <w:t>phenotyped</w:t>
      </w:r>
      <w:proofErr w:type="spellEnd"/>
      <w:r w:rsidRPr="001B608A">
        <w:rPr>
          <w:sz w:val="18"/>
          <w:szCs w:val="18"/>
        </w:rPr>
        <w:t xml:space="preserve"> individuals with increasing number of phenotypic records in the reference population used to estimate SNP effects, for different </w:t>
      </w:r>
      <w:proofErr w:type="spellStart"/>
      <w:r w:rsidRPr="001B608A">
        <w:rPr>
          <w:sz w:val="18"/>
          <w:szCs w:val="18"/>
        </w:rPr>
        <w:t>heritabilities</w:t>
      </w:r>
      <w:proofErr w:type="spellEnd"/>
      <w:r w:rsidRPr="001B608A">
        <w:rPr>
          <w:sz w:val="18"/>
          <w:szCs w:val="18"/>
        </w:rPr>
        <w:t xml:space="preserve"> (h</w:t>
      </w:r>
      <w:r w:rsidRPr="001B608A">
        <w:rPr>
          <w:sz w:val="18"/>
          <w:szCs w:val="18"/>
          <w:vertAlign w:val="superscript"/>
        </w:rPr>
        <w:t>2</w:t>
      </w:r>
      <w:r w:rsidRPr="001B608A">
        <w:rPr>
          <w:sz w:val="18"/>
          <w:szCs w:val="18"/>
        </w:rPr>
        <w:t>). N was 100.</w:t>
      </w:r>
    </w:p>
    <w:p w14:paraId="371283EA" w14:textId="06B55FE2" w:rsidR="00DD0178" w:rsidRDefault="00DD0178" w:rsidP="00DF224B">
      <w:pPr>
        <w:jc w:val="center"/>
      </w:pPr>
    </w:p>
    <w:p w14:paraId="771CD339" w14:textId="21EBBA27" w:rsidR="00DF224B" w:rsidRDefault="7FD325C3" w:rsidP="00DF224B">
      <w:r>
        <w:t>The chart shows that for traits of different heritability, the accuracy of genomic prediction rises with increasing size of the reference population.  The shape of this relationship – the rate at which accuracy of some decision or search increases with the number of individuals in the database with some form of data (which can simply be genotype – will vary for different searches or decisions, but the general principle is expected to hold.</w:t>
      </w:r>
    </w:p>
    <w:p w14:paraId="45E2D99B" w14:textId="77777777" w:rsidR="00975FA4" w:rsidRDefault="00975FA4" w:rsidP="00DF224B"/>
    <w:p w14:paraId="27E03894" w14:textId="1934AA8F" w:rsidR="00DF224B" w:rsidRDefault="00DF224B" w:rsidP="00DF224B">
      <w:r>
        <w:t>This principle will be fundamental to obtaining buy-in from businesses and organisations who are seeking to protect and exclusively exploit</w:t>
      </w:r>
      <w:r w:rsidR="00F1378F">
        <w:t>, for the benefit of their stakeholders,</w:t>
      </w:r>
      <w:r>
        <w:t xml:space="preserve"> the value of their data holdings – obvious examples being breed societies.</w:t>
      </w:r>
    </w:p>
    <w:p w14:paraId="09E4EBEB" w14:textId="77777777" w:rsidR="00610FDD" w:rsidRDefault="00610FDD" w:rsidP="00DF224B"/>
    <w:p w14:paraId="5FE75DCE" w14:textId="27C773F3" w:rsidR="00DF224B" w:rsidRDefault="00DF224B" w:rsidP="00DF224B">
      <w:r>
        <w:t>This benefit of linking or combining datasets is the “why”</w:t>
      </w:r>
      <w:r w:rsidR="00610FDD">
        <w:t>.  T</w:t>
      </w:r>
      <w:r>
        <w:t xml:space="preserve">he “how” will depend on access agreements. </w:t>
      </w:r>
      <w:r w:rsidR="00610FDD">
        <w:t xml:space="preserve"> </w:t>
      </w:r>
      <w:r>
        <w:t>These will almost certainly be based on some form of access charges.</w:t>
      </w:r>
      <w:r w:rsidR="00610FDD">
        <w:t xml:space="preserve"> </w:t>
      </w:r>
      <w:r>
        <w:t xml:space="preserve"> Establishing and implementing such charges is a new area or question for animal industries: </w:t>
      </w:r>
      <w:proofErr w:type="gramStart"/>
      <w:r>
        <w:t>typically</w:t>
      </w:r>
      <w:proofErr w:type="gramEnd"/>
      <w:r>
        <w:t xml:space="preserve"> the costs of data are either submerged in some form of overall service charge, or are met by industry or government. These approaches are unlikely to be sufficient in the NLIS case, where the data needed to underpin ancillary benefits is usually at least partly owned by independent businesses, each seeking to maximise the value they can generate and capture from their investments in data.</w:t>
      </w:r>
    </w:p>
    <w:p w14:paraId="4A069215" w14:textId="16269094" w:rsidR="00DF224B" w:rsidRDefault="00DF224B" w:rsidP="00DF224B"/>
    <w:p w14:paraId="2587626C" w14:textId="5906746C" w:rsidR="002203A2" w:rsidRDefault="00DF224B" w:rsidP="007F5FFD">
      <w:pPr>
        <w:pStyle w:val="Heading1"/>
      </w:pPr>
      <w:bookmarkStart w:id="186" w:name="_Toc95983423"/>
      <w:bookmarkStart w:id="187" w:name="_Hlk92223025"/>
      <w:r w:rsidRPr="005C0262">
        <w:lastRenderedPageBreak/>
        <w:t>Risks and opportunities</w:t>
      </w:r>
      <w:bookmarkEnd w:id="186"/>
      <w:r w:rsidRPr="005C0262">
        <w:t xml:space="preserve"> </w:t>
      </w:r>
    </w:p>
    <w:bookmarkEnd w:id="187"/>
    <w:p w14:paraId="67AD41AD" w14:textId="0CE4B7BA" w:rsidR="007A3531" w:rsidRDefault="007A3531" w:rsidP="007A3531"/>
    <w:p w14:paraId="38E48452" w14:textId="2A0D3A51" w:rsidR="007A3531" w:rsidRDefault="007A3531" w:rsidP="007A3531">
      <w:pPr>
        <w:pStyle w:val="Heading2"/>
      </w:pPr>
      <w:bookmarkStart w:id="188" w:name="_Toc95983424"/>
      <w:r>
        <w:t>Economies of scale</w:t>
      </w:r>
      <w:bookmarkEnd w:id="188"/>
    </w:p>
    <w:p w14:paraId="772E076B" w14:textId="77AA0A86" w:rsidR="00567788" w:rsidRDefault="00567788" w:rsidP="007A3531">
      <w:pPr>
        <w:rPr>
          <w:highlight w:val="yellow"/>
        </w:rPr>
      </w:pPr>
    </w:p>
    <w:p w14:paraId="077425EC" w14:textId="620FBBBF" w:rsidR="004635F1" w:rsidRDefault="7FD325C3" w:rsidP="007A3531">
      <w:r>
        <w:t xml:space="preserve">In our modelling, we have assumed laboratory costs of around $33 for genotyping.  Genotyping companies have been understandably non-committal about likely discounts with large volumes of samples, but they did indicate that there is likely to be scope for a meaningful reduction in costs, given a) sufficient volume and b) the ability to </w:t>
      </w:r>
      <w:proofErr w:type="gramStart"/>
      <w:r>
        <w:t>plan ahead</w:t>
      </w:r>
      <w:proofErr w:type="gramEnd"/>
      <w:r>
        <w:t xml:space="preserve"> with a high degree of certainty.   We have been told that one genotyping company recently filled an order for about 200,000 bovine tests (&gt;50k SNPs) for AUD20.  It seems likely that if/when large scale genotyping becomes a reality, routine tests will become much cheaper, with fast-tracking testing of queried samples, in much smaller numbers, available at a premium.</w:t>
      </w:r>
      <w:r w:rsidR="00BE3EAD">
        <w:t xml:space="preserve">  </w:t>
      </w:r>
    </w:p>
    <w:p w14:paraId="77C5D9D8" w14:textId="7C433671" w:rsidR="00A828F6" w:rsidRDefault="00A828F6" w:rsidP="007A3531"/>
    <w:p w14:paraId="398C7A5F" w14:textId="7D56BCDE" w:rsidR="00A828F6" w:rsidRPr="00404860" w:rsidRDefault="00A828F6" w:rsidP="007A3531">
      <w:r w:rsidRPr="00A828F6">
        <w:t xml:space="preserve">Some coordination of genotyping procurement is likely to be more beneficial and cost-effective than an </w:t>
      </w:r>
      <w:r w:rsidRPr="00A828F6">
        <w:rPr>
          <w:i/>
          <w:iCs/>
        </w:rPr>
        <w:t>ad hoc</w:t>
      </w:r>
      <w:r w:rsidRPr="00A828F6">
        <w:t xml:space="preserve"> approach; as will the establishment of appropriate standards for genotyping.  </w:t>
      </w:r>
      <w:r w:rsidR="00B0211D">
        <w:t>C</w:t>
      </w:r>
      <w:r w:rsidRPr="00A828F6">
        <w:t>ritical question</w:t>
      </w:r>
      <w:r w:rsidR="00B0211D">
        <w:t xml:space="preserve">s are </w:t>
      </w:r>
      <w:r w:rsidRPr="00A828F6">
        <w:t xml:space="preserve">whether scale can </w:t>
      </w:r>
      <w:r w:rsidR="005270EF">
        <w:t xml:space="preserve">indeed </w:t>
      </w:r>
      <w:r w:rsidRPr="00A828F6">
        <w:t xml:space="preserve">reduce the cost of genotypes and </w:t>
      </w:r>
      <w:r w:rsidR="00B0211D">
        <w:t xml:space="preserve">whether there is also scope for reducing </w:t>
      </w:r>
      <w:r w:rsidRPr="00A828F6">
        <w:t xml:space="preserve">turnaround times.  </w:t>
      </w:r>
    </w:p>
    <w:p w14:paraId="5547E41F" w14:textId="77777777" w:rsidR="004635F1" w:rsidRPr="00404860" w:rsidRDefault="004635F1" w:rsidP="007A3531"/>
    <w:p w14:paraId="51629F5B" w14:textId="3D350637" w:rsidR="00567788" w:rsidRDefault="00410B4D" w:rsidP="007A3531">
      <w:r>
        <w:t>Notably</w:t>
      </w:r>
      <w:r w:rsidR="00404860">
        <w:t xml:space="preserve">, </w:t>
      </w:r>
      <w:r w:rsidR="00671AAE">
        <w:t>many of the key stakeholders we interviewed (some of whom are already using DNA tracing</w:t>
      </w:r>
      <w:r w:rsidR="00BC5D5B">
        <w:t xml:space="preserve"> in some form</w:t>
      </w:r>
      <w:r w:rsidR="00671AAE">
        <w:t xml:space="preserve">) expressed enthusiasm for </w:t>
      </w:r>
      <w:r w:rsidR="0077033E">
        <w:t>sharing infrastructure costs with other industry participants. This included at least one of the</w:t>
      </w:r>
      <w:r w:rsidR="00404860">
        <w:t xml:space="preserve"> vertically integrated beef producers/processors</w:t>
      </w:r>
      <w:r w:rsidR="0077033E">
        <w:t xml:space="preserve">.  </w:t>
      </w:r>
      <w:r w:rsidR="00404860">
        <w:t xml:space="preserve"> </w:t>
      </w:r>
      <w:r w:rsidR="004635F1" w:rsidRPr="00404860">
        <w:t xml:space="preserve"> </w:t>
      </w:r>
      <w:r w:rsidR="006F546F" w:rsidRPr="00404860">
        <w:t xml:space="preserve"> </w:t>
      </w:r>
      <w:r w:rsidR="00EA5486" w:rsidRPr="00404860">
        <w:t xml:space="preserve">  </w:t>
      </w:r>
    </w:p>
    <w:p w14:paraId="363C4FC9" w14:textId="552387D9" w:rsidR="00286681" w:rsidRDefault="00286681" w:rsidP="007A3531"/>
    <w:p w14:paraId="4F1F6B3E" w14:textId="16F6996A" w:rsidR="00286681" w:rsidRDefault="00286681" w:rsidP="00286681">
      <w:pPr>
        <w:pStyle w:val="Heading2"/>
      </w:pPr>
      <w:bookmarkStart w:id="189" w:name="_Toc95983425"/>
      <w:r>
        <w:t>Potential role of reduced SNP panels</w:t>
      </w:r>
      <w:bookmarkEnd w:id="189"/>
    </w:p>
    <w:p w14:paraId="659D309F" w14:textId="77777777" w:rsidR="00286681" w:rsidRDefault="00286681" w:rsidP="007A3531"/>
    <w:p w14:paraId="13B05A8E" w14:textId="68BB2F80" w:rsidR="00286681" w:rsidRDefault="00286681" w:rsidP="00286681">
      <w:r>
        <w:t>The modelling work in this study has focussed on genotyping panels of sufficient density for genomic prediction of genetic merit and phenotype.  When panels of this density (~50K SNP) are used</w:t>
      </w:r>
      <w:r w:rsidR="001A7A15">
        <w:t>,</w:t>
      </w:r>
      <w:r>
        <w:t xml:space="preserve"> a host of other tools become available as well</w:t>
      </w:r>
      <w:r w:rsidR="006D070D">
        <w:t>,</w:t>
      </w:r>
      <w:r>
        <w:t xml:space="preserve"> including traceability of course, but also pedigree and breed composition, horn/</w:t>
      </w:r>
      <w:proofErr w:type="gramStart"/>
      <w:r>
        <w:t>poll</w:t>
      </w:r>
      <w:proofErr w:type="gramEnd"/>
      <w:r>
        <w:t xml:space="preserve"> and other diagnostics.  </w:t>
      </w:r>
    </w:p>
    <w:p w14:paraId="6F8EA4D1" w14:textId="77777777" w:rsidR="00286681" w:rsidRDefault="00286681" w:rsidP="00286681"/>
    <w:p w14:paraId="4E55DEB6" w14:textId="725FC93B" w:rsidR="00286681" w:rsidRDefault="00286681" w:rsidP="00286681">
      <w:r>
        <w:t xml:space="preserve">Recent work by </w:t>
      </w:r>
      <w:r w:rsidR="007317F0">
        <w:t>Dominik</w:t>
      </w:r>
      <w:r>
        <w:t xml:space="preserve"> </w:t>
      </w:r>
      <w:r w:rsidRPr="0019189C">
        <w:rPr>
          <w:i/>
          <w:iCs/>
        </w:rPr>
        <w:t>et al</w:t>
      </w:r>
      <w:r>
        <w:t>. (2021)</w:t>
      </w:r>
      <w:r w:rsidR="004C17FD">
        <w:rPr>
          <w:rStyle w:val="FootnoteReference"/>
        </w:rPr>
        <w:footnoteReference w:id="69"/>
      </w:r>
      <w:r>
        <w:t xml:space="preserve"> has shown how individual animals can be uniquely identified in larger groups (</w:t>
      </w:r>
      <w:r w:rsidR="005221B2">
        <w:t>up to about 80,000 individuals</w:t>
      </w:r>
      <w:r w:rsidR="00E47B8C">
        <w:t xml:space="preserve"> within a breed</w:t>
      </w:r>
      <w:r>
        <w:t xml:space="preserve">) </w:t>
      </w:r>
      <w:r w:rsidR="00E47B8C">
        <w:t>using</w:t>
      </w:r>
      <w:r>
        <w:t xml:space="preserve"> a</w:t>
      </w:r>
      <w:r w:rsidR="005221B2">
        <w:t xml:space="preserve">s few as 20-23 </w:t>
      </w:r>
      <w:r>
        <w:t>SNP</w:t>
      </w:r>
      <w:r w:rsidR="005221B2">
        <w:t>s</w:t>
      </w:r>
      <w:r>
        <w:t xml:space="preserve">.  </w:t>
      </w:r>
      <w:r w:rsidR="004161B2">
        <w:t>However, t</w:t>
      </w:r>
      <w:r>
        <w:t xml:space="preserve">o uniquely identify an animal in a population as large </w:t>
      </w:r>
      <w:r w:rsidR="00E47B8C">
        <w:t xml:space="preserve">and diverse </w:t>
      </w:r>
      <w:r>
        <w:t>as proposed here</w:t>
      </w:r>
      <w:r w:rsidR="00E47B8C">
        <w:t>,</w:t>
      </w:r>
      <w:r>
        <w:t xml:space="preserve"> the number of SNP required </w:t>
      </w:r>
      <w:r w:rsidR="002503A9">
        <w:t xml:space="preserve">is greater and would </w:t>
      </w:r>
      <w:r>
        <w:t xml:space="preserve">need to be determined.  </w:t>
      </w:r>
    </w:p>
    <w:p w14:paraId="4F4DBE76" w14:textId="77777777" w:rsidR="00286681" w:rsidRDefault="00286681" w:rsidP="00286681"/>
    <w:p w14:paraId="7490A69B" w14:textId="351D62E4" w:rsidR="00286681" w:rsidRDefault="00286681" w:rsidP="00286681">
      <w:r>
        <w:t>Undoubtedly if traceability was the only aim and all the ancillary benefits were to be passed up, smaller panels could be employed.  Exactly how much this would reduce the cost would also need to be determined.  It is our assumption that with economies of scale</w:t>
      </w:r>
      <w:r w:rsidR="002503A9">
        <w:t>,</w:t>
      </w:r>
      <w:r>
        <w:t xml:space="preserve"> a reduced panel for traceability only and the density proposed here, which allows all the additional information to be provided, would become similar in price when all costs are considered. </w:t>
      </w:r>
    </w:p>
    <w:p w14:paraId="6C547E2B" w14:textId="77777777" w:rsidR="00286681" w:rsidRDefault="00286681" w:rsidP="00286681"/>
    <w:p w14:paraId="00792D30" w14:textId="754D8B23" w:rsidR="00286681" w:rsidRDefault="00286681" w:rsidP="00286681">
      <w:r>
        <w:t>One use of the reduced panel may be to reduce the Turn Around Time (TAT) for when a test sample needs to be queried against the database</w:t>
      </w:r>
      <w:r w:rsidR="00290594">
        <w:t>.  T</w:t>
      </w:r>
      <w:r w:rsidR="00A614E0">
        <w:t xml:space="preserve">he </w:t>
      </w:r>
      <w:r>
        <w:t xml:space="preserve">laboratory time </w:t>
      </w:r>
      <w:r w:rsidR="00A614E0">
        <w:t xml:space="preserve">required </w:t>
      </w:r>
      <w:r>
        <w:t xml:space="preserve">for these smaller panels is </w:t>
      </w:r>
      <w:r w:rsidR="00F61D97">
        <w:t>shorter</w:t>
      </w:r>
      <w:r>
        <w:t xml:space="preserve"> than the full genomic panel we have proposed</w:t>
      </w:r>
      <w:r w:rsidR="00F61D97">
        <w:t xml:space="preserve"> (</w:t>
      </w:r>
      <w:r>
        <w:t>which</w:t>
      </w:r>
      <w:r w:rsidR="00290594">
        <w:t xml:space="preserve"> according to one service provider</w:t>
      </w:r>
      <w:r>
        <w:t xml:space="preserve"> has a TAT </w:t>
      </w:r>
      <w:r w:rsidR="00A614E0">
        <w:t>that</w:t>
      </w:r>
      <w:r>
        <w:t xml:space="preserve"> could be </w:t>
      </w:r>
      <w:r w:rsidR="00F61D97">
        <w:t xml:space="preserve">up to </w:t>
      </w:r>
      <w:r>
        <w:t>a week</w:t>
      </w:r>
      <w:r w:rsidR="00F61D97">
        <w:t>)</w:t>
      </w:r>
      <w:r w:rsidR="00EB0A0A">
        <w:t>;</w:t>
      </w:r>
      <w:r>
        <w:t xml:space="preserve"> where</w:t>
      </w:r>
      <w:r w:rsidR="00EB0A0A">
        <w:t>as</w:t>
      </w:r>
      <w:r>
        <w:t xml:space="preserve"> the smaller panel could be accomplished same day in the laboratory.   </w:t>
      </w:r>
    </w:p>
    <w:p w14:paraId="43C73DC3" w14:textId="77777777" w:rsidR="00286681" w:rsidRDefault="00286681" w:rsidP="00286681"/>
    <w:p w14:paraId="4D994BF0" w14:textId="4389C991" w:rsidR="00286681" w:rsidRDefault="00286681" w:rsidP="00286681">
      <w:r>
        <w:t xml:space="preserve">Consequently, one solution we are proposing is that all samples are genotyped with a genomic profile in the order of 50K SNP, as commonly used in genetic applications in cattle and sheep </w:t>
      </w:r>
      <w:r>
        <w:lastRenderedPageBreak/>
        <w:t>today.  These genotypes would be stored in the database.  Then if there is an animal, or a product from an animal, where t</w:t>
      </w:r>
      <w:r w:rsidR="00EB0A0A">
        <w:t>he</w:t>
      </w:r>
      <w:r>
        <w:t xml:space="preserve"> identity is not known, this sample could be genotyped for a reduced targeted list of SNP</w:t>
      </w:r>
      <w:r w:rsidR="007B3355">
        <w:t>s</w:t>
      </w:r>
      <w:r>
        <w:t>, which are a subset of the full genomic panel</w:t>
      </w:r>
      <w:r w:rsidR="00EB0A0A">
        <w:t>.  T</w:t>
      </w:r>
      <w:r>
        <w:t xml:space="preserve">his reduced genotype could be obtained much faster and be queried against the entire database to determine its identity.  We expect algorithms would be developed to allow this searching and matching to be done in a fast and efficient manner. </w:t>
      </w:r>
    </w:p>
    <w:p w14:paraId="07919912" w14:textId="77777777" w:rsidR="00567788" w:rsidRDefault="00567788" w:rsidP="007A3531">
      <w:pPr>
        <w:rPr>
          <w:highlight w:val="yellow"/>
        </w:rPr>
      </w:pPr>
    </w:p>
    <w:p w14:paraId="5E3EADE9" w14:textId="77777777" w:rsidR="00D43E21" w:rsidRDefault="00D43E21" w:rsidP="00D43E21">
      <w:pPr>
        <w:pStyle w:val="Heading2"/>
      </w:pPr>
      <w:bookmarkStart w:id="190" w:name="_Toc95983426"/>
      <w:r>
        <w:t>Data standards</w:t>
      </w:r>
      <w:bookmarkEnd w:id="190"/>
      <w:r>
        <w:t xml:space="preserve"> </w:t>
      </w:r>
    </w:p>
    <w:p w14:paraId="25A2B610" w14:textId="77777777" w:rsidR="00D43E21" w:rsidRDefault="00D43E21" w:rsidP="00D43E21"/>
    <w:p w14:paraId="37048D55" w14:textId="34CF1374" w:rsidR="00CE67FE" w:rsidRDefault="00815EBD" w:rsidP="00815EBD">
      <w:r w:rsidRPr="00815EBD">
        <w:t xml:space="preserve">Issues </w:t>
      </w:r>
      <w:r>
        <w:t xml:space="preserve">relating to </w:t>
      </w:r>
      <w:r w:rsidRPr="00815EBD">
        <w:t>standards in a range of commercial applications are well explored in the economics literature, including discussion of how standards systems can arise, what happens if they don’t, situations which can justify interventions (such as by government), and the economic benefits of having standards.</w:t>
      </w:r>
    </w:p>
    <w:p w14:paraId="072A0AEE" w14:textId="2A6EC669" w:rsidR="00B8789F" w:rsidRDefault="00B8789F" w:rsidP="00815EBD"/>
    <w:p w14:paraId="76BE712D" w14:textId="0CCFA42B" w:rsidR="00B8789F" w:rsidRDefault="00B8789F" w:rsidP="00815EBD">
      <w:r w:rsidRPr="00B8789F">
        <w:t xml:space="preserve">NLIS </w:t>
      </w:r>
      <w:r>
        <w:t>(</w:t>
      </w:r>
      <w:r w:rsidRPr="00B8789F">
        <w:t xml:space="preserve">through </w:t>
      </w:r>
      <w:r w:rsidR="007577BD">
        <w:t>SAFEMEAT</w:t>
      </w:r>
      <w:r>
        <w:t>)</w:t>
      </w:r>
      <w:r w:rsidRPr="00B8789F">
        <w:t xml:space="preserve"> </w:t>
      </w:r>
      <w:r>
        <w:t xml:space="preserve">currently </w:t>
      </w:r>
      <w:r w:rsidRPr="00B8789F">
        <w:t xml:space="preserve">sets standards for the </w:t>
      </w:r>
      <w:r>
        <w:t>manufacture of electronic ear</w:t>
      </w:r>
      <w:r w:rsidR="006376BD">
        <w:t xml:space="preserve"> </w:t>
      </w:r>
      <w:r>
        <w:t xml:space="preserve">tags </w:t>
      </w:r>
      <w:r w:rsidR="00364634">
        <w:t>(ISC 2017)</w:t>
      </w:r>
      <w:r w:rsidR="00364634">
        <w:rPr>
          <w:rStyle w:val="FootnoteReference"/>
        </w:rPr>
        <w:footnoteReference w:id="70"/>
      </w:r>
      <w:r w:rsidR="00364634">
        <w:t xml:space="preserve"> </w:t>
      </w:r>
      <w:r w:rsidR="007C5E1D">
        <w:t>as well as</w:t>
      </w:r>
      <w:r w:rsidRPr="00B8789F">
        <w:t xml:space="preserve"> the software that pr</w:t>
      </w:r>
      <w:r w:rsidR="007C5E1D">
        <w:t>o</w:t>
      </w:r>
      <w:r w:rsidRPr="00B8789F">
        <w:t>cesses e</w:t>
      </w:r>
      <w:r w:rsidR="007C5E1D">
        <w:t>lectronic declarations</w:t>
      </w:r>
      <w:r w:rsidRPr="00B8789F">
        <w:t xml:space="preserve">.  If genomics </w:t>
      </w:r>
      <w:r w:rsidR="00823953">
        <w:t>i</w:t>
      </w:r>
      <w:r w:rsidRPr="00B8789F">
        <w:t>s to become part of the national traceability system</w:t>
      </w:r>
      <w:r w:rsidR="00823953">
        <w:t xml:space="preserve">, </w:t>
      </w:r>
      <w:r w:rsidRPr="00B8789F">
        <w:t xml:space="preserve">a robust set of standards will need to be developed for two </w:t>
      </w:r>
      <w:r w:rsidR="00A6610A">
        <w:t xml:space="preserve">activities: </w:t>
      </w:r>
      <w:r w:rsidRPr="00B8789F">
        <w:t>the actual genomic testing</w:t>
      </w:r>
      <w:r w:rsidR="00A6610A">
        <w:t>;</w:t>
      </w:r>
      <w:r w:rsidRPr="00B8789F">
        <w:t xml:space="preserve"> and then the processing </w:t>
      </w:r>
      <w:r w:rsidR="00A6610A">
        <w:t xml:space="preserve">of data derived from </w:t>
      </w:r>
      <w:r w:rsidRPr="00B8789F">
        <w:t xml:space="preserve">those tests.  </w:t>
      </w:r>
    </w:p>
    <w:p w14:paraId="7FF3A811" w14:textId="77777777" w:rsidR="00CE67FE" w:rsidRDefault="00CE67FE" w:rsidP="00D43E21"/>
    <w:p w14:paraId="6E2F454C" w14:textId="110D9EFD" w:rsidR="00D43E21" w:rsidRDefault="00EB1006" w:rsidP="00D43E21">
      <w:bookmarkStart w:id="191" w:name="_Hlk92225551"/>
      <w:r>
        <w:t xml:space="preserve">In our assessment, </w:t>
      </w:r>
      <w:r w:rsidR="00D43E21">
        <w:t xml:space="preserve">the general standards currently in place around genotyping (and more particularly the ability to read genotypes taken on a diverse range of chips), are probably sufficient for a traceability system. However, it is essential that such a system </w:t>
      </w:r>
      <w:proofErr w:type="gramStart"/>
      <w:r w:rsidR="00D43E21">
        <w:t>has the ability to</w:t>
      </w:r>
      <w:proofErr w:type="gramEnd"/>
      <w:r w:rsidR="00D43E21">
        <w:t xml:space="preserve"> use genotypes from the range of chips currently available now or likely to be available in future.  Such ability is well-developed in the software that AGBU has developed for BREEDPLAN and Sheep Genetics, for example.</w:t>
      </w:r>
    </w:p>
    <w:p w14:paraId="26826B5F" w14:textId="77777777" w:rsidR="00D43E21" w:rsidRDefault="00D43E21" w:rsidP="00D43E21"/>
    <w:p w14:paraId="745DF19A" w14:textId="77777777" w:rsidR="00D43E21" w:rsidRDefault="00D43E21" w:rsidP="00D43E21">
      <w:r>
        <w:t>If the goal is to aim for wide and rapid uptake, it seems likely that the ancillary uses of DNA will become paramount, and that brings up questions of some forms of standardisation, or at least validation of tools. As an example, there are breed composition tests available based on widely differing reference populations, and algorithms (how many SNP are used etc.), and there are global initiatives to provide standards (via ICAR, the International Committee for Animal Recording). Having a process for informing the market of what different tools or algorithms do, would seem to be useful.</w:t>
      </w:r>
    </w:p>
    <w:p w14:paraId="530A95D5" w14:textId="77777777" w:rsidR="00D43E21" w:rsidRDefault="00D43E21" w:rsidP="00D43E21"/>
    <w:p w14:paraId="5822F401" w14:textId="77777777" w:rsidR="00D43E21" w:rsidRDefault="00D43E21" w:rsidP="00D43E21">
      <w:r>
        <w:t>The issue of standards in data agreements is a further challenge. This may require the development   of a convention describing principles for data access. Such a convention could be the basis of a universal, or at least national platform for data sharing, which would reduce the amount of legal time that individual stakeholders would have to invest, and ideally reduce the risks of both duplication on the one hand, and conflicting, or “heterogeneously and overlappingly incomplete” agreements on the other.</w:t>
      </w:r>
    </w:p>
    <w:bookmarkEnd w:id="191"/>
    <w:p w14:paraId="132DC72C" w14:textId="77777777" w:rsidR="00D43E21" w:rsidRDefault="00D43E21" w:rsidP="002A45E4">
      <w:pPr>
        <w:pStyle w:val="Heading2"/>
      </w:pPr>
    </w:p>
    <w:p w14:paraId="791F1F32" w14:textId="2E5BCF55" w:rsidR="00DF224B" w:rsidRDefault="002203A2" w:rsidP="00BF28FF">
      <w:pPr>
        <w:pStyle w:val="Heading2"/>
      </w:pPr>
      <w:bookmarkStart w:id="192" w:name="_Toc95983427"/>
      <w:r>
        <w:t>N</w:t>
      </w:r>
      <w:r w:rsidR="00DF224B">
        <w:t xml:space="preserve">ational system </w:t>
      </w:r>
      <w:r w:rsidR="00DF224B" w:rsidRPr="00CB083F">
        <w:rPr>
          <w:i/>
          <w:iCs/>
        </w:rPr>
        <w:t>v</w:t>
      </w:r>
      <w:r w:rsidR="00CB083F" w:rsidRPr="00CB083F">
        <w:rPr>
          <w:i/>
          <w:iCs/>
        </w:rPr>
        <w:t>s</w:t>
      </w:r>
      <w:r w:rsidR="00DF224B">
        <w:t xml:space="preserve"> fragmenta</w:t>
      </w:r>
      <w:r w:rsidR="00DF224B" w:rsidRPr="005C0262">
        <w:t>tion</w:t>
      </w:r>
      <w:bookmarkEnd w:id="192"/>
    </w:p>
    <w:p w14:paraId="7135EBBC" w14:textId="77777777" w:rsidR="00610FDD" w:rsidRPr="00610FDD" w:rsidRDefault="00610FDD" w:rsidP="00BF28FF">
      <w:pPr>
        <w:keepNext/>
        <w:keepLines/>
      </w:pPr>
    </w:p>
    <w:p w14:paraId="2D7C8863" w14:textId="3FE08FB7" w:rsidR="00DF224B" w:rsidRDefault="00DF224B" w:rsidP="00DF224B">
      <w:r>
        <w:t xml:space="preserve">The </w:t>
      </w:r>
      <w:r w:rsidR="008A23E9">
        <w:t xml:space="preserve">previous </w:t>
      </w:r>
      <w:r>
        <w:t xml:space="preserve">discussion </w:t>
      </w:r>
      <w:r w:rsidR="008A23E9">
        <w:t>regarding</w:t>
      </w:r>
      <w:r>
        <w:t xml:space="preserve"> the benefits of combining data in terms of decision-making power highlights one dimension of benefit from combining; the other dimension is simply the additional costs arising from duplication of databases and analytics, as well as transaction costs arising if connecting or combining data is not a built-in feature of the overall system.</w:t>
      </w:r>
      <w:r w:rsidR="00F74152">
        <w:t xml:space="preserve">  </w:t>
      </w:r>
      <w:r w:rsidR="00F26257">
        <w:t>Note that it</w:t>
      </w:r>
      <w:r>
        <w:t xml:space="preserve"> is not essential to have one “super-database”, </w:t>
      </w:r>
      <w:proofErr w:type="gramStart"/>
      <w:r>
        <w:t>as long as</w:t>
      </w:r>
      <w:proofErr w:type="gramEnd"/>
      <w:r>
        <w:t xml:space="preserve"> the connection protocols and systems are well-designed and essentially seamless.</w:t>
      </w:r>
      <w:r w:rsidR="00F26257">
        <w:t xml:space="preserve">  </w:t>
      </w:r>
      <w:r w:rsidR="00F3100E">
        <w:t xml:space="preserve">  </w:t>
      </w:r>
    </w:p>
    <w:p w14:paraId="03AAC421" w14:textId="77777777" w:rsidR="00F3100E" w:rsidRDefault="00F3100E" w:rsidP="00DF224B"/>
    <w:p w14:paraId="1141C256" w14:textId="196EAF1A" w:rsidR="00BC4AF1" w:rsidRDefault="00F3100E" w:rsidP="00701E16">
      <w:r w:rsidRPr="00F3100E">
        <w:t>An appropriate governance system linking the relevant databases will clearly be needed; one that provides acceptable levels of access while at the same time being equitable to participants and providing appropriate incentives and rewards.  High levels of participation will maximise industry benefits, as the power of analytics (including traceability) increases with scale.  How this is best set up and overseen is yet to be determined but may, for example, be set up and managed by an industry consortium.</w:t>
      </w:r>
    </w:p>
    <w:p w14:paraId="464028ED" w14:textId="52250C1D" w:rsidR="00B54C6D" w:rsidRDefault="00B54C6D" w:rsidP="00701E16"/>
    <w:p w14:paraId="724E96EA" w14:textId="1FF73BCD" w:rsidR="00B54C6D" w:rsidRDefault="00B54C6D" w:rsidP="003B7D2D">
      <w:pPr>
        <w:pStyle w:val="Heading2"/>
      </w:pPr>
      <w:bookmarkStart w:id="193" w:name="_Toc95983428"/>
      <w:r>
        <w:t>NLIS in sheep</w:t>
      </w:r>
      <w:bookmarkEnd w:id="193"/>
    </w:p>
    <w:p w14:paraId="4A944394" w14:textId="384D1583" w:rsidR="00701E16" w:rsidRDefault="00701E16" w:rsidP="00701E16"/>
    <w:p w14:paraId="1C3965CA" w14:textId="5D9249B6" w:rsidR="00B54C6D" w:rsidRDefault="003B7D2D" w:rsidP="00701E16">
      <w:r w:rsidRPr="003B7D2D">
        <w:t xml:space="preserve">DNA technologies have the potential to transform the adoption of NLIS in sheep (which is currently mob-based apart from in Victoria). </w:t>
      </w:r>
      <w:r>
        <w:t xml:space="preserve"> </w:t>
      </w:r>
      <w:r w:rsidRPr="003B7D2D">
        <w:t xml:space="preserve">If DNA tools offer management benefits for sheep producers at a mob level, then flocks could be sampled at that level, providing a genomic reference point for each flock. Our view is that the current Flock Profile service supported by Sheep Genetics is in fact a model for </w:t>
      </w:r>
      <w:proofErr w:type="gramStart"/>
      <w:r w:rsidRPr="003B7D2D">
        <w:t>this, and</w:t>
      </w:r>
      <w:proofErr w:type="gramEnd"/>
      <w:r w:rsidRPr="003B7D2D">
        <w:t xml:space="preserve"> could be either re-purposed to include a traceability component, or used as the basis of a separate NLIS DNA Flock Tracing option. Some R&amp;D into the accuracy properties of this approach would be valuable, but at face value, having a flock sample of every flock would enable a more objective basis for traceability than simple paper-based identification.  The pilot project outlined later in this report would expand the foundation for such an approach, building on the existing genomic reference data managed by Sheep Genetics, and could include trialling traceability applications.</w:t>
      </w:r>
    </w:p>
    <w:p w14:paraId="2A13D8A0" w14:textId="77777777" w:rsidR="006377C9" w:rsidRDefault="006377C9" w:rsidP="00701E16"/>
    <w:p w14:paraId="00590CF8" w14:textId="5A557F22" w:rsidR="00D77179" w:rsidRDefault="00D77179" w:rsidP="00D77179">
      <w:pPr>
        <w:pStyle w:val="Heading2"/>
      </w:pPr>
      <w:bookmarkStart w:id="194" w:name="_Toc95983429"/>
      <w:r>
        <w:t>Selection for disease resistance</w:t>
      </w:r>
      <w:bookmarkEnd w:id="194"/>
    </w:p>
    <w:p w14:paraId="1CFB10D9" w14:textId="005B7208" w:rsidR="00D77179" w:rsidRDefault="00D77179" w:rsidP="00701E16"/>
    <w:p w14:paraId="34CA7BC5" w14:textId="77777777" w:rsidR="00BA728F" w:rsidRDefault="000549D0" w:rsidP="00701E16">
      <w:r>
        <w:t>A</w:t>
      </w:r>
      <w:r w:rsidR="00D13421">
        <w:t xml:space="preserve"> potentially valuable </w:t>
      </w:r>
      <w:r>
        <w:t xml:space="preserve">application of genomic information is </w:t>
      </w:r>
      <w:r w:rsidR="00D13421">
        <w:t xml:space="preserve">its use as a tool to greatly increase our power </w:t>
      </w:r>
      <w:r w:rsidR="00893D1D">
        <w:t xml:space="preserve">to select for disease resistance.  Recently, </w:t>
      </w:r>
      <w:proofErr w:type="spellStart"/>
      <w:r w:rsidR="00893D1D">
        <w:t>Reverter</w:t>
      </w:r>
      <w:proofErr w:type="spellEnd"/>
      <w:r w:rsidR="00893D1D">
        <w:t xml:space="preserve"> </w:t>
      </w:r>
      <w:r w:rsidR="00893D1D" w:rsidRPr="00893D1D">
        <w:rPr>
          <w:i/>
          <w:iCs/>
        </w:rPr>
        <w:t>et al.</w:t>
      </w:r>
      <w:r w:rsidR="00893D1D">
        <w:t xml:space="preserve"> (2021)</w:t>
      </w:r>
      <w:r w:rsidR="00E36281">
        <w:rPr>
          <w:rStyle w:val="FootnoteReference"/>
        </w:rPr>
        <w:footnoteReference w:id="71"/>
      </w:r>
      <w:r w:rsidR="00893D1D">
        <w:t xml:space="preserve"> described </w:t>
      </w:r>
      <w:r w:rsidR="009C3AD9">
        <w:t xml:space="preserve">a genomic test aimed at </w:t>
      </w:r>
      <w:r w:rsidR="009C3AD9" w:rsidRPr="009C3AD9">
        <w:t>improving the immune competence of Australian Angus cattle</w:t>
      </w:r>
      <w:r w:rsidR="00BA728F">
        <w:t xml:space="preserve">. </w:t>
      </w:r>
    </w:p>
    <w:p w14:paraId="7525C2D3" w14:textId="77777777" w:rsidR="00BA728F" w:rsidRDefault="00BA728F" w:rsidP="00701E16"/>
    <w:p w14:paraId="4F325494" w14:textId="0C530EDC" w:rsidR="000549D0" w:rsidRDefault="004E531E" w:rsidP="00701E16">
      <w:r>
        <w:t xml:space="preserve">As mentioned previously, </w:t>
      </w:r>
      <w:r w:rsidR="00B26989">
        <w:t>genomic</w:t>
      </w:r>
      <w:r w:rsidR="00B26989" w:rsidRPr="00C74408">
        <w:t xml:space="preserve"> databases </w:t>
      </w:r>
      <w:r w:rsidR="00B26989">
        <w:t xml:space="preserve">are used in Ireland </w:t>
      </w:r>
      <w:r w:rsidR="00B26989" w:rsidRPr="00C74408">
        <w:t xml:space="preserve">in conjunction with other forms of data to provide </w:t>
      </w:r>
      <w:r w:rsidR="001318CA">
        <w:t xml:space="preserve">animal health </w:t>
      </w:r>
      <w:r w:rsidR="00B26989" w:rsidRPr="00C74408">
        <w:t>information services</w:t>
      </w:r>
      <w:r>
        <w:t xml:space="preserve"> (see Appendix 6)</w:t>
      </w:r>
      <w:r w:rsidR="001318CA">
        <w:t>.  Local e</w:t>
      </w:r>
      <w:r w:rsidR="00BA728F" w:rsidRPr="00BA728F">
        <w:t xml:space="preserve">xperience indicates that obtaining reliable animal health data from farms and feedlots is not a simple task.  </w:t>
      </w:r>
      <w:r w:rsidR="001318CA">
        <w:t>However, i</w:t>
      </w:r>
      <w:r w:rsidR="00BA728F" w:rsidRPr="00BA728F">
        <w:t xml:space="preserve">t is likely that data from processors has great potential, particularly as it can cover a wide range of diseases and conditions. For </w:t>
      </w:r>
      <w:r w:rsidR="007577BD" w:rsidRPr="00BA728F">
        <w:t>example,</w:t>
      </w:r>
      <w:r w:rsidR="00BA728F" w:rsidRPr="00BA728F">
        <w:t xml:space="preserve"> observations on large hearts, lung lesions, liver </w:t>
      </w:r>
      <w:r w:rsidR="00326D91" w:rsidRPr="00BA728F">
        <w:t>abscesses</w:t>
      </w:r>
      <w:r w:rsidR="00BA728F" w:rsidRPr="00BA728F">
        <w:t xml:space="preserve"> </w:t>
      </w:r>
      <w:r w:rsidR="00BA728F" w:rsidRPr="00DE6A2A">
        <w:rPr>
          <w:i/>
          <w:iCs/>
        </w:rPr>
        <w:t>etc</w:t>
      </w:r>
      <w:r w:rsidR="00BA728F" w:rsidRPr="00BA728F">
        <w:t>. could all be potentially captured, perhaps even using automation, to collect a large volume of health data, which in turn could be used to inform genomic predictions.</w:t>
      </w:r>
      <w:r w:rsidR="00B26989">
        <w:t xml:space="preserve">  </w:t>
      </w:r>
      <w:r w:rsidR="00BA728F">
        <w:t xml:space="preserve"> </w:t>
      </w:r>
      <w:r w:rsidR="009C3AD9">
        <w:t xml:space="preserve">  </w:t>
      </w:r>
    </w:p>
    <w:p w14:paraId="310FF948" w14:textId="77777777" w:rsidR="00D77179" w:rsidRDefault="00D77179" w:rsidP="00701E16">
      <w:pPr>
        <w:rPr>
          <w:b/>
        </w:rPr>
      </w:pPr>
    </w:p>
    <w:p w14:paraId="1D8905C0" w14:textId="3045EB29" w:rsidR="00DF224B" w:rsidRDefault="00293B7E" w:rsidP="002A45E4">
      <w:pPr>
        <w:pStyle w:val="Heading2"/>
      </w:pPr>
      <w:bookmarkStart w:id="195" w:name="_Toc95983430"/>
      <w:r>
        <w:t>D</w:t>
      </w:r>
      <w:r w:rsidR="00DF224B" w:rsidRPr="00F74152">
        <w:t>istribution of benefits</w:t>
      </w:r>
      <w:bookmarkEnd w:id="195"/>
    </w:p>
    <w:p w14:paraId="2CBB5B8E" w14:textId="77777777" w:rsidR="00F74152" w:rsidRPr="00F74152" w:rsidRDefault="00F74152" w:rsidP="00F74152"/>
    <w:p w14:paraId="7D444AC4" w14:textId="6D16235E" w:rsidR="00BB1791" w:rsidRDefault="00DF224B" w:rsidP="00BB1791">
      <w:r>
        <w:t>The estimates of benefits and costs from introduc</w:t>
      </w:r>
      <w:r w:rsidR="00F46D36">
        <w:t>ing</w:t>
      </w:r>
      <w:r>
        <w:t xml:space="preserve"> DNA technologies to the traceability system can be interrogated to consider how benefits and costs are distributed. </w:t>
      </w:r>
      <w:r w:rsidR="00BB1791">
        <w:t xml:space="preserve">This is important when devising a strategy of who should initiate, and possibly fund, a traceability system, and whether there is a role for governments or </w:t>
      </w:r>
      <w:r w:rsidR="00384579">
        <w:t>industry funding bodies</w:t>
      </w:r>
      <w:r w:rsidR="00BB1791">
        <w:t>.</w:t>
      </w:r>
      <w:r w:rsidR="00846966">
        <w:t xml:space="preserve">  Other workers have estimated how the benefits of traceability are distributed in beef and sheep (</w:t>
      </w:r>
      <w:r w:rsidR="001479C5">
        <w:t xml:space="preserve">see </w:t>
      </w:r>
      <w:r w:rsidR="001479C5">
        <w:fldChar w:fldCharType="begin"/>
      </w:r>
      <w:r w:rsidR="001479C5">
        <w:instrText xml:space="preserve"> REF _Ref87706772 \h </w:instrText>
      </w:r>
      <w:r w:rsidR="001479C5">
        <w:fldChar w:fldCharType="separate"/>
      </w:r>
      <w:r w:rsidR="008D0D42">
        <w:t xml:space="preserve">Figure </w:t>
      </w:r>
      <w:r w:rsidR="008D0D42">
        <w:rPr>
          <w:noProof/>
        </w:rPr>
        <w:t>31</w:t>
      </w:r>
      <w:r w:rsidR="001479C5">
        <w:fldChar w:fldCharType="end"/>
      </w:r>
      <w:r w:rsidR="001479C5">
        <w:t>) and how the benefits of genetic improvement are distributed in beef (</w:t>
      </w:r>
      <w:r w:rsidR="000277A2">
        <w:fldChar w:fldCharType="begin"/>
      </w:r>
      <w:r w:rsidR="000277A2">
        <w:instrText xml:space="preserve"> REF _Ref95829261 \h </w:instrText>
      </w:r>
      <w:r w:rsidR="000277A2">
        <w:fldChar w:fldCharType="separate"/>
      </w:r>
      <w:r w:rsidR="008D0D42">
        <w:t xml:space="preserve">Figure </w:t>
      </w:r>
      <w:r w:rsidR="008D0D42">
        <w:rPr>
          <w:noProof/>
        </w:rPr>
        <w:t>33</w:t>
      </w:r>
      <w:r w:rsidR="000277A2">
        <w:fldChar w:fldCharType="end"/>
      </w:r>
      <w:r w:rsidR="000277A2">
        <w:t xml:space="preserve">).  </w:t>
      </w:r>
      <w:r w:rsidR="000D1272">
        <w:t xml:space="preserve">The attribution </w:t>
      </w:r>
      <w:r w:rsidR="009F6378">
        <w:t xml:space="preserve">shown </w:t>
      </w:r>
      <w:r w:rsidR="000D1272">
        <w:t xml:space="preserve">in these </w:t>
      </w:r>
      <w:r w:rsidR="009F6378">
        <w:t>studies</w:t>
      </w:r>
      <w:r w:rsidR="000D1272">
        <w:t xml:space="preserve"> may or may not be correct, but </w:t>
      </w:r>
      <w:r w:rsidR="009F6378">
        <w:t xml:space="preserve">the following </w:t>
      </w:r>
      <w:r w:rsidR="00355051">
        <w:t>considerations</w:t>
      </w:r>
      <w:r w:rsidR="00D25CD6">
        <w:t xml:space="preserve"> are</w:t>
      </w:r>
      <w:r w:rsidR="009F6378">
        <w:t xml:space="preserve"> pertinent.</w:t>
      </w:r>
    </w:p>
    <w:p w14:paraId="41053EC6" w14:textId="01461643" w:rsidR="00AA6030" w:rsidRDefault="00AA6030" w:rsidP="00DF224B"/>
    <w:p w14:paraId="306621C2" w14:textId="7B850641" w:rsidR="00DF224B" w:rsidRDefault="00DF224B" w:rsidP="00AA6030">
      <w:pPr>
        <w:spacing w:after="160" w:line="259" w:lineRule="auto"/>
        <w:ind w:left="66"/>
      </w:pPr>
      <w:r>
        <w:lastRenderedPageBreak/>
        <w:t xml:space="preserve">The first point to note is that the implementation costs of NLIS are predominantly </w:t>
      </w:r>
      <w:r w:rsidR="00176F44">
        <w:t xml:space="preserve">borne by producers </w:t>
      </w:r>
      <w:r>
        <w:t xml:space="preserve">(tags and tag readers on-farm, plus on-farm labour </w:t>
      </w:r>
      <w:r w:rsidRPr="00016E02">
        <w:rPr>
          <w:iCs/>
        </w:rPr>
        <w:t>which is not costed explicitly here</w:t>
      </w:r>
      <w:r w:rsidR="0059535E">
        <w:rPr>
          <w:iCs/>
        </w:rPr>
        <w:t xml:space="preserve"> but is included in our model as an estimate based on survey feedback</w:t>
      </w:r>
      <w:r>
        <w:t>).</w:t>
      </w:r>
      <w:r w:rsidR="00AA6030">
        <w:t xml:space="preserve">  </w:t>
      </w:r>
      <w:r>
        <w:t>This preponderance of on-farm costs, borne by individual businesses, increases with any implementation of DNA technologies.</w:t>
      </w:r>
    </w:p>
    <w:p w14:paraId="5929DFF3" w14:textId="7F480F76" w:rsidR="00DF224B" w:rsidRDefault="00DF224B" w:rsidP="00AA6030">
      <w:pPr>
        <w:spacing w:after="160" w:line="259" w:lineRule="auto"/>
      </w:pPr>
      <w:r>
        <w:t xml:space="preserve">When we consider benefits, a distinction </w:t>
      </w:r>
      <w:r w:rsidR="003F13A1">
        <w:t xml:space="preserve">is needed </w:t>
      </w:r>
      <w:r>
        <w:t xml:space="preserve">between </w:t>
      </w:r>
      <w:r w:rsidR="00E76CA1">
        <w:t xml:space="preserve">a) </w:t>
      </w:r>
      <w:r>
        <w:t xml:space="preserve">industry and community benefits which all enterprises share, and </w:t>
      </w:r>
      <w:r w:rsidR="00E76CA1">
        <w:t xml:space="preserve">b) </w:t>
      </w:r>
      <w:r>
        <w:t>benefits which are largely or wholly captured by individual enterprises</w:t>
      </w:r>
      <w:r w:rsidR="005322F5">
        <w:t>.</w:t>
      </w:r>
    </w:p>
    <w:p w14:paraId="190AD624" w14:textId="7091F191" w:rsidR="00DF224B" w:rsidRDefault="00EE3CD9" w:rsidP="00CA3125">
      <w:pPr>
        <w:spacing w:after="160" w:line="259" w:lineRule="auto"/>
      </w:pPr>
      <w:proofErr w:type="gramStart"/>
      <w:r w:rsidRPr="00EE3CD9">
        <w:rPr>
          <w:i/>
          <w:iCs/>
          <w:color w:val="0070C0"/>
        </w:rPr>
        <w:t>Traceability</w:t>
      </w:r>
      <w:r w:rsidRPr="00EE3CD9">
        <w:rPr>
          <w:color w:val="0070C0"/>
        </w:rPr>
        <w:t xml:space="preserve"> </w:t>
      </w:r>
      <w:r w:rsidR="00A07DC0">
        <w:rPr>
          <w:color w:val="0070C0"/>
        </w:rPr>
        <w:t xml:space="preserve"> </w:t>
      </w:r>
      <w:r w:rsidR="003F570A">
        <w:t>It</w:t>
      </w:r>
      <w:proofErr w:type="gramEnd"/>
      <w:r w:rsidR="003F570A">
        <w:t xml:space="preserve"> can be argued that t</w:t>
      </w:r>
      <w:r w:rsidR="007F73E8">
        <w:t>he b</w:t>
      </w:r>
      <w:r w:rsidR="00DF224B">
        <w:t>enefits of traceability are essentially shared by all enterprises in industry</w:t>
      </w:r>
      <w:r w:rsidR="003F570A">
        <w:t>,</w:t>
      </w:r>
      <w:r w:rsidR="00DF224B">
        <w:t xml:space="preserve"> in a </w:t>
      </w:r>
      <w:r w:rsidR="003F570A">
        <w:t xml:space="preserve">similar </w:t>
      </w:r>
      <w:r w:rsidR="00DF224B">
        <w:t>way to the existence of a public fire service.</w:t>
      </w:r>
      <w:r w:rsidR="000C0F71">
        <w:t xml:space="preserve"> </w:t>
      </w:r>
      <w:r w:rsidR="00DF224B">
        <w:t xml:space="preserve"> If this perspective is accepted, then the </w:t>
      </w:r>
      <w:r w:rsidR="00981C9D">
        <w:t xml:space="preserve">total </w:t>
      </w:r>
      <w:r w:rsidR="00DF224B">
        <w:t xml:space="preserve">value </w:t>
      </w:r>
      <w:r w:rsidR="0074604F">
        <w:t xml:space="preserve">assigned to </w:t>
      </w:r>
      <w:r w:rsidR="00DF224B">
        <w:t xml:space="preserve">the NLIS column </w:t>
      </w:r>
      <w:r w:rsidR="00897618">
        <w:t xml:space="preserve">in </w:t>
      </w:r>
      <w:r w:rsidR="0074604F">
        <w:t>our tables</w:t>
      </w:r>
      <w:r w:rsidR="00DF224B">
        <w:t xml:space="preserve"> conveys a false impression – enterprises in total contribute an implementation cost estimated at $45m </w:t>
      </w:r>
      <w:r w:rsidR="00AE670F">
        <w:t>p.a.</w:t>
      </w:r>
      <w:r w:rsidR="00DF224B">
        <w:t xml:space="preserve">, and obtain a benefit estimated at $616m </w:t>
      </w:r>
      <w:r w:rsidR="00AE670F">
        <w:t>p.a.</w:t>
      </w:r>
      <w:r w:rsidR="00DF224B">
        <w:t xml:space="preserve"> </w:t>
      </w:r>
      <w:r w:rsidR="0066238D">
        <w:t xml:space="preserve">from beef and sheep </w:t>
      </w:r>
      <w:r w:rsidR="00DF224B">
        <w:t>under the methodology applied here.</w:t>
      </w:r>
      <w:r w:rsidR="00CA3125">
        <w:t xml:space="preserve">  </w:t>
      </w:r>
      <w:proofErr w:type="gramStart"/>
      <w:r w:rsidR="00CA3125">
        <w:t>In reality, t</w:t>
      </w:r>
      <w:r w:rsidR="00DF224B">
        <w:t>he</w:t>
      </w:r>
      <w:proofErr w:type="gramEnd"/>
      <w:r w:rsidR="00DF224B">
        <w:t xml:space="preserve"> share of costs borne by enterprises rises with increasing scale of genotyping, even after allowing for an industry investment in increased database and analytics capability</w:t>
      </w:r>
      <w:r w:rsidR="00CA3125">
        <w:t>.</w:t>
      </w:r>
    </w:p>
    <w:p w14:paraId="325559AA" w14:textId="161B15A5" w:rsidR="002902B4" w:rsidRDefault="006F7318" w:rsidP="00CA3125">
      <w:pPr>
        <w:spacing w:after="160" w:line="259" w:lineRule="auto"/>
        <w:rPr>
          <w:color w:val="FF0000"/>
        </w:rPr>
      </w:pPr>
      <w:r w:rsidRPr="006F7318">
        <w:rPr>
          <w:i/>
          <w:iCs/>
          <w:color w:val="0070C0"/>
        </w:rPr>
        <w:t>Genetic progress</w:t>
      </w:r>
      <w:r>
        <w:t xml:space="preserve"> </w:t>
      </w:r>
      <w:proofErr w:type="gramStart"/>
      <w:r w:rsidR="00DF224B">
        <w:t>The</w:t>
      </w:r>
      <w:proofErr w:type="gramEnd"/>
      <w:r w:rsidR="00DF224B">
        <w:t xml:space="preserve"> distribution of </w:t>
      </w:r>
      <w:r>
        <w:t xml:space="preserve">other </w:t>
      </w:r>
      <w:r w:rsidR="00DF224B">
        <w:t xml:space="preserve">benefits is less straightforward. Taking the benefits from faster genetic progress first, these accrue to all enterprises sourcing genetics from breeds and herds using BREEDPLAN (if we assume that BREEDPLAN is the delivery channel for genetic progress that is enhanced by the additional data modelled here) – this is a high proportion of industry now, and </w:t>
      </w:r>
      <w:r w:rsidR="00DF224B" w:rsidRPr="00B558D5">
        <w:t>under the model of widespread genotyping, likely higher</w:t>
      </w:r>
      <w:r w:rsidR="00D17960">
        <w:t>.</w:t>
      </w:r>
    </w:p>
    <w:p w14:paraId="4DF0597A" w14:textId="77777777" w:rsidR="00894F86" w:rsidRDefault="7FD325C3" w:rsidP="00BF4FD8">
      <w:pPr>
        <w:spacing w:after="160" w:line="259" w:lineRule="auto"/>
      </w:pPr>
      <w:r>
        <w:t>This benefit is initially captured through purchase of bulls which are genetically better than those born in previous years, but then flows through the value chain, according to the genetic improvement increment in traits expressed at various points in the chain. In essence this benefit is a sort of combination industry and enterprise good.</w:t>
      </w:r>
    </w:p>
    <w:p w14:paraId="768237B3" w14:textId="02CA0083" w:rsidR="00DF224B" w:rsidRDefault="7FD325C3" w:rsidP="00BF4FD8">
      <w:pPr>
        <w:spacing w:after="160" w:line="259" w:lineRule="auto"/>
      </w:pPr>
      <w:r w:rsidRPr="7FD325C3">
        <w:rPr>
          <w:i/>
          <w:iCs/>
          <w:color w:val="0070C0"/>
        </w:rPr>
        <w:t>Genomic screening</w:t>
      </w:r>
      <w:r>
        <w:t xml:space="preserve"> </w:t>
      </w:r>
      <w:proofErr w:type="gramStart"/>
      <w:r>
        <w:t>The</w:t>
      </w:r>
      <w:proofErr w:type="gramEnd"/>
      <w:r>
        <w:t xml:space="preserve"> benefits obtained through genomic screening (as modelled here) can be considered to be enterprise or private benefits to a much greater extent. For example, if a feedlot avoids buying less profitable animals through use of genomic information, that feedlot obtains a benefit, and at face value, industry overall is better off through a reduction in “waste”. However, the net effect actually depends on what happens to those animals not entering the feedlot: if they simply go to some other enterprise, there may or may not be an overall industry benefit, depending on their impact on profit in that other enterprise – if for example they simply went to another feedlot with the same feeding regime and market, that feedlot would lose an amount per animal equivalent to the benefit obtained by the feedlot which rejected them; for no overall industry benefit. The cautious modelling here of the potential benefits of genomic screening to an uncertain extent accommodates this uncertainty: we are not inflating the potential overall value to industry.</w:t>
      </w:r>
    </w:p>
    <w:p w14:paraId="7C9FC5AF" w14:textId="171B38AA" w:rsidR="00DF224B" w:rsidRDefault="7FD325C3" w:rsidP="00C97EFC">
      <w:pPr>
        <w:pStyle w:val="ListParagraph"/>
        <w:ind w:left="0"/>
      </w:pPr>
      <w:proofErr w:type="gramStart"/>
      <w:r>
        <w:t>Extending this point, there</w:t>
      </w:r>
      <w:proofErr w:type="gramEnd"/>
      <w:r>
        <w:t xml:space="preserve"> is an industry benefit from reducing the waste arising from having animals being managed inappropriately for their genetic potential (in this simple example, animals entering a feedlot that will not be profitable there). Regardless of whether losses associated with such animals are considered as industry or private losses, they are losses incurred by the overall value chain, which accordingly reduce overall competitiveness (NB: economic theory says that benefits and costs incurred at any point in a value chain ultimately end up being shared according to the shares of economic value-added for each link in the chain, adjusted by the market power of different links). Ideally, animals would be </w:t>
      </w:r>
      <w:proofErr w:type="spellStart"/>
      <w:r>
        <w:t>genomically</w:t>
      </w:r>
      <w:proofErr w:type="spellEnd"/>
      <w:r>
        <w:t xml:space="preserve"> screened at birth or soon after using a highly accurate </w:t>
      </w:r>
      <w:proofErr w:type="gramStart"/>
      <w:r>
        <w:t>test, and</w:t>
      </w:r>
      <w:proofErr w:type="gramEnd"/>
      <w:r>
        <w:t xml:space="preserve"> would enter the value chain path for which they are most profitable – this would, by definition, minimise opportunity costs for all enterprises through the entire chain.</w:t>
      </w:r>
    </w:p>
    <w:p w14:paraId="35BA9409" w14:textId="77777777" w:rsidR="00C97EFC" w:rsidRDefault="00C97EFC" w:rsidP="00C97EFC">
      <w:pPr>
        <w:pStyle w:val="ListParagraph"/>
        <w:ind w:left="0"/>
      </w:pPr>
    </w:p>
    <w:p w14:paraId="143BC09C" w14:textId="1A182DCC" w:rsidR="00DF224B" w:rsidRDefault="7FD325C3" w:rsidP="005E6B01">
      <w:pPr>
        <w:spacing w:after="160" w:line="259" w:lineRule="auto"/>
      </w:pPr>
      <w:r>
        <w:lastRenderedPageBreak/>
        <w:t>The faster genetic progress benefit is similar to an annuity (</w:t>
      </w:r>
      <w:proofErr w:type="gramStart"/>
      <w:r w:rsidRPr="7FD325C3">
        <w:rPr>
          <w:i/>
          <w:iCs/>
        </w:rPr>
        <w:t>i.e.</w:t>
      </w:r>
      <w:proofErr w:type="gramEnd"/>
      <w:r>
        <w:t xml:space="preserve"> a benefit obtained every year, and to a large extent, without requiring particular management decisions). The benefits from genomic screening are more like “once-off” decision outcomes – once-off in the sense that the enterprise must </w:t>
      </w:r>
      <w:proofErr w:type="gramStart"/>
      <w:r>
        <w:t>make a decision</w:t>
      </w:r>
      <w:proofErr w:type="gramEnd"/>
      <w:r>
        <w:t xml:space="preserve"> to invest in a test, and act on the results. The tests could be applied every year, but they require that active decision each year.</w:t>
      </w:r>
    </w:p>
    <w:p w14:paraId="5358ED66" w14:textId="77777777" w:rsidR="00DF224B" w:rsidRDefault="00DF224B" w:rsidP="006975B0">
      <w:pPr>
        <w:spacing w:after="160" w:line="259" w:lineRule="auto"/>
      </w:pPr>
      <w:r>
        <w:t>Overall, this short discussion of the distribution of benefits from DNA technologies implemented around a traceability platform, suggests that:</w:t>
      </w:r>
    </w:p>
    <w:p w14:paraId="15983BE6" w14:textId="77777777" w:rsidR="00DF224B" w:rsidRDefault="00DF224B" w:rsidP="00374617">
      <w:pPr>
        <w:pStyle w:val="ListParagraph"/>
        <w:numPr>
          <w:ilvl w:val="2"/>
          <w:numId w:val="12"/>
        </w:numPr>
        <w:spacing w:after="160" w:line="259" w:lineRule="auto"/>
        <w:ind w:left="360"/>
      </w:pPr>
      <w:r>
        <w:t>Implementation costs are borne predominantly by individual enterprises</w:t>
      </w:r>
    </w:p>
    <w:p w14:paraId="576EA4AC" w14:textId="26C4A4D2" w:rsidR="00DF224B" w:rsidRDefault="00DF224B" w:rsidP="00374617">
      <w:pPr>
        <w:pStyle w:val="ListParagraph"/>
        <w:numPr>
          <w:ilvl w:val="2"/>
          <w:numId w:val="12"/>
        </w:numPr>
        <w:spacing w:after="160" w:line="259" w:lineRule="auto"/>
        <w:ind w:left="360"/>
      </w:pPr>
      <w:r>
        <w:t xml:space="preserve">Two forms of benefit – traceability and faster genetic progress – are essentially industry goods </w:t>
      </w:r>
      <w:proofErr w:type="gramStart"/>
      <w:r w:rsidR="006975B0" w:rsidRPr="0029504D">
        <w:rPr>
          <w:i/>
          <w:iCs/>
        </w:rPr>
        <w:t>i.e.</w:t>
      </w:r>
      <w:proofErr w:type="gramEnd"/>
      <w:r w:rsidR="006975B0" w:rsidRPr="0029504D">
        <w:rPr>
          <w:i/>
          <w:iCs/>
        </w:rPr>
        <w:t xml:space="preserve"> </w:t>
      </w:r>
      <w:r>
        <w:t xml:space="preserve">all, or virtually all, industry can benefit from them (they are what economists refer to as </w:t>
      </w:r>
      <w:r w:rsidRPr="0029504D">
        <w:rPr>
          <w:i/>
        </w:rPr>
        <w:t>club goods</w:t>
      </w:r>
      <w:r>
        <w:t>).</w:t>
      </w:r>
      <w:r w:rsidR="0029504D">
        <w:t xml:space="preserve">  </w:t>
      </w:r>
      <w:r>
        <w:t>Other potential benefits of this form are available, including for example more efficient (</w:t>
      </w:r>
      <w:proofErr w:type="gramStart"/>
      <w:r w:rsidR="006975B0" w:rsidRPr="0029504D">
        <w:rPr>
          <w:i/>
          <w:iCs/>
        </w:rPr>
        <w:t>i.e.</w:t>
      </w:r>
      <w:proofErr w:type="gramEnd"/>
      <w:r>
        <w:t xml:space="preserve"> better outcomes for the same investment) R&amp;D, but have not been modelled or estimated here.</w:t>
      </w:r>
    </w:p>
    <w:p w14:paraId="4AB04F13" w14:textId="77777777" w:rsidR="00DF224B" w:rsidRDefault="00DF224B" w:rsidP="00374617">
      <w:pPr>
        <w:pStyle w:val="ListParagraph"/>
        <w:numPr>
          <w:ilvl w:val="2"/>
          <w:numId w:val="12"/>
        </w:numPr>
        <w:spacing w:after="160" w:line="259" w:lineRule="auto"/>
        <w:ind w:left="360"/>
      </w:pPr>
      <w:r>
        <w:t xml:space="preserve">Other benefits, based on genomic screening, are much more private – the enterprise making the investment in the test obtains much or </w:t>
      </w:r>
      <w:proofErr w:type="gramStart"/>
      <w:r>
        <w:t>all of</w:t>
      </w:r>
      <w:proofErr w:type="gramEnd"/>
      <w:r>
        <w:t xml:space="preserve"> the benefit. There can be collateral industry benefits at the same time.</w:t>
      </w:r>
    </w:p>
    <w:p w14:paraId="68D657A7" w14:textId="77777777" w:rsidR="00DF224B" w:rsidRDefault="00DF224B" w:rsidP="00374617">
      <w:pPr>
        <w:pStyle w:val="ListParagraph"/>
        <w:numPr>
          <w:ilvl w:val="2"/>
          <w:numId w:val="12"/>
        </w:numPr>
        <w:spacing w:after="160" w:line="259" w:lineRule="auto"/>
        <w:ind w:left="360"/>
      </w:pPr>
      <w:r>
        <w:t>Overall, to obtain the potential benefits from improved traceability, these observations suggest that everything possible should be done to enhance potential for the ancillary benefits – thereby making the necessary or primary investment in genotyping more attractive to individual enterprises.</w:t>
      </w:r>
    </w:p>
    <w:p w14:paraId="01ED9403" w14:textId="01C6C6F6" w:rsidR="00DF224B" w:rsidRDefault="00DF224B" w:rsidP="00DF224B">
      <w:pPr>
        <w:pStyle w:val="ListParagraph"/>
        <w:rPr>
          <w:b/>
        </w:rPr>
      </w:pPr>
    </w:p>
    <w:p w14:paraId="1253F19D" w14:textId="193114A0" w:rsidR="00DF224B" w:rsidRDefault="002203A2" w:rsidP="002A45E4">
      <w:pPr>
        <w:pStyle w:val="Heading2"/>
      </w:pPr>
      <w:bookmarkStart w:id="196" w:name="_Toc95983431"/>
      <w:r>
        <w:t>R</w:t>
      </w:r>
      <w:r w:rsidR="00DF224B" w:rsidRPr="0029504D">
        <w:t>eplace existing system, or extend/enhance it?</w:t>
      </w:r>
      <w:bookmarkEnd w:id="196"/>
    </w:p>
    <w:p w14:paraId="48F98E93" w14:textId="77777777" w:rsidR="0029504D" w:rsidRPr="0029504D" w:rsidRDefault="0029504D" w:rsidP="0029504D"/>
    <w:p w14:paraId="3968C232" w14:textId="405C5561" w:rsidR="00DF224B" w:rsidRDefault="00DF224B" w:rsidP="00DF224B">
      <w:r w:rsidRPr="00AF2944">
        <w:t xml:space="preserve">On first tackling this project, </w:t>
      </w:r>
      <w:r w:rsidR="005052BB">
        <w:t>we</w:t>
      </w:r>
      <w:r w:rsidRPr="00AF2944">
        <w:t xml:space="preserve"> considered whether replacing the existing NLIS was an option.  It very rapidly became apparent that for traceability purposes, data on ownership and location of animals is essential. This means that if NLIS were replace</w:t>
      </w:r>
      <w:r w:rsidR="00D85319">
        <w:t>d</w:t>
      </w:r>
      <w:r w:rsidRPr="00AF2944">
        <w:t xml:space="preserve"> with a DNA-based system, elements of the current NLIS would have to be replicated</w:t>
      </w:r>
      <w:r w:rsidR="00D85319">
        <w:t xml:space="preserve"> or remain in place</w:t>
      </w:r>
      <w:r w:rsidRPr="00AF2944">
        <w:t>.</w:t>
      </w:r>
    </w:p>
    <w:p w14:paraId="3BB4B367" w14:textId="77777777" w:rsidR="005052BB" w:rsidRPr="00AF2944" w:rsidRDefault="005052BB" w:rsidP="00DF224B"/>
    <w:p w14:paraId="02EEBE73" w14:textId="0AF0EE15" w:rsidR="00DF224B" w:rsidRDefault="00DF224B" w:rsidP="00DF224B">
      <w:r w:rsidRPr="00AF2944">
        <w:t>Accordingly, the modelling and discussion here have only considered models of augmentation</w:t>
      </w:r>
      <w:r w:rsidR="005052BB">
        <w:t xml:space="preserve"> </w:t>
      </w:r>
      <w:proofErr w:type="gramStart"/>
      <w:r w:rsidR="005052BB">
        <w:rPr>
          <w:i/>
          <w:iCs/>
        </w:rPr>
        <w:t>i.e.</w:t>
      </w:r>
      <w:proofErr w:type="gramEnd"/>
      <w:r w:rsidRPr="00AF2944">
        <w:t xml:space="preserve"> where DNA capability and services are added to the existing NLIS platform.</w:t>
      </w:r>
    </w:p>
    <w:p w14:paraId="57EA58B2" w14:textId="77777777" w:rsidR="002203A2" w:rsidRPr="00AF2944" w:rsidRDefault="002203A2" w:rsidP="00DF224B"/>
    <w:p w14:paraId="1C0D03CB" w14:textId="638C378F" w:rsidR="00DF224B" w:rsidRDefault="002203A2" w:rsidP="002A45E4">
      <w:pPr>
        <w:pStyle w:val="Heading2"/>
      </w:pPr>
      <w:bookmarkStart w:id="197" w:name="_Toc95983432"/>
      <w:r w:rsidRPr="002203A2">
        <w:t>N</w:t>
      </w:r>
      <w:r w:rsidR="00DF224B" w:rsidRPr="002203A2">
        <w:t>ational governance and data rights</w:t>
      </w:r>
      <w:bookmarkEnd w:id="197"/>
    </w:p>
    <w:p w14:paraId="153C51ED" w14:textId="77777777" w:rsidR="0034714D" w:rsidRPr="0034714D" w:rsidRDefault="0034714D" w:rsidP="0034714D"/>
    <w:p w14:paraId="3A573733" w14:textId="0F1DD4EB" w:rsidR="00DF224B" w:rsidRDefault="00DF224B" w:rsidP="00DF224B">
      <w:r>
        <w:t>It is outside the direct scope of this project to develop or define governance model(s) for an expanded NLIS, but some brief comments can be provided (these draw on</w:t>
      </w:r>
      <w:r w:rsidR="004E4006">
        <w:t xml:space="preserve"> earlier</w:t>
      </w:r>
      <w:r>
        <w:t xml:space="preserve"> points </w:t>
      </w:r>
      <w:r w:rsidR="004E4006">
        <w:t xml:space="preserve">made in </w:t>
      </w:r>
      <w:r>
        <w:t>this section).</w:t>
      </w:r>
    </w:p>
    <w:p w14:paraId="49B9AD64" w14:textId="77777777" w:rsidR="0034714D" w:rsidRDefault="0034714D" w:rsidP="00DF224B"/>
    <w:p w14:paraId="3EED6FB3" w14:textId="42552CFC" w:rsidR="00DF224B" w:rsidRDefault="00DF224B" w:rsidP="00DF224B">
      <w:r>
        <w:t>Industry decisions around expansion of NLIS to incorporate DNA capability fall into two broad categories:</w:t>
      </w:r>
    </w:p>
    <w:p w14:paraId="58ABA7EC" w14:textId="77777777" w:rsidR="00F53927" w:rsidRDefault="00F53927" w:rsidP="00DF224B"/>
    <w:p w14:paraId="35E30D81" w14:textId="79FF21D5" w:rsidR="00DF224B" w:rsidRDefault="00DF224B" w:rsidP="00374617">
      <w:pPr>
        <w:pStyle w:val="ListParagraph"/>
        <w:numPr>
          <w:ilvl w:val="0"/>
          <w:numId w:val="22"/>
        </w:numPr>
        <w:spacing w:after="160" w:line="259" w:lineRule="auto"/>
      </w:pPr>
      <w:r w:rsidRPr="00F53927">
        <w:rPr>
          <w:i/>
          <w:iCs/>
          <w:color w:val="0070C0"/>
        </w:rPr>
        <w:t>Core infrastructure</w:t>
      </w:r>
      <w:r>
        <w:t xml:space="preserve"> </w:t>
      </w:r>
      <w:r w:rsidR="00F53927">
        <w:t>B</w:t>
      </w:r>
      <w:r>
        <w:t>uilding database and analytic capability to support an expanded NLIS is relatively straightforward in investment terms, in that it does not require a suite of new relationships to be established. The complexity here arises from the fact that the justification for making the investment depends on one’s view of the likelihood that su</w:t>
      </w:r>
      <w:r w:rsidR="00870870">
        <w:t>ch a system</w:t>
      </w:r>
      <w:r>
        <w:t xml:space="preserve"> will in fact be established, because most of the upside required to drive adoption of DNA to enhance traceability, depends on those relationships.</w:t>
      </w:r>
    </w:p>
    <w:p w14:paraId="4BC1E762" w14:textId="77777777" w:rsidR="007232CF" w:rsidRDefault="007232CF" w:rsidP="007232CF">
      <w:pPr>
        <w:pStyle w:val="ListParagraph"/>
        <w:spacing w:after="160" w:line="259" w:lineRule="auto"/>
        <w:ind w:left="360"/>
      </w:pPr>
    </w:p>
    <w:p w14:paraId="5EA7A047" w14:textId="104C1910" w:rsidR="00DF224B" w:rsidRDefault="00DF224B" w:rsidP="00374617">
      <w:pPr>
        <w:pStyle w:val="ListParagraph"/>
        <w:numPr>
          <w:ilvl w:val="0"/>
          <w:numId w:val="22"/>
        </w:numPr>
        <w:spacing w:after="160" w:line="259" w:lineRule="auto"/>
      </w:pPr>
      <w:r w:rsidRPr="000D50F7">
        <w:rPr>
          <w:i/>
          <w:iCs/>
          <w:color w:val="0070C0"/>
        </w:rPr>
        <w:lastRenderedPageBreak/>
        <w:t>Data relationships</w:t>
      </w:r>
      <w:r w:rsidR="00F53927" w:rsidRPr="000D50F7">
        <w:rPr>
          <w:i/>
          <w:iCs/>
          <w:color w:val="0070C0"/>
        </w:rPr>
        <w:t xml:space="preserve">.  </w:t>
      </w:r>
      <w:r w:rsidR="00F53927" w:rsidRPr="00F53927">
        <w:t>T</w:t>
      </w:r>
      <w:r>
        <w:t>hese are critical to a feasible implementation model (</w:t>
      </w:r>
      <w:proofErr w:type="spellStart"/>
      <w:proofErr w:type="gramStart"/>
      <w:r>
        <w:t>ie</w:t>
      </w:r>
      <w:proofErr w:type="spellEnd"/>
      <w:proofErr w:type="gramEnd"/>
      <w:r>
        <w:t xml:space="preserve"> one where industry players will invest in genotyping at a scale that adds traceability benefits), but will require a new era of relationships amongst organisations such as MLA, breed societies, feedlots, processors, and wider, state veterinary departments, pharmaceutical and genotyping companies, Animal Health Australia </w:t>
      </w:r>
      <w:r w:rsidRPr="000D50F7">
        <w:rPr>
          <w:i/>
          <w:iCs/>
        </w:rPr>
        <w:t>etc</w:t>
      </w:r>
      <w:r>
        <w:t>.</w:t>
      </w:r>
      <w:r w:rsidR="000D50F7">
        <w:t xml:space="preserve"> </w:t>
      </w:r>
      <w:r>
        <w:t>The basic principles are relatively simple:</w:t>
      </w:r>
    </w:p>
    <w:p w14:paraId="5FBCAFD7" w14:textId="601A29CD" w:rsidR="00DF224B" w:rsidRDefault="000D50F7" w:rsidP="006F380F">
      <w:pPr>
        <w:spacing w:after="160" w:line="259" w:lineRule="auto"/>
        <w:ind w:left="360"/>
      </w:pPr>
      <w:r>
        <w:t>-</w:t>
      </w:r>
      <w:r w:rsidR="00DF224B">
        <w:t>Shared protocols for data transfer</w:t>
      </w:r>
    </w:p>
    <w:p w14:paraId="64B2A218" w14:textId="4D81E892" w:rsidR="00DF224B" w:rsidRDefault="000D50F7" w:rsidP="006F380F">
      <w:pPr>
        <w:spacing w:after="160" w:line="259" w:lineRule="auto"/>
        <w:ind w:left="360"/>
      </w:pPr>
      <w:r>
        <w:t xml:space="preserve">- </w:t>
      </w:r>
      <w:r w:rsidR="00DF224B">
        <w:t>Agreed protocols for data access, almost certainly involving some form of payment, or at least preferential access to services in return for use of data.</w:t>
      </w:r>
    </w:p>
    <w:p w14:paraId="35F9010A" w14:textId="68325E74" w:rsidR="00DF224B" w:rsidRDefault="00DF224B" w:rsidP="006F380F">
      <w:pPr>
        <w:ind w:left="360"/>
      </w:pPr>
      <w:r>
        <w:t xml:space="preserve">Because this is not a </w:t>
      </w:r>
      <w:r w:rsidR="006F380F">
        <w:t>“</w:t>
      </w:r>
      <w:r>
        <w:t>green-field</w:t>
      </w:r>
      <w:r w:rsidR="006F380F">
        <w:t>”</w:t>
      </w:r>
      <w:r>
        <w:t xml:space="preserve"> space, developing a strategy for this aspect of implementation is likely to require its own project investment, including considerable consultation.</w:t>
      </w:r>
      <w:r w:rsidR="006F380F">
        <w:t xml:space="preserve">  </w:t>
      </w:r>
      <w:r>
        <w:t>The potential degree of difficulty around data relationships may initially deter industry from tackling it</w:t>
      </w:r>
      <w:r w:rsidR="006F380F">
        <w:t>. H</w:t>
      </w:r>
      <w:r>
        <w:t>owever, in our view this virtually guarantees considerable problems of fragmentation, opportunity cost (including for example, faster genetic progress not achieved), and duplication.</w:t>
      </w:r>
    </w:p>
    <w:p w14:paraId="13FE3F0E" w14:textId="77777777" w:rsidR="006F380F" w:rsidRDefault="006F380F" w:rsidP="00DF224B">
      <w:pPr>
        <w:ind w:left="720"/>
      </w:pPr>
    </w:p>
    <w:p w14:paraId="2CA99CA0" w14:textId="6F5E6965" w:rsidR="00DF224B" w:rsidRPr="000A7E18" w:rsidRDefault="00DF224B" w:rsidP="000A7E18">
      <w:pPr>
        <w:ind w:left="360"/>
        <w:rPr>
          <w:b/>
          <w:bCs/>
          <w:i/>
          <w:iCs/>
        </w:rPr>
      </w:pPr>
      <w:proofErr w:type="gramStart"/>
      <w:r w:rsidRPr="000A7E18">
        <w:rPr>
          <w:b/>
          <w:bCs/>
          <w:i/>
          <w:iCs/>
        </w:rPr>
        <w:t>In reality, a</w:t>
      </w:r>
      <w:proofErr w:type="gramEnd"/>
      <w:r w:rsidRPr="000A7E18">
        <w:rPr>
          <w:b/>
          <w:bCs/>
          <w:i/>
          <w:iCs/>
        </w:rPr>
        <w:t xml:space="preserve"> more practical perspective is to assume that DNA will and should be part of the traceability system, and so a range of options to start towards such a system should be identified and trialled – and recognising that this is a decade-long process.</w:t>
      </w:r>
    </w:p>
    <w:p w14:paraId="2A858217" w14:textId="77777777" w:rsidR="00F66A08" w:rsidRDefault="00F66A08" w:rsidP="00DF224B">
      <w:pPr>
        <w:ind w:left="720"/>
      </w:pPr>
    </w:p>
    <w:p w14:paraId="05021115" w14:textId="7A0DAEFD" w:rsidR="00DF224B" w:rsidRDefault="00DF224B" w:rsidP="00726AA3">
      <w:pPr>
        <w:pStyle w:val="Heading2"/>
      </w:pPr>
      <w:bookmarkStart w:id="198" w:name="_Toc95983433"/>
      <w:r>
        <w:t xml:space="preserve">Catalytic </w:t>
      </w:r>
      <w:r w:rsidR="007232CF">
        <w:t>or transformative opportunities</w:t>
      </w:r>
      <w:bookmarkEnd w:id="198"/>
    </w:p>
    <w:p w14:paraId="5DAD7C1E" w14:textId="77777777" w:rsidR="00726AA3" w:rsidRPr="00726AA3" w:rsidRDefault="00726AA3" w:rsidP="00726AA3"/>
    <w:p w14:paraId="3B560A00" w14:textId="26B3149F" w:rsidR="00DF224B" w:rsidRDefault="00DF224B" w:rsidP="00DF224B">
      <w:r w:rsidRPr="00620E5B">
        <w:t>The following points have been touched on already, but are worth repeating:</w:t>
      </w:r>
    </w:p>
    <w:p w14:paraId="3F2AE371" w14:textId="77777777" w:rsidR="00726AA3" w:rsidRPr="00620E5B" w:rsidRDefault="00726AA3" w:rsidP="00DF224B"/>
    <w:p w14:paraId="6ECA84C1" w14:textId="2826905B" w:rsidR="00DF224B" w:rsidRDefault="00DF224B" w:rsidP="00374617">
      <w:pPr>
        <w:pStyle w:val="ListParagraph"/>
        <w:numPr>
          <w:ilvl w:val="0"/>
          <w:numId w:val="23"/>
        </w:numPr>
        <w:spacing w:after="160" w:line="259" w:lineRule="auto"/>
      </w:pPr>
      <w:r w:rsidRPr="00620E5B">
        <w:t xml:space="preserve">While DNA can enhance traceability, it is the opportunity to extend traceability and simultaneously build new information services on the NLIS platform that </w:t>
      </w:r>
      <w:r w:rsidR="003A563D">
        <w:t xml:space="preserve">is potentially </w:t>
      </w:r>
      <w:r w:rsidR="00D516FF">
        <w:t>transformative both across and through value chains</w:t>
      </w:r>
    </w:p>
    <w:p w14:paraId="00D29F7B" w14:textId="77777777" w:rsidR="00726AA3" w:rsidRDefault="00726AA3" w:rsidP="00726AA3">
      <w:pPr>
        <w:pStyle w:val="ListParagraph"/>
        <w:spacing w:after="160" w:line="259" w:lineRule="auto"/>
        <w:ind w:left="360"/>
      </w:pPr>
    </w:p>
    <w:p w14:paraId="6A53C963" w14:textId="5153488B" w:rsidR="00DF224B" w:rsidRPr="00620E5B" w:rsidRDefault="00DF224B" w:rsidP="00374617">
      <w:pPr>
        <w:pStyle w:val="ListParagraph"/>
        <w:numPr>
          <w:ilvl w:val="0"/>
          <w:numId w:val="23"/>
        </w:numPr>
        <w:spacing w:after="160" w:line="259" w:lineRule="auto"/>
      </w:pPr>
      <w:r w:rsidRPr="00620E5B">
        <w:t xml:space="preserve">The non-traceability opportunities are </w:t>
      </w:r>
      <w:r w:rsidR="009362B5" w:rsidRPr="00701406">
        <w:t>extremely</w:t>
      </w:r>
      <w:r w:rsidRPr="00620E5B">
        <w:t xml:space="preserve"> significant:</w:t>
      </w:r>
    </w:p>
    <w:p w14:paraId="2B61BCBF" w14:textId="7CE2F25A" w:rsidR="00DF224B" w:rsidRPr="00620E5B" w:rsidRDefault="00DF224B" w:rsidP="00F92F3D">
      <w:pPr>
        <w:pStyle w:val="ListParagraph"/>
        <w:numPr>
          <w:ilvl w:val="1"/>
          <w:numId w:val="23"/>
        </w:numPr>
        <w:spacing w:after="160" w:line="259" w:lineRule="auto"/>
        <w:ind w:left="709" w:hanging="283"/>
      </w:pPr>
      <w:r w:rsidRPr="00620E5B">
        <w:t>Taking</w:t>
      </w:r>
      <w:r w:rsidR="00B918FB">
        <w:t xml:space="preserve"> genetic evalu</w:t>
      </w:r>
      <w:r w:rsidR="00EC2302">
        <w:t>a</w:t>
      </w:r>
      <w:r w:rsidR="00B918FB">
        <w:t xml:space="preserve">tion </w:t>
      </w:r>
      <w:r w:rsidRPr="00620E5B">
        <w:t>to effectively 100% coverage of seedstock and commercial animals</w:t>
      </w:r>
    </w:p>
    <w:p w14:paraId="5F92C6CC" w14:textId="77777777" w:rsidR="00DF224B" w:rsidRPr="00620E5B" w:rsidRDefault="00DF224B" w:rsidP="00F92F3D">
      <w:pPr>
        <w:pStyle w:val="ListParagraph"/>
        <w:numPr>
          <w:ilvl w:val="1"/>
          <w:numId w:val="23"/>
        </w:numPr>
        <w:spacing w:after="160" w:line="259" w:lineRule="auto"/>
        <w:ind w:left="709" w:hanging="283"/>
      </w:pPr>
      <w:r w:rsidRPr="00620E5B">
        <w:t>Reducing waste (cost) arising from misalignment of animals with feeding-marketing pathways</w:t>
      </w:r>
    </w:p>
    <w:p w14:paraId="1CE17107" w14:textId="6166B6BC" w:rsidR="00DF224B" w:rsidRPr="00620E5B" w:rsidRDefault="00DF224B" w:rsidP="00F92F3D">
      <w:pPr>
        <w:pStyle w:val="ListParagraph"/>
        <w:numPr>
          <w:ilvl w:val="1"/>
          <w:numId w:val="23"/>
        </w:numPr>
        <w:spacing w:after="160" w:line="259" w:lineRule="auto"/>
        <w:ind w:left="709" w:hanging="283"/>
      </w:pPr>
      <w:r w:rsidRPr="00620E5B">
        <w:t xml:space="preserve">Underpinning MSA with genomic prediction and integrating it with </w:t>
      </w:r>
      <w:r w:rsidR="00D07010">
        <w:t xml:space="preserve">genetic </w:t>
      </w:r>
      <w:r w:rsidR="00EC2302">
        <w:t>evaluation</w:t>
      </w:r>
      <w:r w:rsidR="00D07010">
        <w:t xml:space="preserve"> (</w:t>
      </w:r>
      <w:proofErr w:type="gramStart"/>
      <w:r w:rsidR="00EC2302" w:rsidRPr="00EC2302">
        <w:rPr>
          <w:i/>
          <w:iCs/>
        </w:rPr>
        <w:t>e.g</w:t>
      </w:r>
      <w:r w:rsidR="00EC2302">
        <w:t>.</w:t>
      </w:r>
      <w:proofErr w:type="gramEnd"/>
      <w:r w:rsidR="00EC2302">
        <w:t xml:space="preserve"> </w:t>
      </w:r>
      <w:r w:rsidRPr="00620E5B">
        <w:t>BREEDPLAN</w:t>
      </w:r>
      <w:r w:rsidR="00D07010">
        <w:t>)</w:t>
      </w:r>
      <w:r w:rsidR="00192DDB">
        <w:t xml:space="preserve"> </w:t>
      </w:r>
      <w:r w:rsidRPr="00620E5B">
        <w:t>through the ID-genotype link</w:t>
      </w:r>
    </w:p>
    <w:p w14:paraId="0FB9E91F" w14:textId="77777777" w:rsidR="00DF224B" w:rsidRPr="00620E5B" w:rsidRDefault="00DF224B" w:rsidP="00F92F3D">
      <w:pPr>
        <w:pStyle w:val="ListParagraph"/>
        <w:numPr>
          <w:ilvl w:val="1"/>
          <w:numId w:val="23"/>
        </w:numPr>
        <w:spacing w:after="160" w:line="259" w:lineRule="auto"/>
        <w:ind w:left="709" w:hanging="283"/>
      </w:pPr>
      <w:r w:rsidRPr="00620E5B">
        <w:t>Establishing a data platform for R&amp;D in animal health, and likely for much broader information service innovation</w:t>
      </w:r>
    </w:p>
    <w:p w14:paraId="6A30F9FD" w14:textId="77777777" w:rsidR="00DF224B" w:rsidRPr="00620E5B" w:rsidRDefault="00DF224B" w:rsidP="00F92F3D">
      <w:pPr>
        <w:pStyle w:val="ListParagraph"/>
        <w:numPr>
          <w:ilvl w:val="1"/>
          <w:numId w:val="23"/>
        </w:numPr>
        <w:spacing w:after="160" w:line="259" w:lineRule="auto"/>
        <w:ind w:left="709" w:hanging="283"/>
      </w:pPr>
      <w:r w:rsidRPr="00620E5B">
        <w:t>Opening a door for closer collaboration with the dairy industry, which could touch not just NLIS but also the genetic improvement and R&amp;D systems. Integration of databases for genetic and genomic analysis would, for example, be an obvious opportunity to consider</w:t>
      </w:r>
    </w:p>
    <w:p w14:paraId="192B1B61" w14:textId="7AEED346" w:rsidR="006A60FF" w:rsidRDefault="006A60FF" w:rsidP="00E7660F">
      <w:pPr>
        <w:pStyle w:val="Heading1"/>
      </w:pPr>
      <w:bookmarkStart w:id="199" w:name="_Toc95983434"/>
      <w:bookmarkStart w:id="200" w:name="_Hlk95556573"/>
      <w:r w:rsidRPr="00316081">
        <w:lastRenderedPageBreak/>
        <w:t>Implementation pathway</w:t>
      </w:r>
      <w:bookmarkEnd w:id="199"/>
    </w:p>
    <w:p w14:paraId="372C2741" w14:textId="33EAC826" w:rsidR="002E0AA2" w:rsidRDefault="002E0AA2" w:rsidP="002E0AA2"/>
    <w:bookmarkEnd w:id="131"/>
    <w:bookmarkEnd w:id="200"/>
    <w:p w14:paraId="6117117A" w14:textId="77777777" w:rsidR="009B1FDD" w:rsidRDefault="009B1FDD" w:rsidP="009B1FDD">
      <w:r>
        <w:t>This study strongly suggests that there is a clear role for using genomic technology in some form to aid lifetime traceability, if for no other reason than that the additional opportunities are substantial. However, the major issues and hurdles appear to be that:</w:t>
      </w:r>
    </w:p>
    <w:p w14:paraId="4D065F45" w14:textId="77777777" w:rsidR="009B1FDD" w:rsidRDefault="009B1FDD" w:rsidP="009B1FDD"/>
    <w:p w14:paraId="0881ADC4" w14:textId="77777777" w:rsidR="009B1FDD" w:rsidRDefault="009B1FDD" w:rsidP="009B1FDD">
      <w:pPr>
        <w:pStyle w:val="ListParagraph"/>
        <w:numPr>
          <w:ilvl w:val="0"/>
          <w:numId w:val="24"/>
        </w:numPr>
        <w:ind w:left="360"/>
      </w:pPr>
      <w:r>
        <w:t>Calculations to assign a dollar value to an increase in traceability rely heavily on previous work that was used to evaluate MLA’s investments in ISC, principally Dwyer and Clarke (2015).   Although that study remains highly relevant, the workings underpinning its model are not entirely transparent.</w:t>
      </w:r>
    </w:p>
    <w:p w14:paraId="71F3E78E" w14:textId="77777777" w:rsidR="009B1FDD" w:rsidRDefault="009B1FDD" w:rsidP="009B1FDD"/>
    <w:p w14:paraId="35072AFF" w14:textId="77777777" w:rsidR="009B1FDD" w:rsidRDefault="009B1FDD" w:rsidP="009B1FDD">
      <w:pPr>
        <w:pStyle w:val="ListParagraph"/>
        <w:numPr>
          <w:ilvl w:val="0"/>
          <w:numId w:val="24"/>
        </w:numPr>
        <w:ind w:left="360"/>
      </w:pPr>
      <w:r>
        <w:t>Mandating DNA collection across the entire production sector is not realistic and unlikely to be palatable to industry at current genotyping prices, even in beef cattle.</w:t>
      </w:r>
    </w:p>
    <w:p w14:paraId="6F094E94" w14:textId="77777777" w:rsidR="009B1FDD" w:rsidRDefault="009B1FDD" w:rsidP="009B1FDD"/>
    <w:p w14:paraId="53186AB7" w14:textId="77777777" w:rsidR="009B1FDD" w:rsidRDefault="009B1FDD" w:rsidP="009B1FDD">
      <w:pPr>
        <w:pStyle w:val="ListParagraph"/>
        <w:numPr>
          <w:ilvl w:val="0"/>
          <w:numId w:val="24"/>
        </w:numPr>
        <w:ind w:left="360"/>
      </w:pPr>
      <w:r>
        <w:t xml:space="preserve">The infrastructure requirements are significant.  Creating a large DNA database is feasible but the establishment and maintenance costs are not trivial. Who owns and manages that data is a key barrier that was highlighted by numerous </w:t>
      </w:r>
      <w:proofErr w:type="gramStart"/>
      <w:r>
        <w:t>stakeholders.</w:t>
      </w:r>
      <w:proofErr w:type="gramEnd"/>
    </w:p>
    <w:p w14:paraId="6AC2DE7F" w14:textId="77777777" w:rsidR="009B1FDD" w:rsidRDefault="009B1FDD" w:rsidP="009B1FDD"/>
    <w:p w14:paraId="50DE9D2E" w14:textId="77777777" w:rsidR="009B1FDD" w:rsidRDefault="009B1FDD" w:rsidP="009B1FDD">
      <w:pPr>
        <w:pStyle w:val="ListParagraph"/>
        <w:numPr>
          <w:ilvl w:val="0"/>
          <w:numId w:val="24"/>
        </w:numPr>
        <w:ind w:left="360"/>
      </w:pPr>
      <w:r>
        <w:t>Linkages with other databases (</w:t>
      </w:r>
      <w:proofErr w:type="gramStart"/>
      <w:r w:rsidRPr="009E452F">
        <w:rPr>
          <w:i/>
          <w:iCs/>
        </w:rPr>
        <w:t>e.g</w:t>
      </w:r>
      <w:r>
        <w:t>.</w:t>
      </w:r>
      <w:proofErr w:type="gramEnd"/>
      <w:r>
        <w:t xml:space="preserve"> MSA, BREEDPLAN, Sheep Genetics or chemical reference data such as </w:t>
      </w:r>
      <w:proofErr w:type="spellStart"/>
      <w:r>
        <w:t>Oritain</w:t>
      </w:r>
      <w:proofErr w:type="spellEnd"/>
      <w:r>
        <w:t xml:space="preserve">) would involve serious issues to be resolved around access, data security, confidentiality, </w:t>
      </w:r>
      <w:r w:rsidRPr="00704005">
        <w:rPr>
          <w:i/>
          <w:iCs/>
        </w:rPr>
        <w:t>etc</w:t>
      </w:r>
      <w:r>
        <w:t xml:space="preserve">.  </w:t>
      </w:r>
    </w:p>
    <w:p w14:paraId="0740CEE6" w14:textId="77777777" w:rsidR="009B1FDD" w:rsidRDefault="009B1FDD" w:rsidP="009B1FDD"/>
    <w:p w14:paraId="5C4DF138" w14:textId="77777777" w:rsidR="009B1FDD" w:rsidRPr="00713929" w:rsidRDefault="009B1FDD" w:rsidP="009B1FDD">
      <w:pPr>
        <w:tabs>
          <w:tab w:val="num" w:pos="720"/>
        </w:tabs>
        <w:rPr>
          <w:b/>
          <w:bCs/>
        </w:rPr>
      </w:pPr>
      <w:r>
        <w:t xml:space="preserve">Genomic technologies are becoming increasingly adopted by industry for use in a range of applications including livestock evaluation, disease detection, pathway decisions, product specification and proof of provenance. </w:t>
      </w:r>
      <w:r w:rsidRPr="00713929">
        <w:rPr>
          <w:b/>
          <w:bCs/>
        </w:rPr>
        <w:t>There is some urgency to be proactive in coordinating related activities – the longer the delay, the greater the costs and difficulties arising from fragmentation that will inevitably occur if nothing is done.</w:t>
      </w:r>
    </w:p>
    <w:p w14:paraId="352BDCDE" w14:textId="77777777" w:rsidR="009B1FDD" w:rsidRDefault="009B1FDD" w:rsidP="009B1FDD"/>
    <w:p w14:paraId="6EC4FD39" w14:textId="77777777" w:rsidR="009B1FDD" w:rsidRDefault="009B1FDD" w:rsidP="009B1FDD">
      <w:pPr>
        <w:pStyle w:val="Heading2"/>
        <w:rPr>
          <w:b w:val="0"/>
          <w:bCs/>
        </w:rPr>
      </w:pPr>
      <w:bookmarkStart w:id="201" w:name="_Toc95983435"/>
      <w:r w:rsidRPr="002C6C8D">
        <w:rPr>
          <w:bCs/>
        </w:rPr>
        <w:t>Recommendation</w:t>
      </w:r>
      <w:bookmarkEnd w:id="201"/>
    </w:p>
    <w:p w14:paraId="163365FA" w14:textId="77777777" w:rsidR="009B1FDD" w:rsidRPr="009E452F" w:rsidRDefault="009B1FDD" w:rsidP="009B1FDD"/>
    <w:p w14:paraId="4CDBDB72" w14:textId="565CCF43" w:rsidR="009B1FDD" w:rsidRDefault="009B1FDD" w:rsidP="009B1FDD">
      <w:r>
        <w:t xml:space="preserve">It is recommended that a program of work with a series of stop/go decision points is </w:t>
      </w:r>
      <w:r w:rsidR="00486325">
        <w:t xml:space="preserve">initiated, </w:t>
      </w:r>
      <w:proofErr w:type="gramStart"/>
      <w:r>
        <w:t>coordinated</w:t>
      </w:r>
      <w:proofErr w:type="gramEnd"/>
      <w:r>
        <w:t xml:space="preserve"> and overseen by a small, appropriately qualified steering group.  This should be </w:t>
      </w:r>
      <w:r w:rsidR="00486325">
        <w:t>commenced</w:t>
      </w:r>
      <w:r>
        <w:t xml:space="preserve"> as soon as possible, with the following objectives:</w:t>
      </w:r>
    </w:p>
    <w:p w14:paraId="297E8406" w14:textId="77777777" w:rsidR="009B1FDD" w:rsidRDefault="009B1FDD" w:rsidP="009B1FDD">
      <w:pPr>
        <w:pStyle w:val="ListParagraph"/>
        <w:numPr>
          <w:ilvl w:val="0"/>
          <w:numId w:val="46"/>
        </w:numPr>
      </w:pPr>
      <w:r>
        <w:t xml:space="preserve">Verify that DNA technologies can achieve the degree of traceability assumed in our modelling, using </w:t>
      </w:r>
      <w:r>
        <w:rPr>
          <w:i/>
          <w:iCs/>
        </w:rPr>
        <w:t xml:space="preserve">in silico </w:t>
      </w:r>
      <w:r>
        <w:t>analyses, which in turn requires that:</w:t>
      </w:r>
    </w:p>
    <w:p w14:paraId="759BAB53" w14:textId="48BAA900" w:rsidR="009B1FDD" w:rsidRDefault="0083720C" w:rsidP="009B1FDD">
      <w:pPr>
        <w:pStyle w:val="ListParagraph"/>
        <w:numPr>
          <w:ilvl w:val="1"/>
          <w:numId w:val="46"/>
        </w:numPr>
      </w:pPr>
      <w:r>
        <w:t xml:space="preserve">An appropriate </w:t>
      </w:r>
      <w:r w:rsidR="009B1FDD">
        <w:t>experiment</w:t>
      </w:r>
      <w:r w:rsidR="00BF4565">
        <w:t xml:space="preserve">al </w:t>
      </w:r>
      <w:r w:rsidR="009B1FDD">
        <w:t xml:space="preserve">design </w:t>
      </w:r>
      <w:r w:rsidR="008550F5">
        <w:t>identified</w:t>
      </w:r>
    </w:p>
    <w:p w14:paraId="7008847D" w14:textId="77777777" w:rsidR="009B1FDD" w:rsidRDefault="009B1FDD" w:rsidP="009B1FDD">
      <w:pPr>
        <w:pStyle w:val="ListParagraph"/>
        <w:numPr>
          <w:ilvl w:val="1"/>
          <w:numId w:val="46"/>
        </w:numPr>
      </w:pPr>
      <w:r>
        <w:t>agreements are in place to access the necessary data</w:t>
      </w:r>
    </w:p>
    <w:p w14:paraId="11CF9AA3" w14:textId="77777777" w:rsidR="009B1FDD" w:rsidRDefault="009B1FDD" w:rsidP="009B1FDD">
      <w:pPr>
        <w:pStyle w:val="ListParagraph"/>
        <w:numPr>
          <w:ilvl w:val="1"/>
          <w:numId w:val="46"/>
        </w:numPr>
      </w:pPr>
      <w:r>
        <w:t>appropriate genotypic data already exists to provide sufficient statistical power; and if not identify:</w:t>
      </w:r>
    </w:p>
    <w:p w14:paraId="646C0FFE" w14:textId="77777777" w:rsidR="009B1FDD" w:rsidRDefault="009B1FDD" w:rsidP="000131FA">
      <w:pPr>
        <w:pStyle w:val="ListParagraph"/>
        <w:numPr>
          <w:ilvl w:val="2"/>
          <w:numId w:val="46"/>
        </w:numPr>
      </w:pPr>
      <w:r>
        <w:t xml:space="preserve">suitable criteria for additional sampling with a focus on ensuring that maximum value can be extracted from extra expenditure; and </w:t>
      </w:r>
    </w:p>
    <w:p w14:paraId="20AE66A1" w14:textId="77777777" w:rsidR="009B1FDD" w:rsidRDefault="009B1FDD" w:rsidP="000131FA">
      <w:pPr>
        <w:pStyle w:val="ListParagraph"/>
        <w:numPr>
          <w:ilvl w:val="2"/>
          <w:numId w:val="46"/>
        </w:numPr>
      </w:pPr>
      <w:r>
        <w:t xml:space="preserve">an appropriate funding source is identified including the possibility of collaborating co-investors  </w:t>
      </w:r>
    </w:p>
    <w:p w14:paraId="5DA402C8" w14:textId="64A13A58" w:rsidR="009B1FDD" w:rsidRDefault="009B1FDD" w:rsidP="009B1FDD">
      <w:pPr>
        <w:pStyle w:val="ListParagraph"/>
        <w:numPr>
          <w:ilvl w:val="0"/>
          <w:numId w:val="46"/>
        </w:numPr>
      </w:pPr>
      <w:r>
        <w:t xml:space="preserve">Ensure that </w:t>
      </w:r>
      <w:r w:rsidR="0083720C">
        <w:t>relevant</w:t>
      </w:r>
      <w:r>
        <w:t xml:space="preserve"> agreements are feasible if ongoing data access to industry data is required for incorporation of genomic information into the national traceability system (NLIS)</w:t>
      </w:r>
    </w:p>
    <w:p w14:paraId="780B99C1" w14:textId="77777777" w:rsidR="009B1FDD" w:rsidRDefault="009B1FDD" w:rsidP="009B1FDD">
      <w:pPr>
        <w:pStyle w:val="ListParagraph"/>
        <w:numPr>
          <w:ilvl w:val="0"/>
          <w:numId w:val="46"/>
        </w:numPr>
      </w:pPr>
      <w:r>
        <w:t xml:space="preserve">Evaluate the feasibility of partial sampling strategies including those outlined in this report, such as sire-only, male (or female) only, flock (or herd) profile </w:t>
      </w:r>
      <w:r w:rsidRPr="007352DB">
        <w:rPr>
          <w:i/>
          <w:iCs/>
        </w:rPr>
        <w:t>etc</w:t>
      </w:r>
      <w:r>
        <w:t>., taking account of whether (and how) additional information might be used to increase the power of existing genomic reference populations</w:t>
      </w:r>
    </w:p>
    <w:p w14:paraId="70167EEA" w14:textId="77777777" w:rsidR="009B1FDD" w:rsidRDefault="009B1FDD" w:rsidP="009B1FDD">
      <w:pPr>
        <w:pStyle w:val="ListParagraph"/>
        <w:numPr>
          <w:ilvl w:val="0"/>
          <w:numId w:val="46"/>
        </w:numPr>
      </w:pPr>
      <w:r>
        <w:lastRenderedPageBreak/>
        <w:t>Better scope requirements for a national DNA database and matching algorithms, which can be integrated with the existing NLIS database. This should include proposed rules for data ownership, access, use and confidentiality.</w:t>
      </w:r>
    </w:p>
    <w:p w14:paraId="2A0FD650" w14:textId="77777777" w:rsidR="009B1FDD" w:rsidRDefault="009B1FDD" w:rsidP="009B1FDD">
      <w:pPr>
        <w:pStyle w:val="ListParagraph"/>
        <w:numPr>
          <w:ilvl w:val="0"/>
          <w:numId w:val="46"/>
        </w:numPr>
      </w:pPr>
      <w:r>
        <w:t>Ensure industry engagement at all levels, from breeder through to retail and exporters as well as service providers. It is important to engage with service providers as that group has quite different expectations on whether a national system is required and what rules of engagement should be applied.</w:t>
      </w:r>
    </w:p>
    <w:p w14:paraId="3C9D85EB" w14:textId="77777777" w:rsidR="009B1FDD" w:rsidRDefault="009B1FDD" w:rsidP="009B1FDD">
      <w:pPr>
        <w:pStyle w:val="ListParagraph"/>
        <w:numPr>
          <w:ilvl w:val="0"/>
          <w:numId w:val="46"/>
        </w:numPr>
      </w:pPr>
      <w:r>
        <w:t>Identify opportunities to reduce costs and turn-around times in a fully operational system.</w:t>
      </w:r>
    </w:p>
    <w:p w14:paraId="02274D76" w14:textId="77777777" w:rsidR="009B1FDD" w:rsidRDefault="009B1FDD" w:rsidP="009B1FDD">
      <w:pPr>
        <w:pStyle w:val="ListParagraph"/>
        <w:numPr>
          <w:ilvl w:val="0"/>
          <w:numId w:val="46"/>
        </w:numPr>
      </w:pPr>
      <w:r w:rsidRPr="003E2B4B">
        <w:t>Develop a draft strategy for establishing an integrated industry-owned flexible data platform, which includes traceability and for which DNA forms the critical link across multiple forms of knowledge and decision-making.</w:t>
      </w:r>
    </w:p>
    <w:p w14:paraId="38D3471D" w14:textId="77777777" w:rsidR="009B1FDD" w:rsidRDefault="009B1FDD" w:rsidP="009B1FDD">
      <w:pPr>
        <w:ind w:left="360"/>
      </w:pPr>
    </w:p>
    <w:p w14:paraId="1C5BF390" w14:textId="77777777" w:rsidR="009B1FDD" w:rsidRDefault="009B1FDD" w:rsidP="009B1FDD">
      <w:r>
        <w:t>The coordinating group should ideally include adequate skills and awareness of:</w:t>
      </w:r>
    </w:p>
    <w:p w14:paraId="0E9BA57F" w14:textId="77777777" w:rsidR="009B1FDD" w:rsidRDefault="009B1FDD" w:rsidP="009B1FDD">
      <w:pPr>
        <w:pStyle w:val="ListParagraph"/>
        <w:numPr>
          <w:ilvl w:val="0"/>
          <w:numId w:val="47"/>
        </w:numPr>
      </w:pPr>
      <w:r>
        <w:t>Project management and budgeting</w:t>
      </w:r>
    </w:p>
    <w:p w14:paraId="0428A5DF" w14:textId="77777777" w:rsidR="009B1FDD" w:rsidRDefault="009B1FDD" w:rsidP="009B1FDD">
      <w:pPr>
        <w:pStyle w:val="ListParagraph"/>
        <w:numPr>
          <w:ilvl w:val="0"/>
          <w:numId w:val="47"/>
        </w:numPr>
      </w:pPr>
      <w:r>
        <w:t>Current ISC procedures</w:t>
      </w:r>
    </w:p>
    <w:p w14:paraId="26702059" w14:textId="77777777" w:rsidR="009B1FDD" w:rsidRDefault="009B1FDD" w:rsidP="009B1FDD">
      <w:pPr>
        <w:pStyle w:val="ListParagraph"/>
        <w:numPr>
          <w:ilvl w:val="0"/>
          <w:numId w:val="47"/>
        </w:numPr>
      </w:pPr>
      <w:r>
        <w:t xml:space="preserve">Likely data access and privacy implications </w:t>
      </w:r>
    </w:p>
    <w:p w14:paraId="3695C2FC" w14:textId="77777777" w:rsidR="009B1FDD" w:rsidRDefault="009B1FDD" w:rsidP="009B1FDD">
      <w:pPr>
        <w:pStyle w:val="ListParagraph"/>
        <w:numPr>
          <w:ilvl w:val="0"/>
          <w:numId w:val="47"/>
        </w:numPr>
      </w:pPr>
      <w:r>
        <w:t>Existing DNA databases held by industry and research organisations and how best to negotiate access</w:t>
      </w:r>
    </w:p>
    <w:p w14:paraId="2A66106B" w14:textId="77777777" w:rsidR="009B1FDD" w:rsidRDefault="009B1FDD" w:rsidP="009B1FDD">
      <w:pPr>
        <w:pStyle w:val="ListParagraph"/>
        <w:numPr>
          <w:ilvl w:val="0"/>
          <w:numId w:val="47"/>
        </w:numPr>
      </w:pPr>
      <w:r>
        <w:t>Statistical analysis of DNA data and experimental design</w:t>
      </w:r>
    </w:p>
    <w:p w14:paraId="2890AEAA" w14:textId="77777777" w:rsidR="009B1FDD" w:rsidRDefault="009B1FDD" w:rsidP="009B1FDD">
      <w:pPr>
        <w:pStyle w:val="ListParagraph"/>
        <w:numPr>
          <w:ilvl w:val="0"/>
          <w:numId w:val="47"/>
        </w:numPr>
      </w:pPr>
      <w:r>
        <w:t>Relevant features of the red meat pipeline and critical players</w:t>
      </w:r>
    </w:p>
    <w:p w14:paraId="518988C6" w14:textId="77777777" w:rsidR="009B1FDD" w:rsidRDefault="009B1FDD" w:rsidP="009B1FDD">
      <w:pPr>
        <w:pStyle w:val="ListParagraph"/>
        <w:numPr>
          <w:ilvl w:val="0"/>
          <w:numId w:val="47"/>
        </w:numPr>
      </w:pPr>
      <w:r>
        <w:t>Developments internationally that are relevant to DNA-assisted traceability</w:t>
      </w:r>
    </w:p>
    <w:p w14:paraId="2450E5AE" w14:textId="77777777" w:rsidR="009B1FDD" w:rsidRDefault="009B1FDD" w:rsidP="009B1FDD"/>
    <w:p w14:paraId="4E87FE34" w14:textId="77777777" w:rsidR="009B1FDD" w:rsidRPr="00AE2218" w:rsidRDefault="009B1FDD" w:rsidP="009B1FDD">
      <w:pPr>
        <w:pStyle w:val="Heading3"/>
        <w:rPr>
          <w:b w:val="0"/>
          <w:bCs/>
        </w:rPr>
      </w:pPr>
      <w:bookmarkStart w:id="202" w:name="_Toc95983436"/>
      <w:r w:rsidRPr="00AE2218">
        <w:rPr>
          <w:bCs/>
        </w:rPr>
        <w:t>Simulated tracing</w:t>
      </w:r>
      <w:bookmarkEnd w:id="202"/>
    </w:p>
    <w:p w14:paraId="4F010D21" w14:textId="77777777" w:rsidR="009B1FDD" w:rsidRDefault="009B1FDD" w:rsidP="009B1FDD"/>
    <w:p w14:paraId="5230015B" w14:textId="52E24F17" w:rsidR="009B1FDD" w:rsidRDefault="009B1FDD" w:rsidP="009B1FDD">
      <w:r>
        <w:t xml:space="preserve">It is important that </w:t>
      </w:r>
      <w:r w:rsidRPr="00DB19F9">
        <w:rPr>
          <w:i/>
          <w:iCs/>
        </w:rPr>
        <w:t>in-silico</w:t>
      </w:r>
      <w:r>
        <w:t xml:space="preserve"> simulation of the tracing process (as outlined above) is based on existing resources already held in industry databases, and if necessary, supplemented by tactical genotyping of additional animals.  The requirements appear to be that:</w:t>
      </w:r>
    </w:p>
    <w:p w14:paraId="16B0F28D" w14:textId="2AF54F9D" w:rsidR="009B1FDD" w:rsidRDefault="009B1FDD" w:rsidP="009B1FDD">
      <w:pPr>
        <w:pStyle w:val="ListParagraph"/>
        <w:numPr>
          <w:ilvl w:val="0"/>
          <w:numId w:val="48"/>
        </w:numPr>
      </w:pPr>
      <w:r>
        <w:t>The databases contain genotypic data from commercial animals whose sire genotypes are also included. (Most genotypic data is derived from 50k SNP chips, or equivalent, but subsets of those SNPs can be used to simulate smaller panels, if required)</w:t>
      </w:r>
    </w:p>
    <w:p w14:paraId="1D55D3AE" w14:textId="77777777" w:rsidR="009B1FDD" w:rsidRDefault="009B1FDD" w:rsidP="009B1FDD">
      <w:pPr>
        <w:pStyle w:val="ListParagraph"/>
        <w:numPr>
          <w:ilvl w:val="0"/>
          <w:numId w:val="48"/>
        </w:numPr>
      </w:pPr>
      <w:r>
        <w:t>Animals with known genotypic data have an associated NLIS identity and a full lifetime traceability.</w:t>
      </w:r>
    </w:p>
    <w:p w14:paraId="00A6867E" w14:textId="77777777" w:rsidR="009B1FDD" w:rsidRDefault="009B1FDD" w:rsidP="009B1FDD">
      <w:pPr>
        <w:pStyle w:val="ListParagraph"/>
        <w:numPr>
          <w:ilvl w:val="0"/>
          <w:numId w:val="48"/>
        </w:numPr>
      </w:pPr>
      <w:r>
        <w:t xml:space="preserve">Some of the animals to be “traced” using simulation are closely related but come from different PICs.  </w:t>
      </w:r>
    </w:p>
    <w:p w14:paraId="0F823FCE" w14:textId="77777777" w:rsidR="009B1FDD" w:rsidRDefault="009B1FDD" w:rsidP="009B1FDD"/>
    <w:p w14:paraId="12D685E0" w14:textId="39977D08" w:rsidR="009B1FDD" w:rsidRDefault="009B1FDD" w:rsidP="009B1FDD">
      <w:r>
        <w:t xml:space="preserve">Simulation and testing should be </w:t>
      </w:r>
      <w:r w:rsidRPr="00D847A7">
        <w:t xml:space="preserve">based on </w:t>
      </w:r>
      <w:r>
        <w:t xml:space="preserve">animals </w:t>
      </w:r>
      <w:r w:rsidRPr="00D847A7">
        <w:t>in the major breeds</w:t>
      </w:r>
      <w:r>
        <w:t xml:space="preserve">, which would involve </w:t>
      </w:r>
      <w:r w:rsidRPr="00D847A7">
        <w:t xml:space="preserve">negotiating access to </w:t>
      </w:r>
      <w:r>
        <w:t>the necessary data. This in turn would highlight the issues that need to be addressed in building</w:t>
      </w:r>
      <w:r w:rsidRPr="00D847A7">
        <w:t xml:space="preserve"> </w:t>
      </w:r>
      <w:r>
        <w:t xml:space="preserve">a working traceability system. The study could involve data from beef, </w:t>
      </w:r>
      <w:proofErr w:type="gramStart"/>
      <w:r>
        <w:t>sheep</w:t>
      </w:r>
      <w:proofErr w:type="gramEnd"/>
      <w:r>
        <w:t xml:space="preserve"> or both, as determined by the coordinating group. However, the findings should be relevant to both species, with a focus on identifying which approach is most suited to each. It is proposed that a case study be constructed for the Northern beef industry, the southern beef </w:t>
      </w:r>
      <w:proofErr w:type="gramStart"/>
      <w:r>
        <w:t>industry</w:t>
      </w:r>
      <w:proofErr w:type="gramEnd"/>
      <w:r>
        <w:t xml:space="preserve"> and the sheep meat industry. AWI should be consulted to determine whether there is an appetite for a wool specific case study that integrates with traceability in the wool industry. </w:t>
      </w:r>
    </w:p>
    <w:p w14:paraId="4ADA9EA8" w14:textId="77777777" w:rsidR="009B1FDD" w:rsidRDefault="009B1FDD" w:rsidP="009B1FDD"/>
    <w:p w14:paraId="40055EAC" w14:textId="319C17A8" w:rsidR="009B1FDD" w:rsidRDefault="009B1FDD" w:rsidP="009B1FDD">
      <w:pPr>
        <w:pStyle w:val="Heading3"/>
      </w:pPr>
      <w:bookmarkStart w:id="203" w:name="_Toc95983437"/>
      <w:r w:rsidRPr="00AE2218">
        <w:rPr>
          <w:bCs/>
        </w:rPr>
        <w:t>Timeline</w:t>
      </w:r>
      <w:bookmarkEnd w:id="203"/>
    </w:p>
    <w:p w14:paraId="081619A4" w14:textId="77777777" w:rsidR="009B1FDD" w:rsidRDefault="009B1FDD" w:rsidP="009B1FDD"/>
    <w:p w14:paraId="290DC128" w14:textId="5451F412" w:rsidR="009B1FDD" w:rsidRDefault="009B1FDD" w:rsidP="009B1FDD">
      <w:r>
        <w:t>The coordination group to be established within 6 months, with proof of concept to be demonstrated with</w:t>
      </w:r>
      <w:r w:rsidR="00881265">
        <w:t>in</w:t>
      </w:r>
      <w:r>
        <w:t xml:space="preserve"> 18 months and if appropriate, a draft industry implementation strategy prepared within two years. </w:t>
      </w:r>
    </w:p>
    <w:p w14:paraId="6EDAD1D9" w14:textId="77777777" w:rsidR="00A0403B" w:rsidRDefault="00A0403B"/>
    <w:p w14:paraId="74C82A11" w14:textId="77777777" w:rsidR="00183BB9" w:rsidRPr="00EF1B1E" w:rsidRDefault="00A9007F" w:rsidP="00D4081E">
      <w:pPr>
        <w:pStyle w:val="Heading1"/>
        <w:numPr>
          <w:ilvl w:val="0"/>
          <w:numId w:val="0"/>
        </w:numPr>
      </w:pPr>
      <w:bookmarkStart w:id="204" w:name="_Toc95983438"/>
      <w:r w:rsidRPr="00EF1B1E">
        <w:lastRenderedPageBreak/>
        <w:t>Appendix 1.  Survey methodology</w:t>
      </w:r>
      <w:bookmarkEnd w:id="204"/>
    </w:p>
    <w:p w14:paraId="3E02B354" w14:textId="77777777" w:rsidR="00183BB9" w:rsidRDefault="00183BB9"/>
    <w:p w14:paraId="08A67FC0" w14:textId="1FB1878A" w:rsidR="00183BB9" w:rsidRDefault="00183BB9" w:rsidP="00183BB9">
      <w:r>
        <w:t xml:space="preserve">The online survey </w:t>
      </w:r>
      <w:r w:rsidR="00EF1B1E">
        <w:t xml:space="preserve">was developed </w:t>
      </w:r>
      <w:r>
        <w:t xml:space="preserve">based on the </w:t>
      </w:r>
      <w:r w:rsidR="00EF1B1E">
        <w:t xml:space="preserve">stated </w:t>
      </w:r>
      <w:r>
        <w:t xml:space="preserve">objectives.  The survey was submitted to the UNE Human Ethics committee for </w:t>
      </w:r>
      <w:r w:rsidRPr="008F4C5A">
        <w:t xml:space="preserve">approval (Approval number </w:t>
      </w:r>
      <w:r w:rsidR="008F4C5A" w:rsidRPr="008F4C5A">
        <w:t>HE21-121</w:t>
      </w:r>
      <w:r w:rsidR="00EF1B1E" w:rsidRPr="008F4C5A">
        <w:t>)</w:t>
      </w:r>
      <w:r w:rsidRPr="008F4C5A">
        <w:t>, with</w:t>
      </w:r>
      <w:r>
        <w:t xml:space="preserve"> several modifications made to ensure that the survey met requirements from that committee. </w:t>
      </w:r>
    </w:p>
    <w:p w14:paraId="767FA13E" w14:textId="77777777" w:rsidR="00EF1B1E" w:rsidRDefault="00EF1B1E" w:rsidP="00183BB9"/>
    <w:p w14:paraId="1959C614" w14:textId="77777777" w:rsidR="00183BB9" w:rsidRDefault="00183BB9" w:rsidP="00183BB9">
      <w:r>
        <w:t>The survey consisted of six sections:</w:t>
      </w:r>
    </w:p>
    <w:p w14:paraId="2410BF2A" w14:textId="77777777" w:rsidR="00183BB9" w:rsidRDefault="00183BB9" w:rsidP="00374617">
      <w:pPr>
        <w:pStyle w:val="ListParagraph"/>
        <w:numPr>
          <w:ilvl w:val="0"/>
          <w:numId w:val="3"/>
        </w:numPr>
      </w:pPr>
      <w:r w:rsidRPr="00EF1B1E">
        <w:rPr>
          <w:i/>
          <w:iCs/>
        </w:rPr>
        <w:t>Consent</w:t>
      </w:r>
      <w:r>
        <w:t xml:space="preserve">. Agreeing to participate on the understanding that this participation is voluntary, that the participant can withdraw at any time, and that the information provided is confidential and only for use in the current research project. Project participants must 18 years or older. </w:t>
      </w:r>
    </w:p>
    <w:p w14:paraId="31827631" w14:textId="77777777" w:rsidR="00183BB9" w:rsidRDefault="00183BB9" w:rsidP="00374617">
      <w:pPr>
        <w:pStyle w:val="ListParagraph"/>
        <w:numPr>
          <w:ilvl w:val="0"/>
          <w:numId w:val="3"/>
        </w:numPr>
      </w:pPr>
      <w:r w:rsidRPr="00EF1B1E">
        <w:rPr>
          <w:i/>
          <w:iCs/>
        </w:rPr>
        <w:t>Demographics</w:t>
      </w:r>
      <w:r>
        <w:t xml:space="preserve">. This section gathered background information on the participant – which sector of the industry they operate in. </w:t>
      </w:r>
    </w:p>
    <w:p w14:paraId="74FCF7A9" w14:textId="77777777" w:rsidR="00183BB9" w:rsidRDefault="00183BB9" w:rsidP="00374617">
      <w:pPr>
        <w:pStyle w:val="ListParagraph"/>
        <w:numPr>
          <w:ilvl w:val="0"/>
          <w:numId w:val="3"/>
        </w:numPr>
      </w:pPr>
      <w:r w:rsidRPr="000155EA">
        <w:rPr>
          <w:i/>
          <w:iCs/>
        </w:rPr>
        <w:t>Awareness and utilisation of current system</w:t>
      </w:r>
      <w:r>
        <w:t xml:space="preserve">. These questions sort opinions on the current system, features and benefits, utilisation of EID, costs etc. </w:t>
      </w:r>
    </w:p>
    <w:p w14:paraId="27B601A3" w14:textId="77777777" w:rsidR="00183BB9" w:rsidRDefault="00183BB9" w:rsidP="00374617">
      <w:pPr>
        <w:pStyle w:val="ListParagraph"/>
        <w:numPr>
          <w:ilvl w:val="0"/>
          <w:numId w:val="3"/>
        </w:numPr>
      </w:pPr>
      <w:r w:rsidRPr="000155EA">
        <w:rPr>
          <w:i/>
          <w:iCs/>
        </w:rPr>
        <w:t>Awareness and utilisation of genomic and DNA technologies</w:t>
      </w:r>
      <w:r>
        <w:t xml:space="preserve">.  Current industry uses, benefits </w:t>
      </w:r>
      <w:r w:rsidRPr="000155EA">
        <w:t>etc</w:t>
      </w:r>
      <w:r w:rsidR="000155EA" w:rsidRPr="000155EA">
        <w:t>.</w:t>
      </w:r>
      <w:r w:rsidRPr="000155EA">
        <w:rPr>
          <w:i/>
          <w:iCs/>
        </w:rPr>
        <w:t xml:space="preserve"> </w:t>
      </w:r>
    </w:p>
    <w:p w14:paraId="0C698BC8" w14:textId="77777777" w:rsidR="00183BB9" w:rsidRDefault="00183BB9" w:rsidP="00374617">
      <w:pPr>
        <w:pStyle w:val="ListParagraph"/>
        <w:numPr>
          <w:ilvl w:val="0"/>
          <w:numId w:val="3"/>
        </w:numPr>
      </w:pPr>
      <w:r w:rsidRPr="000155EA">
        <w:rPr>
          <w:i/>
          <w:iCs/>
        </w:rPr>
        <w:t>Potential application of genomics in traceability</w:t>
      </w:r>
      <w:r>
        <w:t>. Features, benefits, costs barriers etc</w:t>
      </w:r>
      <w:r w:rsidR="000155EA">
        <w:t>.</w:t>
      </w:r>
      <w:r>
        <w:t xml:space="preserve"> </w:t>
      </w:r>
    </w:p>
    <w:p w14:paraId="482428A9" w14:textId="77777777" w:rsidR="00183BB9" w:rsidRPr="000155EA" w:rsidRDefault="00183BB9" w:rsidP="00374617">
      <w:pPr>
        <w:pStyle w:val="ListParagraph"/>
        <w:numPr>
          <w:ilvl w:val="0"/>
          <w:numId w:val="3"/>
        </w:numPr>
        <w:rPr>
          <w:i/>
          <w:iCs/>
        </w:rPr>
      </w:pPr>
      <w:r w:rsidRPr="000155EA">
        <w:rPr>
          <w:i/>
          <w:iCs/>
        </w:rPr>
        <w:t xml:space="preserve">Other comments </w:t>
      </w:r>
    </w:p>
    <w:p w14:paraId="2E38AD4B" w14:textId="77777777" w:rsidR="00183BB9" w:rsidRDefault="00183BB9" w:rsidP="00183BB9">
      <w:pPr>
        <w:pStyle w:val="Heading3"/>
      </w:pPr>
    </w:p>
    <w:p w14:paraId="4F5CDE2D" w14:textId="7D585355" w:rsidR="00183BB9" w:rsidRPr="00AE5994" w:rsidRDefault="00D23CFA" w:rsidP="00AE5994">
      <w:pPr>
        <w:rPr>
          <w:b/>
          <w:bCs/>
          <w:color w:val="0070C0"/>
          <w:sz w:val="26"/>
          <w:szCs w:val="26"/>
        </w:rPr>
      </w:pPr>
      <w:r w:rsidRPr="00AE5994">
        <w:rPr>
          <w:b/>
          <w:bCs/>
          <w:color w:val="0070C0"/>
          <w:sz w:val="26"/>
          <w:szCs w:val="26"/>
        </w:rPr>
        <w:t>Survey Delivery</w:t>
      </w:r>
    </w:p>
    <w:p w14:paraId="38C44C93" w14:textId="77777777" w:rsidR="000155EA" w:rsidRPr="000155EA" w:rsidRDefault="000155EA" w:rsidP="000155EA"/>
    <w:p w14:paraId="5DBA7047" w14:textId="01779F82" w:rsidR="00183BB9" w:rsidRDefault="00183BB9" w:rsidP="00183BB9">
      <w:r>
        <w:t xml:space="preserve">The survey was opened to the </w:t>
      </w:r>
      <w:r w:rsidR="000E4DEB">
        <w:t>potential participants</w:t>
      </w:r>
      <w:r>
        <w:t xml:space="preserve"> on July 18</w:t>
      </w:r>
      <w:r w:rsidRPr="000E4DEB">
        <w:rPr>
          <w:vertAlign w:val="superscript"/>
        </w:rPr>
        <w:t>th</w:t>
      </w:r>
      <w:r w:rsidR="000E4DEB">
        <w:t>, 2021</w:t>
      </w:r>
      <w:r>
        <w:t xml:space="preserve">. </w:t>
      </w:r>
      <w:r w:rsidR="000E4DEB">
        <w:t>P</w:t>
      </w:r>
      <w:r>
        <w:t>romotion of the survey was led by one of the consultants and included targeting as many channels of promotion as possible. This included direct emails</w:t>
      </w:r>
      <w:r w:rsidR="000E4DEB">
        <w:t xml:space="preserve"> to targeted industry participants</w:t>
      </w:r>
      <w:r>
        <w:t xml:space="preserve">, direct emails to industry bodies including </w:t>
      </w:r>
      <w:bookmarkStart w:id="205" w:name="_Hlk83134231"/>
      <w:r>
        <w:t>MLA, AMPC, AMIC, ALFA, CCA, ALPA, SPA</w:t>
      </w:r>
      <w:bookmarkEnd w:id="205"/>
      <w:r>
        <w:t>, beef breed societies, A</w:t>
      </w:r>
      <w:r w:rsidR="00324ED9">
        <w:t>R</w:t>
      </w:r>
      <w:r>
        <w:t xml:space="preserve">CBA and Sheep </w:t>
      </w:r>
      <w:r w:rsidR="006B7DD6">
        <w:t>G</w:t>
      </w:r>
      <w:r>
        <w:t>enetics</w:t>
      </w:r>
      <w:r w:rsidR="006B7DD6">
        <w:t>,</w:t>
      </w:r>
      <w:r>
        <w:t xml:space="preserve"> with requests to include the survey link as an inclusion in the newsletters and social media platforms. The survey was also directly circulated to a contact list of processing stakeholders for inclusion in their communications with producers.  </w:t>
      </w:r>
    </w:p>
    <w:p w14:paraId="54723B91" w14:textId="77777777" w:rsidR="00183BB9" w:rsidRDefault="00183BB9" w:rsidP="00183BB9"/>
    <w:p w14:paraId="3D641978" w14:textId="67458FBC" w:rsidR="00183BB9" w:rsidRDefault="00183BB9" w:rsidP="00183BB9">
      <w:r>
        <w:t xml:space="preserve">Those promotions resulted in substantial survey activity (see Figure </w:t>
      </w:r>
      <w:r w:rsidR="0094124D">
        <w:t>A</w:t>
      </w:r>
      <w:r>
        <w:t xml:space="preserve">1). The survey was closed on August 13th </w:t>
      </w:r>
      <w:proofErr w:type="gramStart"/>
      <w:r>
        <w:t>April</w:t>
      </w:r>
      <w:r w:rsidR="006B7DD6">
        <w:t>,</w:t>
      </w:r>
      <w:proofErr w:type="gramEnd"/>
      <w:r>
        <w:t xml:space="preserve"> 2021 (25 days duration) after a 24-hour period of no further responses. There were 100 respondents</w:t>
      </w:r>
      <w:r w:rsidR="006B7DD6">
        <w:t xml:space="preserve">. However, </w:t>
      </w:r>
      <w:r>
        <w:t>only 57 provided data that was deemed appropriate (sufficient</w:t>
      </w:r>
      <w:r w:rsidR="00626A8F">
        <w:t>ly</w:t>
      </w:r>
      <w:r>
        <w:t xml:space="preserve"> complete) for analysis.</w:t>
      </w:r>
    </w:p>
    <w:p w14:paraId="4431EABC" w14:textId="77777777" w:rsidR="00183BB9" w:rsidRDefault="00183BB9" w:rsidP="00183BB9"/>
    <w:p w14:paraId="4A06F57A" w14:textId="77777777" w:rsidR="00183BB9" w:rsidRDefault="00183BB9" w:rsidP="008F4C5A">
      <w:pPr>
        <w:keepNext/>
        <w:keepLines/>
      </w:pPr>
      <w:r w:rsidRPr="001A5AB0">
        <w:rPr>
          <w:noProof/>
          <w:lang w:eastAsia="en-AU"/>
        </w:rPr>
        <w:drawing>
          <wp:inline distT="0" distB="0" distL="0" distR="0" wp14:anchorId="2F35BE12" wp14:editId="3BC9893D">
            <wp:extent cx="5731510" cy="2482215"/>
            <wp:effectExtent l="0" t="0" r="254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2"/>
                    <a:stretch>
                      <a:fillRect/>
                    </a:stretch>
                  </pic:blipFill>
                  <pic:spPr>
                    <a:xfrm>
                      <a:off x="0" y="0"/>
                      <a:ext cx="5731510" cy="2482215"/>
                    </a:xfrm>
                    <a:prstGeom prst="rect">
                      <a:avLst/>
                    </a:prstGeom>
                  </pic:spPr>
                </pic:pic>
              </a:graphicData>
            </a:graphic>
          </wp:inline>
        </w:drawing>
      </w:r>
    </w:p>
    <w:p w14:paraId="08043898" w14:textId="2B65DD9B" w:rsidR="00183BB9" w:rsidRPr="001B608A" w:rsidRDefault="00183BB9" w:rsidP="001B608A">
      <w:pPr>
        <w:jc w:val="center"/>
        <w:rPr>
          <w:i/>
          <w:iCs/>
        </w:rPr>
      </w:pPr>
      <w:r w:rsidRPr="001B608A">
        <w:rPr>
          <w:i/>
          <w:iCs/>
        </w:rPr>
        <w:t xml:space="preserve">Figure </w:t>
      </w:r>
      <w:r w:rsidR="0094124D" w:rsidRPr="001B608A">
        <w:rPr>
          <w:i/>
          <w:iCs/>
        </w:rPr>
        <w:t>A</w:t>
      </w:r>
      <w:r w:rsidRPr="001B608A">
        <w:rPr>
          <w:i/>
          <w:iCs/>
        </w:rPr>
        <w:t>1. Number of survey responses by day</w:t>
      </w:r>
    </w:p>
    <w:p w14:paraId="24FBC895" w14:textId="5D0EBD9D" w:rsidR="00183BB9" w:rsidRPr="00AE5994" w:rsidRDefault="00183BB9" w:rsidP="00AE5994">
      <w:pPr>
        <w:rPr>
          <w:b/>
          <w:bCs/>
          <w:color w:val="0070C0"/>
          <w:sz w:val="26"/>
          <w:szCs w:val="26"/>
        </w:rPr>
      </w:pPr>
      <w:r w:rsidRPr="00AE5994">
        <w:rPr>
          <w:b/>
          <w:bCs/>
          <w:color w:val="0070C0"/>
          <w:sz w:val="26"/>
          <w:szCs w:val="26"/>
        </w:rPr>
        <w:lastRenderedPageBreak/>
        <w:t xml:space="preserve">Survey analysis </w:t>
      </w:r>
    </w:p>
    <w:p w14:paraId="198D0CF3" w14:textId="77777777" w:rsidR="00B85AE9" w:rsidRPr="00B85AE9" w:rsidRDefault="00B85AE9" w:rsidP="001B608A"/>
    <w:p w14:paraId="6A4AB9CB" w14:textId="77777777" w:rsidR="00183BB9" w:rsidRDefault="00183BB9" w:rsidP="00183BB9">
      <w:r>
        <w:t>The survey responses were downloaded from Survey Monkey® in Microsoft Excel format and analysed using a combination of MATLAB by MathWorks and Microsoft Excel.</w:t>
      </w:r>
    </w:p>
    <w:p w14:paraId="4FC68D64" w14:textId="77777777" w:rsidR="00A168DA" w:rsidRDefault="00A168DA" w:rsidP="00183BB9"/>
    <w:p w14:paraId="0F2B1DB5" w14:textId="77777777" w:rsidR="00183BB9" w:rsidRDefault="00183BB9" w:rsidP="00183BB9">
      <w:r>
        <w:t xml:space="preserve">Standard statistics (mean, median) and frequency distributions were used to characterise the responses. A MATLAB </w:t>
      </w:r>
      <w:r w:rsidR="00A168DA">
        <w:t>U</w:t>
      </w:r>
      <w:r>
        <w:t>nbalanced Analysis of Variance procedure (ANOVAN) was used to test for significant differences between sub-samples of the data.</w:t>
      </w:r>
    </w:p>
    <w:p w14:paraId="041F5D35" w14:textId="77777777" w:rsidR="00183BB9" w:rsidRPr="00A910D1" w:rsidRDefault="00183BB9" w:rsidP="00183BB9"/>
    <w:p w14:paraId="4247736D" w14:textId="5CAE7C18" w:rsidR="00183BB9" w:rsidRPr="00AE5994" w:rsidRDefault="008A4FDD" w:rsidP="00AE5994">
      <w:pPr>
        <w:rPr>
          <w:b/>
          <w:bCs/>
          <w:color w:val="0070C0"/>
          <w:sz w:val="26"/>
          <w:szCs w:val="26"/>
        </w:rPr>
      </w:pPr>
      <w:r w:rsidRPr="00AE5994">
        <w:rPr>
          <w:b/>
          <w:bCs/>
          <w:color w:val="0070C0"/>
          <w:sz w:val="26"/>
          <w:szCs w:val="26"/>
        </w:rPr>
        <w:t>Respondent</w:t>
      </w:r>
      <w:r w:rsidR="00183BB9" w:rsidRPr="00AE5994">
        <w:rPr>
          <w:b/>
          <w:bCs/>
          <w:color w:val="0070C0"/>
          <w:sz w:val="26"/>
          <w:szCs w:val="26"/>
        </w:rPr>
        <w:t xml:space="preserve"> demographics </w:t>
      </w:r>
    </w:p>
    <w:p w14:paraId="2CDB7F02" w14:textId="77777777" w:rsidR="009A08FD" w:rsidRPr="009A08FD" w:rsidRDefault="009A08FD" w:rsidP="009A08FD"/>
    <w:p w14:paraId="4A23E6C7" w14:textId="77777777" w:rsidR="008A4FDD" w:rsidRDefault="00183BB9" w:rsidP="00183BB9">
      <w:r>
        <w:t xml:space="preserve">At the close of the survey, there were 100 responses recorded by SurveyMonkey, however only 63 answered the demographics question and of that 57 provided complete responses to the survey.  </w:t>
      </w:r>
    </w:p>
    <w:p w14:paraId="5E593363" w14:textId="77777777" w:rsidR="008A4FDD" w:rsidRDefault="008A4FDD" w:rsidP="00183BB9"/>
    <w:p w14:paraId="1F1547AA" w14:textId="19B177E9" w:rsidR="00183BB9" w:rsidRDefault="00183BB9" w:rsidP="00CF2A4F">
      <w:proofErr w:type="gramStart"/>
      <w:r>
        <w:t>The majority of</w:t>
      </w:r>
      <w:proofErr w:type="gramEnd"/>
      <w:r>
        <w:t xml:space="preserve"> the responses were from commercial beef producers and beef seedstock producers</w:t>
      </w:r>
      <w:r w:rsidR="004A1BA7">
        <w:t xml:space="preserve">, with </w:t>
      </w:r>
      <w:r w:rsidR="008A4FDD">
        <w:t xml:space="preserve">only </w:t>
      </w:r>
      <w:r>
        <w:t>a few responses from the sheep seedstock industry</w:t>
      </w:r>
      <w:r w:rsidR="00E57950">
        <w:t xml:space="preserve"> despite a concerted attempt to promote the survey to a wide network of sheep industry participants</w:t>
      </w:r>
      <w:r>
        <w:t xml:space="preserve">.  </w:t>
      </w:r>
      <w:bookmarkStart w:id="206" w:name="_Ref69966811"/>
    </w:p>
    <w:p w14:paraId="0E6B116A" w14:textId="77777777" w:rsidR="00CF2A4F" w:rsidRDefault="00CF2A4F" w:rsidP="00CF2A4F"/>
    <w:bookmarkEnd w:id="206"/>
    <w:p w14:paraId="3C87BC04" w14:textId="1C9CAC1D" w:rsidR="00183BB9" w:rsidRDefault="00183BB9" w:rsidP="00475E28">
      <w:pPr>
        <w:pStyle w:val="Caption"/>
      </w:pPr>
      <w:r>
        <w:t xml:space="preserve">Table </w:t>
      </w:r>
      <w:r w:rsidR="0094124D">
        <w:t>A1</w:t>
      </w:r>
      <w:r w:rsidR="00E34602">
        <w:t>.1</w:t>
      </w:r>
      <w:r>
        <w:t>. Distribution of completed responses by red meat industry sector.</w:t>
      </w:r>
    </w:p>
    <w:p w14:paraId="5D3B8616" w14:textId="77777777" w:rsidR="00D8133B" w:rsidRPr="00D8133B" w:rsidRDefault="00D8133B" w:rsidP="00D8133B"/>
    <w:tbl>
      <w:tblPr>
        <w:tblStyle w:val="GridTable1Light"/>
        <w:tblW w:w="0" w:type="auto"/>
        <w:jc w:val="center"/>
        <w:tblLook w:val="04A0" w:firstRow="1" w:lastRow="0" w:firstColumn="1" w:lastColumn="0" w:noHBand="0" w:noVBand="1"/>
      </w:tblPr>
      <w:tblGrid>
        <w:gridCol w:w="3316"/>
        <w:gridCol w:w="1180"/>
      </w:tblGrid>
      <w:tr w:rsidR="00183BB9" w:rsidRPr="001414F2" w14:paraId="6823C7AA" w14:textId="77777777" w:rsidTr="00877CF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16" w:type="dxa"/>
            <w:noWrap/>
            <w:hideMark/>
          </w:tcPr>
          <w:p w14:paraId="3E44BB3F" w14:textId="77777777" w:rsidR="00183BB9" w:rsidRPr="001414F2" w:rsidRDefault="00183BB9" w:rsidP="00CE5465">
            <w:r w:rsidRPr="001414F2">
              <w:t>Role</w:t>
            </w:r>
            <w:r>
              <w:t xml:space="preserve"> within red meat industry</w:t>
            </w:r>
          </w:p>
        </w:tc>
        <w:tc>
          <w:tcPr>
            <w:tcW w:w="1180" w:type="dxa"/>
            <w:noWrap/>
            <w:hideMark/>
          </w:tcPr>
          <w:p w14:paraId="6DD038E6" w14:textId="77777777" w:rsidR="00183BB9" w:rsidRPr="001414F2" w:rsidRDefault="00183BB9" w:rsidP="00CE5465">
            <w:pPr>
              <w:cnfStyle w:val="100000000000" w:firstRow="1" w:lastRow="0" w:firstColumn="0" w:lastColumn="0" w:oddVBand="0" w:evenVBand="0" w:oddHBand="0" w:evenHBand="0" w:firstRowFirstColumn="0" w:firstRowLastColumn="0" w:lastRowFirstColumn="0" w:lastRowLastColumn="0"/>
            </w:pPr>
            <w:r w:rsidRPr="001414F2">
              <w:t>Responses</w:t>
            </w:r>
          </w:p>
        </w:tc>
      </w:tr>
      <w:tr w:rsidR="00183BB9" w:rsidRPr="001414F2" w14:paraId="382A6E62"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3FAFA531" w14:textId="77777777" w:rsidR="00183BB9" w:rsidRPr="00E00D46" w:rsidRDefault="00183BB9" w:rsidP="00CE5465">
            <w:pPr>
              <w:rPr>
                <w:b w:val="0"/>
              </w:rPr>
            </w:pPr>
            <w:r w:rsidRPr="001414F2">
              <w:t>Sheep processor</w:t>
            </w:r>
          </w:p>
        </w:tc>
        <w:tc>
          <w:tcPr>
            <w:tcW w:w="1180" w:type="dxa"/>
            <w:noWrap/>
            <w:hideMark/>
          </w:tcPr>
          <w:p w14:paraId="506119DF"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4</w:t>
            </w:r>
          </w:p>
        </w:tc>
      </w:tr>
      <w:tr w:rsidR="00183BB9" w:rsidRPr="001414F2" w14:paraId="538F246A"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4ED96E6E" w14:textId="77777777" w:rsidR="00183BB9" w:rsidRPr="00E00D46" w:rsidRDefault="00183BB9" w:rsidP="00CE5465">
            <w:pPr>
              <w:rPr>
                <w:b w:val="0"/>
              </w:rPr>
            </w:pPr>
            <w:r w:rsidRPr="001414F2">
              <w:t>Beef processor</w:t>
            </w:r>
          </w:p>
        </w:tc>
        <w:tc>
          <w:tcPr>
            <w:tcW w:w="1180" w:type="dxa"/>
            <w:noWrap/>
            <w:hideMark/>
          </w:tcPr>
          <w:p w14:paraId="066E6115"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8</w:t>
            </w:r>
          </w:p>
        </w:tc>
      </w:tr>
      <w:tr w:rsidR="00183BB9" w:rsidRPr="001414F2" w14:paraId="336E98DB"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3574E2C8" w14:textId="77777777" w:rsidR="00183BB9" w:rsidRPr="00E00D46" w:rsidRDefault="00183BB9" w:rsidP="00CE5465">
            <w:pPr>
              <w:rPr>
                <w:b w:val="0"/>
              </w:rPr>
            </w:pPr>
            <w:r w:rsidRPr="001414F2">
              <w:t>Sheep and beef processor</w:t>
            </w:r>
          </w:p>
        </w:tc>
        <w:tc>
          <w:tcPr>
            <w:tcW w:w="1180" w:type="dxa"/>
            <w:noWrap/>
            <w:hideMark/>
          </w:tcPr>
          <w:p w14:paraId="602CD830"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3</w:t>
            </w:r>
          </w:p>
        </w:tc>
      </w:tr>
      <w:tr w:rsidR="00183BB9" w:rsidRPr="001414F2" w14:paraId="6B447E62"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34EAE738" w14:textId="77777777" w:rsidR="00183BB9" w:rsidRPr="00E00D46" w:rsidRDefault="00183BB9" w:rsidP="00CE5465">
            <w:pPr>
              <w:rPr>
                <w:b w:val="0"/>
              </w:rPr>
            </w:pPr>
            <w:r w:rsidRPr="001414F2">
              <w:t>Sheep producer</w:t>
            </w:r>
          </w:p>
        </w:tc>
        <w:tc>
          <w:tcPr>
            <w:tcW w:w="1180" w:type="dxa"/>
            <w:noWrap/>
            <w:hideMark/>
          </w:tcPr>
          <w:p w14:paraId="32B52B22"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13</w:t>
            </w:r>
          </w:p>
        </w:tc>
      </w:tr>
      <w:tr w:rsidR="00183BB9" w:rsidRPr="001414F2" w14:paraId="3B859689"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3DB156EF" w14:textId="77777777" w:rsidR="00183BB9" w:rsidRPr="00E00D46" w:rsidRDefault="00183BB9" w:rsidP="00CE5465">
            <w:pPr>
              <w:rPr>
                <w:b w:val="0"/>
              </w:rPr>
            </w:pPr>
            <w:r w:rsidRPr="001414F2">
              <w:t>Beef producer</w:t>
            </w:r>
          </w:p>
        </w:tc>
        <w:tc>
          <w:tcPr>
            <w:tcW w:w="1180" w:type="dxa"/>
            <w:noWrap/>
            <w:hideMark/>
          </w:tcPr>
          <w:p w14:paraId="5760E6DD"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32</w:t>
            </w:r>
          </w:p>
        </w:tc>
      </w:tr>
      <w:tr w:rsidR="00183BB9" w:rsidRPr="001414F2" w14:paraId="2F3A76A2"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0EECCEFA" w14:textId="77777777" w:rsidR="00183BB9" w:rsidRPr="00E00D46" w:rsidRDefault="00183BB9" w:rsidP="00CE5465">
            <w:pPr>
              <w:rPr>
                <w:b w:val="0"/>
              </w:rPr>
            </w:pPr>
            <w:r w:rsidRPr="001414F2">
              <w:t>Sheep and beef producer</w:t>
            </w:r>
          </w:p>
        </w:tc>
        <w:tc>
          <w:tcPr>
            <w:tcW w:w="1180" w:type="dxa"/>
            <w:noWrap/>
            <w:hideMark/>
          </w:tcPr>
          <w:p w14:paraId="2DCD120E"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10</w:t>
            </w:r>
          </w:p>
        </w:tc>
      </w:tr>
      <w:tr w:rsidR="00183BB9" w:rsidRPr="001414F2" w14:paraId="72378345"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70E5ECA1" w14:textId="77777777" w:rsidR="00183BB9" w:rsidRPr="00E00D46" w:rsidRDefault="00183BB9" w:rsidP="00CE5465">
            <w:pPr>
              <w:rPr>
                <w:b w:val="0"/>
              </w:rPr>
            </w:pPr>
            <w:r w:rsidRPr="001414F2">
              <w:t>Sheep seedstock</w:t>
            </w:r>
          </w:p>
        </w:tc>
        <w:tc>
          <w:tcPr>
            <w:tcW w:w="1180" w:type="dxa"/>
            <w:noWrap/>
            <w:hideMark/>
          </w:tcPr>
          <w:p w14:paraId="3FB3DD24"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1</w:t>
            </w:r>
          </w:p>
        </w:tc>
      </w:tr>
      <w:tr w:rsidR="00183BB9" w:rsidRPr="001414F2" w14:paraId="31A80E9F"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56B3DC0F" w14:textId="77777777" w:rsidR="00183BB9" w:rsidRPr="00E00D46" w:rsidRDefault="00183BB9" w:rsidP="00CE5465">
            <w:pPr>
              <w:rPr>
                <w:b w:val="0"/>
              </w:rPr>
            </w:pPr>
            <w:r w:rsidRPr="001414F2">
              <w:t>Beef seedstock</w:t>
            </w:r>
          </w:p>
        </w:tc>
        <w:tc>
          <w:tcPr>
            <w:tcW w:w="1180" w:type="dxa"/>
            <w:noWrap/>
            <w:hideMark/>
          </w:tcPr>
          <w:p w14:paraId="4D0E1E2A"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19</w:t>
            </w:r>
          </w:p>
        </w:tc>
      </w:tr>
      <w:tr w:rsidR="00183BB9" w:rsidRPr="001414F2" w14:paraId="03BEB49F"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1745A9AE" w14:textId="77777777" w:rsidR="00183BB9" w:rsidRPr="00E00D46" w:rsidRDefault="00183BB9" w:rsidP="00CE5465">
            <w:pPr>
              <w:rPr>
                <w:b w:val="0"/>
              </w:rPr>
            </w:pPr>
            <w:r w:rsidRPr="001414F2">
              <w:t>Beef Feed lotter</w:t>
            </w:r>
          </w:p>
        </w:tc>
        <w:tc>
          <w:tcPr>
            <w:tcW w:w="1180" w:type="dxa"/>
            <w:noWrap/>
            <w:hideMark/>
          </w:tcPr>
          <w:p w14:paraId="668B295D"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7</w:t>
            </w:r>
          </w:p>
        </w:tc>
      </w:tr>
      <w:tr w:rsidR="00183BB9" w:rsidRPr="001414F2" w14:paraId="570CB4F2"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4623F773" w14:textId="77777777" w:rsidR="00183BB9" w:rsidRPr="00E00D46" w:rsidRDefault="00183BB9" w:rsidP="00CE5465">
            <w:pPr>
              <w:rPr>
                <w:b w:val="0"/>
              </w:rPr>
            </w:pPr>
            <w:r w:rsidRPr="001414F2">
              <w:t>Sheep Feed lotter</w:t>
            </w:r>
          </w:p>
        </w:tc>
        <w:tc>
          <w:tcPr>
            <w:tcW w:w="1180" w:type="dxa"/>
            <w:noWrap/>
            <w:hideMark/>
          </w:tcPr>
          <w:p w14:paraId="6CD8DFC0"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2</w:t>
            </w:r>
          </w:p>
        </w:tc>
      </w:tr>
      <w:tr w:rsidR="00183BB9" w:rsidRPr="001414F2" w14:paraId="26F0223B"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1D868CD8" w14:textId="77777777" w:rsidR="00183BB9" w:rsidRPr="00E00D46" w:rsidRDefault="00183BB9" w:rsidP="00CE5465">
            <w:pPr>
              <w:rPr>
                <w:b w:val="0"/>
              </w:rPr>
            </w:pPr>
            <w:r w:rsidRPr="001414F2">
              <w:t>Service provider / consultant</w:t>
            </w:r>
          </w:p>
        </w:tc>
        <w:tc>
          <w:tcPr>
            <w:tcW w:w="1180" w:type="dxa"/>
            <w:noWrap/>
            <w:hideMark/>
          </w:tcPr>
          <w:p w14:paraId="4DD607A5"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14</w:t>
            </w:r>
          </w:p>
        </w:tc>
      </w:tr>
      <w:tr w:rsidR="00183BB9" w:rsidRPr="001414F2" w14:paraId="07787ED6"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hideMark/>
          </w:tcPr>
          <w:p w14:paraId="655DEA61" w14:textId="77777777" w:rsidR="00183BB9" w:rsidRPr="00B63C4A" w:rsidRDefault="00183BB9" w:rsidP="00CE5465">
            <w:pPr>
              <w:rPr>
                <w:b w:val="0"/>
              </w:rPr>
            </w:pPr>
            <w:r w:rsidRPr="001414F2">
              <w:t>Research</w:t>
            </w:r>
          </w:p>
        </w:tc>
        <w:tc>
          <w:tcPr>
            <w:tcW w:w="1180" w:type="dxa"/>
            <w:noWrap/>
            <w:hideMark/>
          </w:tcPr>
          <w:p w14:paraId="5EF566E0" w14:textId="77777777" w:rsidR="00183BB9" w:rsidRPr="001414F2" w:rsidRDefault="00183BB9" w:rsidP="00CE5465">
            <w:pPr>
              <w:ind w:right="142"/>
              <w:jc w:val="right"/>
              <w:cnfStyle w:val="000000000000" w:firstRow="0" w:lastRow="0" w:firstColumn="0" w:lastColumn="0" w:oddVBand="0" w:evenVBand="0" w:oddHBand="0" w:evenHBand="0" w:firstRowFirstColumn="0" w:firstRowLastColumn="0" w:lastRowFirstColumn="0" w:lastRowLastColumn="0"/>
            </w:pPr>
            <w:r w:rsidRPr="001414F2">
              <w:t>5</w:t>
            </w:r>
          </w:p>
        </w:tc>
      </w:tr>
      <w:tr w:rsidR="00183BB9" w:rsidRPr="001414F2" w14:paraId="0DEB10E3"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316" w:type="dxa"/>
          </w:tcPr>
          <w:p w14:paraId="34A69AF4" w14:textId="77777777" w:rsidR="00183BB9" w:rsidRPr="001414F2" w:rsidRDefault="00183BB9" w:rsidP="00CE5465">
            <w:r>
              <w:t xml:space="preserve">Total </w:t>
            </w:r>
          </w:p>
        </w:tc>
        <w:tc>
          <w:tcPr>
            <w:tcW w:w="1180" w:type="dxa"/>
            <w:noWrap/>
          </w:tcPr>
          <w:p w14:paraId="769359DB" w14:textId="77777777" w:rsidR="00183BB9" w:rsidRPr="00B63C4A" w:rsidRDefault="00183BB9" w:rsidP="00CE5465">
            <w:pPr>
              <w:ind w:right="142"/>
              <w:jc w:val="right"/>
              <w:cnfStyle w:val="000000000000" w:firstRow="0" w:lastRow="0" w:firstColumn="0" w:lastColumn="0" w:oddVBand="0" w:evenVBand="0" w:oddHBand="0" w:evenHBand="0" w:firstRowFirstColumn="0" w:firstRowLastColumn="0" w:lastRowFirstColumn="0" w:lastRowLastColumn="0"/>
              <w:rPr>
                <w:b/>
              </w:rPr>
            </w:pPr>
            <w:r w:rsidRPr="00B63C4A">
              <w:rPr>
                <w:b/>
              </w:rPr>
              <w:t xml:space="preserve">57 </w:t>
            </w:r>
          </w:p>
        </w:tc>
      </w:tr>
    </w:tbl>
    <w:p w14:paraId="0DF37E5A" w14:textId="77777777" w:rsidR="00183BB9" w:rsidRDefault="00183BB9" w:rsidP="00183BB9"/>
    <w:p w14:paraId="65E61AD1" w14:textId="1E294F48" w:rsidR="00D8133B" w:rsidRDefault="00CF2A4F" w:rsidP="00183BB9">
      <w:proofErr w:type="gramStart"/>
      <w:r>
        <w:t>In order to</w:t>
      </w:r>
      <w:proofErr w:type="gramEnd"/>
      <w:r>
        <w:t xml:space="preserve"> complete more detailed analysis, some key sectors were aggregated (for example beef and sheep, producers, lot feeders and processors etc), those aggregated numbers are shown in </w:t>
      </w:r>
      <w:r>
        <w:fldChar w:fldCharType="begin"/>
      </w:r>
      <w:r>
        <w:instrText xml:space="preserve"> REF _Ref81836682 \h </w:instrText>
      </w:r>
      <w:r>
        <w:fldChar w:fldCharType="separate"/>
      </w:r>
      <w:r w:rsidR="008D0D42">
        <w:t>Table A</w:t>
      </w:r>
      <w:r>
        <w:fldChar w:fldCharType="end"/>
      </w:r>
      <w:r w:rsidR="005A11B0">
        <w:t>1.</w:t>
      </w:r>
      <w:r w:rsidR="00110633">
        <w:t>2</w:t>
      </w:r>
      <w:r w:rsidR="009C51C7">
        <w:t>.</w:t>
      </w:r>
    </w:p>
    <w:p w14:paraId="14014418" w14:textId="54D9B2B0" w:rsidR="00183BB9" w:rsidRDefault="00183BB9" w:rsidP="00475E28">
      <w:pPr>
        <w:pStyle w:val="Caption"/>
      </w:pPr>
      <w:bookmarkStart w:id="207" w:name="_Ref81836682"/>
      <w:bookmarkStart w:id="208" w:name="_Toc87878191"/>
      <w:r>
        <w:t xml:space="preserve">Table </w:t>
      </w:r>
      <w:r w:rsidR="0094124D">
        <w:t>A</w:t>
      </w:r>
      <w:bookmarkEnd w:id="207"/>
      <w:r w:rsidR="005A11B0">
        <w:t>1.</w:t>
      </w:r>
      <w:r w:rsidR="00D8133B">
        <w:t>2</w:t>
      </w:r>
      <w:r>
        <w:t>. Number of responses for aggregated sectors</w:t>
      </w:r>
      <w:bookmarkEnd w:id="208"/>
      <w:r w:rsidR="00197F08">
        <w:t xml:space="preserve">.   </w:t>
      </w:r>
      <w:r>
        <w:t xml:space="preserve"> </w:t>
      </w:r>
    </w:p>
    <w:p w14:paraId="77DE8545" w14:textId="77777777" w:rsidR="00D8133B" w:rsidRPr="00D8133B" w:rsidRDefault="00D8133B" w:rsidP="00D8133B"/>
    <w:tbl>
      <w:tblPr>
        <w:tblStyle w:val="GridTable1Light"/>
        <w:tblW w:w="0" w:type="auto"/>
        <w:jc w:val="center"/>
        <w:tblLook w:val="04A0" w:firstRow="1" w:lastRow="0" w:firstColumn="1" w:lastColumn="0" w:noHBand="0" w:noVBand="1"/>
      </w:tblPr>
      <w:tblGrid>
        <w:gridCol w:w="3256"/>
        <w:gridCol w:w="1180"/>
      </w:tblGrid>
      <w:tr w:rsidR="004F6384" w:rsidRPr="00255347" w14:paraId="03525719" w14:textId="77777777" w:rsidTr="00877CF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6" w:type="dxa"/>
          </w:tcPr>
          <w:p w14:paraId="0F9E115B" w14:textId="77777777" w:rsidR="004F6384" w:rsidRPr="00255347" w:rsidRDefault="00255347" w:rsidP="00CE5465">
            <w:r w:rsidRPr="00255347">
              <w:t>Aggregated sectors</w:t>
            </w:r>
          </w:p>
        </w:tc>
        <w:tc>
          <w:tcPr>
            <w:tcW w:w="1134" w:type="dxa"/>
            <w:noWrap/>
          </w:tcPr>
          <w:p w14:paraId="3E0C9239" w14:textId="77777777" w:rsidR="004F6384" w:rsidRPr="00255347" w:rsidRDefault="00255347" w:rsidP="00255347">
            <w:pPr>
              <w:cnfStyle w:val="100000000000" w:firstRow="1" w:lastRow="0" w:firstColumn="0" w:lastColumn="0" w:oddVBand="0" w:evenVBand="0" w:oddHBand="0" w:evenHBand="0" w:firstRowFirstColumn="0" w:firstRowLastColumn="0" w:lastRowFirstColumn="0" w:lastRowLastColumn="0"/>
            </w:pPr>
            <w:r w:rsidRPr="00255347">
              <w:t>Responses</w:t>
            </w:r>
          </w:p>
        </w:tc>
      </w:tr>
      <w:tr w:rsidR="007C1D75" w:rsidRPr="001414F2" w14:paraId="723CCBDC"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08E40B04" w14:textId="77777777" w:rsidR="00183BB9" w:rsidRPr="00B63C4A" w:rsidRDefault="00183BB9" w:rsidP="00CE5465">
            <w:pPr>
              <w:rPr>
                <w:b w:val="0"/>
              </w:rPr>
            </w:pPr>
            <w:r w:rsidRPr="001414F2">
              <w:t>Beef</w:t>
            </w:r>
          </w:p>
        </w:tc>
        <w:tc>
          <w:tcPr>
            <w:tcW w:w="1134" w:type="dxa"/>
            <w:noWrap/>
            <w:hideMark/>
          </w:tcPr>
          <w:p w14:paraId="2F873D06"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43</w:t>
            </w:r>
          </w:p>
        </w:tc>
      </w:tr>
      <w:tr w:rsidR="00183BB9" w:rsidRPr="001414F2" w14:paraId="2CF384F8"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2165ACD3" w14:textId="77777777" w:rsidR="00183BB9" w:rsidRPr="00B63C4A" w:rsidRDefault="00183BB9" w:rsidP="00CE5465">
            <w:pPr>
              <w:rPr>
                <w:b w:val="0"/>
              </w:rPr>
            </w:pPr>
            <w:r w:rsidRPr="001414F2">
              <w:t>Sheep</w:t>
            </w:r>
          </w:p>
        </w:tc>
        <w:tc>
          <w:tcPr>
            <w:tcW w:w="1134" w:type="dxa"/>
            <w:noWrap/>
            <w:hideMark/>
          </w:tcPr>
          <w:p w14:paraId="54A3DA1E"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16</w:t>
            </w:r>
          </w:p>
        </w:tc>
      </w:tr>
      <w:tr w:rsidR="007C1D75" w:rsidRPr="001414F2" w14:paraId="332579AE"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1540F04B" w14:textId="77777777" w:rsidR="00183BB9" w:rsidRPr="00B63C4A" w:rsidRDefault="00183BB9" w:rsidP="00CE5465">
            <w:pPr>
              <w:rPr>
                <w:b w:val="0"/>
              </w:rPr>
            </w:pPr>
            <w:r w:rsidRPr="001414F2">
              <w:t>Processor</w:t>
            </w:r>
          </w:p>
        </w:tc>
        <w:tc>
          <w:tcPr>
            <w:tcW w:w="1134" w:type="dxa"/>
            <w:noWrap/>
            <w:hideMark/>
          </w:tcPr>
          <w:p w14:paraId="774F2AAF"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9</w:t>
            </w:r>
          </w:p>
        </w:tc>
      </w:tr>
      <w:tr w:rsidR="00183BB9" w:rsidRPr="001414F2" w14:paraId="098EC2B4"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3FB9D6A9" w14:textId="77777777" w:rsidR="00183BB9" w:rsidRPr="00B63C4A" w:rsidRDefault="00183BB9" w:rsidP="00CE5465">
            <w:pPr>
              <w:rPr>
                <w:b w:val="0"/>
              </w:rPr>
            </w:pPr>
            <w:r w:rsidRPr="001414F2">
              <w:t>Producer</w:t>
            </w:r>
          </w:p>
        </w:tc>
        <w:tc>
          <w:tcPr>
            <w:tcW w:w="1134" w:type="dxa"/>
            <w:noWrap/>
            <w:hideMark/>
          </w:tcPr>
          <w:p w14:paraId="576CF20D"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42</w:t>
            </w:r>
          </w:p>
        </w:tc>
      </w:tr>
      <w:tr w:rsidR="007C1D75" w:rsidRPr="001414F2" w14:paraId="53920D43"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44D02F09" w14:textId="77777777" w:rsidR="00183BB9" w:rsidRPr="00B63C4A" w:rsidRDefault="00183BB9" w:rsidP="00CE5465">
            <w:pPr>
              <w:rPr>
                <w:b w:val="0"/>
              </w:rPr>
            </w:pPr>
            <w:r w:rsidRPr="001414F2">
              <w:t>Seedstock</w:t>
            </w:r>
          </w:p>
        </w:tc>
        <w:tc>
          <w:tcPr>
            <w:tcW w:w="1134" w:type="dxa"/>
            <w:noWrap/>
            <w:hideMark/>
          </w:tcPr>
          <w:p w14:paraId="01A9363A"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20</w:t>
            </w:r>
          </w:p>
        </w:tc>
      </w:tr>
      <w:tr w:rsidR="00183BB9" w:rsidRPr="001414F2" w14:paraId="0CC1418C"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2513940A" w14:textId="77777777" w:rsidR="00183BB9" w:rsidRPr="00B63C4A" w:rsidRDefault="00183BB9" w:rsidP="00CE5465">
            <w:pPr>
              <w:rPr>
                <w:b w:val="0"/>
              </w:rPr>
            </w:pPr>
            <w:r w:rsidRPr="001414F2">
              <w:t>Feed lotter</w:t>
            </w:r>
          </w:p>
        </w:tc>
        <w:tc>
          <w:tcPr>
            <w:tcW w:w="1134" w:type="dxa"/>
            <w:noWrap/>
            <w:hideMark/>
          </w:tcPr>
          <w:p w14:paraId="7B231A9F"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7</w:t>
            </w:r>
          </w:p>
        </w:tc>
      </w:tr>
      <w:tr w:rsidR="007C1D75" w:rsidRPr="001414F2" w14:paraId="109B159D"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6CFC4E08" w14:textId="77777777" w:rsidR="00183BB9" w:rsidRPr="00B63C4A" w:rsidRDefault="00183BB9" w:rsidP="00CE5465">
            <w:pPr>
              <w:rPr>
                <w:b w:val="0"/>
              </w:rPr>
            </w:pPr>
            <w:r w:rsidRPr="00270B03">
              <w:t>Service Provision</w:t>
            </w:r>
            <w:r w:rsidRPr="001414F2">
              <w:t xml:space="preserve"> &amp; Research</w:t>
            </w:r>
          </w:p>
        </w:tc>
        <w:tc>
          <w:tcPr>
            <w:tcW w:w="1134" w:type="dxa"/>
            <w:noWrap/>
            <w:hideMark/>
          </w:tcPr>
          <w:p w14:paraId="264A6F43"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19</w:t>
            </w:r>
          </w:p>
        </w:tc>
      </w:tr>
      <w:tr w:rsidR="00183BB9" w:rsidRPr="001414F2" w14:paraId="49AEE4A9" w14:textId="77777777" w:rsidTr="00877CF4">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2898EB53" w14:textId="77777777" w:rsidR="00183BB9" w:rsidRPr="001414F2" w:rsidRDefault="00183BB9" w:rsidP="00CE5465">
            <w:r w:rsidRPr="001414F2">
              <w:t>Total</w:t>
            </w:r>
            <w:r>
              <w:t xml:space="preserve"> </w:t>
            </w:r>
            <w:r w:rsidRPr="001414F2">
              <w:t>Respondents</w:t>
            </w:r>
          </w:p>
        </w:tc>
        <w:tc>
          <w:tcPr>
            <w:tcW w:w="1134" w:type="dxa"/>
            <w:noWrap/>
            <w:hideMark/>
          </w:tcPr>
          <w:p w14:paraId="0D8886FA" w14:textId="77777777" w:rsidR="00183BB9" w:rsidRPr="001414F2" w:rsidRDefault="00183BB9" w:rsidP="00CE5465">
            <w:pPr>
              <w:ind w:right="121"/>
              <w:jc w:val="right"/>
              <w:cnfStyle w:val="000000000000" w:firstRow="0" w:lastRow="0" w:firstColumn="0" w:lastColumn="0" w:oddVBand="0" w:evenVBand="0" w:oddHBand="0" w:evenHBand="0" w:firstRowFirstColumn="0" w:firstRowLastColumn="0" w:lastRowFirstColumn="0" w:lastRowLastColumn="0"/>
            </w:pPr>
            <w:r w:rsidRPr="001414F2">
              <w:t>57</w:t>
            </w:r>
          </w:p>
        </w:tc>
      </w:tr>
    </w:tbl>
    <w:p w14:paraId="5F2351F7" w14:textId="18E8C303" w:rsidR="00D7083E" w:rsidRDefault="00D7083E" w:rsidP="00D7083E">
      <w:bookmarkStart w:id="209" w:name="_Ref90622565"/>
    </w:p>
    <w:p w14:paraId="348E122C" w14:textId="30390E27" w:rsidR="00074BEE" w:rsidRDefault="00074BEE">
      <w:r>
        <w:lastRenderedPageBreak/>
        <w:br w:type="page"/>
      </w:r>
    </w:p>
    <w:p w14:paraId="0E3D7A0E" w14:textId="77777777" w:rsidR="00074BEE" w:rsidRPr="00EF1B1E" w:rsidRDefault="00074BEE" w:rsidP="00074BEE">
      <w:pPr>
        <w:pStyle w:val="Heading1"/>
        <w:numPr>
          <w:ilvl w:val="0"/>
          <w:numId w:val="0"/>
        </w:numPr>
      </w:pPr>
      <w:bookmarkStart w:id="210" w:name="_Toc95983439"/>
      <w:r w:rsidRPr="00EF1B1E">
        <w:lastRenderedPageBreak/>
        <w:t xml:space="preserve">Appendix </w:t>
      </w:r>
      <w:r>
        <w:t>2</w:t>
      </w:r>
      <w:r w:rsidRPr="00EF1B1E">
        <w:t xml:space="preserve">.  </w:t>
      </w:r>
      <w:r>
        <w:t>The value of data</w:t>
      </w:r>
      <w:bookmarkEnd w:id="210"/>
    </w:p>
    <w:p w14:paraId="67802A2C" w14:textId="77777777" w:rsidR="00074BEE" w:rsidRPr="000F1EE2" w:rsidRDefault="00074BEE" w:rsidP="00074BEE">
      <w:pPr>
        <w:rPr>
          <w:b/>
          <w:sz w:val="6"/>
          <w:szCs w:val="6"/>
        </w:rPr>
      </w:pPr>
    </w:p>
    <w:p w14:paraId="3ADED7F1" w14:textId="77777777" w:rsidR="00074BEE" w:rsidRPr="00651E9F" w:rsidRDefault="00074BEE" w:rsidP="00074BEE">
      <w:pPr>
        <w:rPr>
          <w:b/>
        </w:rPr>
      </w:pPr>
      <w:r>
        <w:rPr>
          <w:b/>
        </w:rPr>
        <w:t>(Presentation delivered to a sheep breeding forum by Prof J.H.J van der Werf)</w:t>
      </w:r>
    </w:p>
    <w:p w14:paraId="120EF8FE" w14:textId="77777777" w:rsidR="00074BEE" w:rsidRDefault="00074BEE" w:rsidP="00074BEE">
      <w:pPr>
        <w:jc w:val="center"/>
      </w:pPr>
      <w:r w:rsidRPr="00651E9F">
        <w:rPr>
          <w:noProof/>
          <w:lang w:eastAsia="en-AU"/>
        </w:rPr>
        <w:drawing>
          <wp:inline distT="0" distB="0" distL="0" distR="0" wp14:anchorId="6FB69FA6" wp14:editId="4C178EAD">
            <wp:extent cx="48780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78000" cy="2743200"/>
                    </a:xfrm>
                    <a:prstGeom prst="rect">
                      <a:avLst/>
                    </a:prstGeom>
                  </pic:spPr>
                </pic:pic>
              </a:graphicData>
            </a:graphic>
          </wp:inline>
        </w:drawing>
      </w:r>
    </w:p>
    <w:p w14:paraId="6372E3D7" w14:textId="77777777" w:rsidR="00074BEE" w:rsidRDefault="00074BEE" w:rsidP="00074BEE">
      <w:pPr>
        <w:jc w:val="center"/>
      </w:pPr>
      <w:r w:rsidRPr="00651E9F">
        <w:rPr>
          <w:noProof/>
          <w:lang w:eastAsia="en-AU"/>
        </w:rPr>
        <w:drawing>
          <wp:inline distT="0" distB="0" distL="0" distR="0" wp14:anchorId="3EC967ED" wp14:editId="4FA4CA36">
            <wp:extent cx="48780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78000" cy="2743200"/>
                    </a:xfrm>
                    <a:prstGeom prst="rect">
                      <a:avLst/>
                    </a:prstGeom>
                  </pic:spPr>
                </pic:pic>
              </a:graphicData>
            </a:graphic>
          </wp:inline>
        </w:drawing>
      </w:r>
    </w:p>
    <w:p w14:paraId="499B9874" w14:textId="77777777" w:rsidR="00074BEE" w:rsidRDefault="00074BEE" w:rsidP="00074BEE">
      <w:pPr>
        <w:jc w:val="center"/>
      </w:pPr>
      <w:r w:rsidRPr="00651E9F">
        <w:rPr>
          <w:noProof/>
          <w:lang w:eastAsia="en-AU"/>
        </w:rPr>
        <w:drawing>
          <wp:inline distT="0" distB="0" distL="0" distR="0" wp14:anchorId="7FEE4EA8" wp14:editId="744C8973">
            <wp:extent cx="48780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78000" cy="2743200"/>
                    </a:xfrm>
                    <a:prstGeom prst="rect">
                      <a:avLst/>
                    </a:prstGeom>
                  </pic:spPr>
                </pic:pic>
              </a:graphicData>
            </a:graphic>
          </wp:inline>
        </w:drawing>
      </w:r>
    </w:p>
    <w:p w14:paraId="713482D0" w14:textId="77777777" w:rsidR="00074BEE" w:rsidRDefault="00074BEE" w:rsidP="00074BEE">
      <w:pPr>
        <w:jc w:val="center"/>
      </w:pPr>
      <w:r w:rsidRPr="00651E9F">
        <w:rPr>
          <w:noProof/>
          <w:lang w:eastAsia="en-AU"/>
        </w:rPr>
        <w:lastRenderedPageBreak/>
        <w:drawing>
          <wp:inline distT="0" distB="0" distL="0" distR="0" wp14:anchorId="3741FBE3" wp14:editId="7968F7B9">
            <wp:extent cx="48780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78000" cy="2743200"/>
                    </a:xfrm>
                    <a:prstGeom prst="rect">
                      <a:avLst/>
                    </a:prstGeom>
                  </pic:spPr>
                </pic:pic>
              </a:graphicData>
            </a:graphic>
          </wp:inline>
        </w:drawing>
      </w:r>
    </w:p>
    <w:p w14:paraId="068B5C41" w14:textId="77777777" w:rsidR="00074BEE" w:rsidRDefault="00074BEE" w:rsidP="00074BEE">
      <w:pPr>
        <w:jc w:val="center"/>
      </w:pPr>
      <w:r w:rsidRPr="00651E9F">
        <w:rPr>
          <w:noProof/>
          <w:lang w:eastAsia="en-AU"/>
        </w:rPr>
        <w:drawing>
          <wp:inline distT="0" distB="0" distL="0" distR="0" wp14:anchorId="4AF46041" wp14:editId="1C1D74C2">
            <wp:extent cx="48780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78000" cy="2743200"/>
                    </a:xfrm>
                    <a:prstGeom prst="rect">
                      <a:avLst/>
                    </a:prstGeom>
                  </pic:spPr>
                </pic:pic>
              </a:graphicData>
            </a:graphic>
          </wp:inline>
        </w:drawing>
      </w:r>
    </w:p>
    <w:p w14:paraId="3E131D6E" w14:textId="2B5ED24D" w:rsidR="00D7083E" w:rsidRDefault="00074BEE" w:rsidP="00074BEE">
      <w:r w:rsidRPr="00651E9F">
        <w:rPr>
          <w:noProof/>
          <w:lang w:eastAsia="en-AU"/>
        </w:rPr>
        <w:drawing>
          <wp:inline distT="0" distB="0" distL="0" distR="0" wp14:anchorId="3114F378" wp14:editId="0BCD16E4">
            <wp:extent cx="48780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78000" cy="2743200"/>
                    </a:xfrm>
                    <a:prstGeom prst="rect">
                      <a:avLst/>
                    </a:prstGeom>
                  </pic:spPr>
                </pic:pic>
              </a:graphicData>
            </a:graphic>
          </wp:inline>
        </w:drawing>
      </w:r>
    </w:p>
    <w:p w14:paraId="2B7D6F05" w14:textId="738F9AE9" w:rsidR="00551E2C" w:rsidRPr="00EF1B1E" w:rsidRDefault="00551E2C" w:rsidP="00551E2C">
      <w:pPr>
        <w:pStyle w:val="Heading1"/>
        <w:numPr>
          <w:ilvl w:val="0"/>
          <w:numId w:val="0"/>
        </w:numPr>
      </w:pPr>
      <w:bookmarkStart w:id="211" w:name="_Toc95983440"/>
      <w:r w:rsidRPr="00EF1B1E">
        <w:lastRenderedPageBreak/>
        <w:t xml:space="preserve">Appendix </w:t>
      </w:r>
      <w:r w:rsidR="00E060FA">
        <w:t>3</w:t>
      </w:r>
      <w:r w:rsidRPr="00EF1B1E">
        <w:t xml:space="preserve">.  </w:t>
      </w:r>
      <w:r>
        <w:t xml:space="preserve">Modelling genetic </w:t>
      </w:r>
      <w:r w:rsidR="000E2B88">
        <w:t>benefits</w:t>
      </w:r>
      <w:bookmarkEnd w:id="211"/>
    </w:p>
    <w:p w14:paraId="6A74AB9E" w14:textId="18CE468F" w:rsidR="00D7083E" w:rsidRDefault="00D7083E" w:rsidP="00D7083E"/>
    <w:p w14:paraId="265108F3" w14:textId="74AAF216" w:rsidR="00551E2C" w:rsidRDefault="00551E2C" w:rsidP="00551E2C">
      <w:r>
        <w:t xml:space="preserve">This appendix sets out the logic and method used to estimate possible industry benefits arising from additional data collection </w:t>
      </w:r>
      <w:r w:rsidR="000B03DE">
        <w:t xml:space="preserve">through </w:t>
      </w:r>
      <w:r>
        <w:t>generating increased accuracy of genomic selection, in turn enabling faster genetic progress for value chain profit.</w:t>
      </w:r>
    </w:p>
    <w:p w14:paraId="328F0DF9" w14:textId="77777777" w:rsidR="00B26E24" w:rsidRDefault="00B26E24" w:rsidP="00551E2C"/>
    <w:p w14:paraId="28211FEA" w14:textId="736B59BF" w:rsidR="00551E2C" w:rsidRDefault="00551E2C" w:rsidP="00551E2C">
      <w:r>
        <w:t>The core principle is that if numbers of commercial animals are genotyped, and some have performance data collected on them, and that data is made available to genomic reference populations, accuracy generated by those reference populations will increase.</w:t>
      </w:r>
      <w:r w:rsidR="000B03DE">
        <w:t xml:space="preserve">  </w:t>
      </w:r>
      <w:r>
        <w:t>In essence, the modelling simply estimate the benefit of that higher accuracy.</w:t>
      </w:r>
    </w:p>
    <w:p w14:paraId="785ED7F7" w14:textId="77777777" w:rsidR="000B03DE" w:rsidRDefault="000B03DE" w:rsidP="00551E2C"/>
    <w:p w14:paraId="19D21FD7" w14:textId="7179C7A3" w:rsidR="00551E2C" w:rsidRPr="00293748" w:rsidRDefault="00551E2C" w:rsidP="00551E2C">
      <w:pPr>
        <w:rPr>
          <w:b/>
          <w:bCs/>
          <w:color w:val="0070C0"/>
          <w:sz w:val="26"/>
          <w:szCs w:val="26"/>
        </w:rPr>
      </w:pPr>
      <w:r w:rsidRPr="00293748">
        <w:rPr>
          <w:b/>
          <w:bCs/>
          <w:color w:val="0070C0"/>
          <w:sz w:val="26"/>
          <w:szCs w:val="26"/>
        </w:rPr>
        <w:t>Modelling genetic progress - the base situation</w:t>
      </w:r>
    </w:p>
    <w:p w14:paraId="558FF025" w14:textId="77777777" w:rsidR="000B03DE" w:rsidRDefault="000B03DE" w:rsidP="00551E2C"/>
    <w:p w14:paraId="2D1C27B0" w14:textId="0DFC96DB" w:rsidR="00551E2C" w:rsidRDefault="00551E2C" w:rsidP="00551E2C">
      <w:r>
        <w:t>Current rates of genetic progress, and the parameters underpinning that, are used. Statistics on numbers of Australian animals evaluated through BREEDPLAN and Sheep Genetics, and the rates of progress in $Index terms, for the periods 2011-2015 and 2016-2020 were collated for planning purposes in early 2021:</w:t>
      </w:r>
    </w:p>
    <w:p w14:paraId="2E341A1D" w14:textId="77777777" w:rsidR="000B03DE" w:rsidRDefault="000B03DE" w:rsidP="00551E2C"/>
    <w:p w14:paraId="2C2B67B3" w14:textId="10ADEDAD" w:rsidR="00551E2C" w:rsidRPr="005A11B0" w:rsidRDefault="00551E2C" w:rsidP="00475E28">
      <w:pPr>
        <w:pStyle w:val="Caption"/>
      </w:pPr>
      <w:r w:rsidRPr="005A11B0">
        <w:t xml:space="preserve">Table </w:t>
      </w:r>
      <w:r w:rsidR="00E34602" w:rsidRPr="005A11B0">
        <w:t>A</w:t>
      </w:r>
      <w:r w:rsidR="002E3369">
        <w:t>3</w:t>
      </w:r>
      <w:r w:rsidR="00E34602" w:rsidRPr="005A11B0">
        <w:t>.</w:t>
      </w:r>
      <w:r w:rsidRPr="005A11B0">
        <w:t>1</w:t>
      </w:r>
      <w:r w:rsidR="005A11B0">
        <w:t>.  G</w:t>
      </w:r>
      <w:r w:rsidRPr="005A11B0">
        <w:t>enetic evaluation statistics for BREEDPLAN and Sheep Genetics</w:t>
      </w:r>
    </w:p>
    <w:p w14:paraId="6F11E827" w14:textId="77777777" w:rsidR="005A11B0" w:rsidRPr="00533462" w:rsidRDefault="005A11B0" w:rsidP="00551E2C">
      <w:pPr>
        <w:rPr>
          <w:b/>
        </w:rPr>
      </w:pPr>
    </w:p>
    <w:tbl>
      <w:tblPr>
        <w:tblW w:w="9322" w:type="dxa"/>
        <w:tblLayout w:type="fixed"/>
        <w:tblLook w:val="04A0" w:firstRow="1" w:lastRow="0" w:firstColumn="1" w:lastColumn="0" w:noHBand="0" w:noVBand="1"/>
      </w:tblPr>
      <w:tblGrid>
        <w:gridCol w:w="1526"/>
        <w:gridCol w:w="1113"/>
        <w:gridCol w:w="1114"/>
        <w:gridCol w:w="1114"/>
        <w:gridCol w:w="1113"/>
        <w:gridCol w:w="1114"/>
        <w:gridCol w:w="1114"/>
        <w:gridCol w:w="1114"/>
      </w:tblGrid>
      <w:tr w:rsidR="008473E6" w:rsidRPr="006272D1" w14:paraId="62EE0BBE" w14:textId="77777777" w:rsidTr="00693915">
        <w:trPr>
          <w:trHeight w:val="290"/>
        </w:trPr>
        <w:tc>
          <w:tcPr>
            <w:tcW w:w="9322" w:type="dxa"/>
            <w:gridSpan w:val="8"/>
            <w:tcBorders>
              <w:top w:val="nil"/>
              <w:left w:val="nil"/>
              <w:bottom w:val="nil"/>
              <w:right w:val="nil"/>
            </w:tcBorders>
            <w:shd w:val="clear" w:color="auto" w:fill="auto"/>
            <w:noWrap/>
            <w:vAlign w:val="center"/>
            <w:hideMark/>
          </w:tcPr>
          <w:p w14:paraId="3289938B" w14:textId="2796E197" w:rsidR="008473E6" w:rsidRPr="008473E6" w:rsidRDefault="008473E6" w:rsidP="00075ACE">
            <w:pPr>
              <w:rPr>
                <w:rFonts w:ascii="Times New Roman" w:eastAsia="Times New Roman" w:hAnsi="Times New Roman" w:cs="Times New Roman"/>
                <w:b/>
                <w:bCs/>
                <w:sz w:val="20"/>
                <w:szCs w:val="20"/>
                <w:lang w:eastAsia="en-AU"/>
              </w:rPr>
            </w:pPr>
            <w:r w:rsidRPr="008473E6">
              <w:rPr>
                <w:rFonts w:ascii="Calibri" w:eastAsia="Times New Roman" w:hAnsi="Calibri" w:cs="Calibri"/>
                <w:b/>
                <w:bCs/>
                <w:color w:val="000000"/>
                <w:lang w:val="en-US" w:eastAsia="en-AU"/>
              </w:rPr>
              <w:t>BREEDPLAN</w:t>
            </w:r>
          </w:p>
        </w:tc>
      </w:tr>
      <w:tr w:rsidR="008473E6" w:rsidRPr="006272D1" w14:paraId="111A6A1C" w14:textId="77777777" w:rsidTr="00693915">
        <w:trPr>
          <w:trHeight w:val="1441"/>
        </w:trPr>
        <w:tc>
          <w:tcPr>
            <w:tcW w:w="1526" w:type="dxa"/>
            <w:tcBorders>
              <w:top w:val="single" w:sz="8" w:space="0" w:color="auto"/>
              <w:left w:val="single" w:sz="8" w:space="0" w:color="auto"/>
              <w:bottom w:val="nil"/>
              <w:right w:val="single" w:sz="8" w:space="0" w:color="auto"/>
            </w:tcBorders>
            <w:shd w:val="clear" w:color="auto" w:fill="auto"/>
            <w:hideMark/>
          </w:tcPr>
          <w:p w14:paraId="7BC22946"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Time period</w:t>
            </w:r>
          </w:p>
        </w:tc>
        <w:tc>
          <w:tcPr>
            <w:tcW w:w="1113" w:type="dxa"/>
            <w:tcBorders>
              <w:top w:val="single" w:sz="8" w:space="0" w:color="auto"/>
              <w:left w:val="nil"/>
              <w:bottom w:val="nil"/>
              <w:right w:val="single" w:sz="8" w:space="0" w:color="auto"/>
            </w:tcBorders>
            <w:shd w:val="clear" w:color="auto" w:fill="auto"/>
            <w:hideMark/>
          </w:tcPr>
          <w:p w14:paraId="62B66720"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#s - British</w:t>
            </w:r>
          </w:p>
        </w:tc>
        <w:tc>
          <w:tcPr>
            <w:tcW w:w="1114" w:type="dxa"/>
            <w:tcBorders>
              <w:top w:val="single" w:sz="8" w:space="0" w:color="auto"/>
              <w:left w:val="nil"/>
              <w:bottom w:val="nil"/>
              <w:right w:val="single" w:sz="8" w:space="0" w:color="auto"/>
            </w:tcBorders>
            <w:shd w:val="clear" w:color="auto" w:fill="auto"/>
            <w:hideMark/>
          </w:tcPr>
          <w:p w14:paraId="0A9F2AD8"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#s - Tropical</w:t>
            </w:r>
          </w:p>
        </w:tc>
        <w:tc>
          <w:tcPr>
            <w:tcW w:w="1114" w:type="dxa"/>
            <w:tcBorders>
              <w:top w:val="single" w:sz="8" w:space="0" w:color="auto"/>
              <w:left w:val="nil"/>
              <w:bottom w:val="nil"/>
              <w:right w:val="single" w:sz="8" w:space="0" w:color="auto"/>
            </w:tcBorders>
            <w:shd w:val="clear" w:color="auto" w:fill="auto"/>
            <w:hideMark/>
          </w:tcPr>
          <w:p w14:paraId="173B4962"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#s - European</w:t>
            </w:r>
          </w:p>
        </w:tc>
        <w:tc>
          <w:tcPr>
            <w:tcW w:w="1113" w:type="dxa"/>
            <w:tcBorders>
              <w:top w:val="single" w:sz="8" w:space="0" w:color="auto"/>
              <w:left w:val="nil"/>
              <w:bottom w:val="nil"/>
              <w:right w:val="single" w:sz="8" w:space="0" w:color="auto"/>
            </w:tcBorders>
            <w:shd w:val="clear" w:color="auto" w:fill="auto"/>
            <w:hideMark/>
          </w:tcPr>
          <w:p w14:paraId="587AEED2"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Average Index trend - British</w:t>
            </w:r>
          </w:p>
        </w:tc>
        <w:tc>
          <w:tcPr>
            <w:tcW w:w="1114" w:type="dxa"/>
            <w:tcBorders>
              <w:top w:val="single" w:sz="8" w:space="0" w:color="auto"/>
              <w:left w:val="nil"/>
              <w:bottom w:val="nil"/>
              <w:right w:val="single" w:sz="8" w:space="0" w:color="auto"/>
            </w:tcBorders>
            <w:shd w:val="clear" w:color="auto" w:fill="auto"/>
            <w:hideMark/>
          </w:tcPr>
          <w:p w14:paraId="7F28CD4B"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Average Index trend - Tropical</w:t>
            </w:r>
          </w:p>
        </w:tc>
        <w:tc>
          <w:tcPr>
            <w:tcW w:w="1114" w:type="dxa"/>
            <w:tcBorders>
              <w:top w:val="single" w:sz="8" w:space="0" w:color="auto"/>
              <w:left w:val="nil"/>
              <w:bottom w:val="nil"/>
              <w:right w:val="single" w:sz="8" w:space="0" w:color="auto"/>
            </w:tcBorders>
            <w:shd w:val="clear" w:color="auto" w:fill="auto"/>
            <w:hideMark/>
          </w:tcPr>
          <w:p w14:paraId="5B58C2BC"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Average Index trend - European</w:t>
            </w:r>
          </w:p>
        </w:tc>
        <w:tc>
          <w:tcPr>
            <w:tcW w:w="1114" w:type="dxa"/>
            <w:tcBorders>
              <w:top w:val="single" w:sz="8" w:space="0" w:color="auto"/>
              <w:left w:val="nil"/>
              <w:bottom w:val="nil"/>
              <w:right w:val="single" w:sz="8" w:space="0" w:color="auto"/>
            </w:tcBorders>
            <w:shd w:val="clear" w:color="auto" w:fill="auto"/>
            <w:hideMark/>
          </w:tcPr>
          <w:p w14:paraId="77339650"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Impact - #s x index trend summed</w:t>
            </w:r>
          </w:p>
        </w:tc>
      </w:tr>
      <w:tr w:rsidR="008473E6" w:rsidRPr="006272D1" w14:paraId="77F45445" w14:textId="77777777" w:rsidTr="00693915">
        <w:trPr>
          <w:trHeight w:val="590"/>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3D656F24" w14:textId="77777777" w:rsidR="008473E6" w:rsidRPr="006272D1" w:rsidRDefault="008473E6" w:rsidP="00CC23D5">
            <w:pPr>
              <w:rPr>
                <w:rFonts w:ascii="Calibri" w:eastAsia="Times New Roman" w:hAnsi="Calibri" w:cs="Calibri"/>
                <w:color w:val="000000"/>
                <w:lang w:eastAsia="en-AU"/>
              </w:rPr>
            </w:pPr>
            <w:r w:rsidRPr="006272D1">
              <w:rPr>
                <w:rFonts w:ascii="Calibri" w:eastAsia="Times New Roman" w:hAnsi="Calibri" w:cs="Calibri"/>
                <w:color w:val="000000"/>
                <w:lang w:eastAsia="en-AU"/>
              </w:rPr>
              <w:t>2011-2015</w:t>
            </w:r>
          </w:p>
        </w:tc>
        <w:tc>
          <w:tcPr>
            <w:tcW w:w="1113" w:type="dxa"/>
            <w:tcBorders>
              <w:top w:val="nil"/>
              <w:left w:val="nil"/>
              <w:bottom w:val="single" w:sz="8" w:space="0" w:color="auto"/>
              <w:right w:val="single" w:sz="8" w:space="0" w:color="auto"/>
            </w:tcBorders>
            <w:shd w:val="clear" w:color="auto" w:fill="auto"/>
            <w:vAlign w:val="center"/>
            <w:hideMark/>
          </w:tcPr>
          <w:p w14:paraId="7765900A"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114,297</w:t>
            </w:r>
          </w:p>
        </w:tc>
        <w:tc>
          <w:tcPr>
            <w:tcW w:w="1114" w:type="dxa"/>
            <w:tcBorders>
              <w:top w:val="nil"/>
              <w:left w:val="nil"/>
              <w:bottom w:val="single" w:sz="8" w:space="0" w:color="auto"/>
              <w:right w:val="single" w:sz="8" w:space="0" w:color="auto"/>
            </w:tcBorders>
            <w:shd w:val="clear" w:color="auto" w:fill="auto"/>
            <w:vAlign w:val="center"/>
            <w:hideMark/>
          </w:tcPr>
          <w:p w14:paraId="0E53D948"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25,357</w:t>
            </w:r>
          </w:p>
        </w:tc>
        <w:tc>
          <w:tcPr>
            <w:tcW w:w="1114" w:type="dxa"/>
            <w:tcBorders>
              <w:top w:val="nil"/>
              <w:left w:val="nil"/>
              <w:bottom w:val="single" w:sz="8" w:space="0" w:color="auto"/>
              <w:right w:val="single" w:sz="8" w:space="0" w:color="auto"/>
            </w:tcBorders>
            <w:shd w:val="clear" w:color="auto" w:fill="auto"/>
            <w:vAlign w:val="center"/>
            <w:hideMark/>
          </w:tcPr>
          <w:p w14:paraId="41C34632"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21,811</w:t>
            </w:r>
          </w:p>
        </w:tc>
        <w:tc>
          <w:tcPr>
            <w:tcW w:w="1113" w:type="dxa"/>
            <w:tcBorders>
              <w:top w:val="nil"/>
              <w:left w:val="nil"/>
              <w:bottom w:val="single" w:sz="8" w:space="0" w:color="auto"/>
              <w:right w:val="single" w:sz="8" w:space="0" w:color="auto"/>
            </w:tcBorders>
            <w:shd w:val="clear" w:color="auto" w:fill="auto"/>
            <w:vAlign w:val="center"/>
            <w:hideMark/>
          </w:tcPr>
          <w:p w14:paraId="7B68B7FD"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3.95</w:t>
            </w:r>
          </w:p>
        </w:tc>
        <w:tc>
          <w:tcPr>
            <w:tcW w:w="1114" w:type="dxa"/>
            <w:tcBorders>
              <w:top w:val="nil"/>
              <w:left w:val="nil"/>
              <w:bottom w:val="single" w:sz="8" w:space="0" w:color="auto"/>
              <w:right w:val="single" w:sz="8" w:space="0" w:color="auto"/>
            </w:tcBorders>
            <w:shd w:val="clear" w:color="auto" w:fill="auto"/>
            <w:vAlign w:val="center"/>
            <w:hideMark/>
          </w:tcPr>
          <w:p w14:paraId="7B675E37"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0.85</w:t>
            </w:r>
          </w:p>
        </w:tc>
        <w:tc>
          <w:tcPr>
            <w:tcW w:w="1114" w:type="dxa"/>
            <w:tcBorders>
              <w:top w:val="nil"/>
              <w:left w:val="nil"/>
              <w:bottom w:val="single" w:sz="8" w:space="0" w:color="auto"/>
              <w:right w:val="single" w:sz="8" w:space="0" w:color="auto"/>
            </w:tcBorders>
            <w:shd w:val="clear" w:color="auto" w:fill="auto"/>
            <w:vAlign w:val="center"/>
            <w:hideMark/>
          </w:tcPr>
          <w:p w14:paraId="4796672E"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1.91</w:t>
            </w:r>
          </w:p>
        </w:tc>
        <w:tc>
          <w:tcPr>
            <w:tcW w:w="1114" w:type="dxa"/>
            <w:tcBorders>
              <w:top w:val="nil"/>
              <w:left w:val="nil"/>
              <w:bottom w:val="single" w:sz="8" w:space="0" w:color="auto"/>
              <w:right w:val="single" w:sz="8" w:space="0" w:color="auto"/>
            </w:tcBorders>
            <w:shd w:val="clear" w:color="auto" w:fill="auto"/>
            <w:vAlign w:val="center"/>
            <w:hideMark/>
          </w:tcPr>
          <w:p w14:paraId="70012BA5" w14:textId="77777777" w:rsidR="008473E6" w:rsidRPr="006272D1" w:rsidRDefault="008473E6"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514,686</w:t>
            </w:r>
          </w:p>
        </w:tc>
      </w:tr>
      <w:tr w:rsidR="008473E6" w:rsidRPr="006272D1" w14:paraId="1EC22184" w14:textId="77777777" w:rsidTr="00693915">
        <w:trPr>
          <w:trHeight w:val="590"/>
        </w:trPr>
        <w:tc>
          <w:tcPr>
            <w:tcW w:w="1526" w:type="dxa"/>
            <w:tcBorders>
              <w:top w:val="nil"/>
              <w:left w:val="single" w:sz="8" w:space="0" w:color="auto"/>
              <w:bottom w:val="single" w:sz="8" w:space="0" w:color="auto"/>
              <w:right w:val="single" w:sz="8" w:space="0" w:color="auto"/>
            </w:tcBorders>
            <w:shd w:val="clear" w:color="auto" w:fill="6BBF4C" w:themeFill="accent1" w:themeFillTint="99"/>
            <w:vAlign w:val="center"/>
            <w:hideMark/>
          </w:tcPr>
          <w:p w14:paraId="7351DAAB" w14:textId="77777777" w:rsidR="008473E6" w:rsidRPr="006272D1" w:rsidRDefault="008473E6" w:rsidP="00CC23D5">
            <w:pPr>
              <w:rPr>
                <w:rFonts w:ascii="Calibri" w:eastAsia="Times New Roman" w:hAnsi="Calibri" w:cs="Calibri"/>
                <w:b/>
                <w:color w:val="000000"/>
                <w:lang w:eastAsia="en-AU"/>
              </w:rPr>
            </w:pPr>
            <w:r w:rsidRPr="006272D1">
              <w:rPr>
                <w:rFonts w:ascii="Calibri" w:eastAsia="Times New Roman" w:hAnsi="Calibri" w:cs="Calibri"/>
                <w:b/>
                <w:color w:val="000000"/>
                <w:lang w:eastAsia="en-AU"/>
              </w:rPr>
              <w:t>2016-2020</w:t>
            </w:r>
          </w:p>
        </w:tc>
        <w:tc>
          <w:tcPr>
            <w:tcW w:w="1113" w:type="dxa"/>
            <w:tcBorders>
              <w:top w:val="nil"/>
              <w:left w:val="nil"/>
              <w:bottom w:val="single" w:sz="8" w:space="0" w:color="auto"/>
              <w:right w:val="single" w:sz="8" w:space="0" w:color="auto"/>
            </w:tcBorders>
            <w:shd w:val="clear" w:color="auto" w:fill="6BBF4C" w:themeFill="accent1" w:themeFillTint="99"/>
            <w:vAlign w:val="center"/>
            <w:hideMark/>
          </w:tcPr>
          <w:p w14:paraId="263EB8DA" w14:textId="77777777" w:rsidR="008473E6" w:rsidRPr="006272D1" w:rsidRDefault="008473E6"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113,554</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4F4637DF" w14:textId="77777777" w:rsidR="008473E6" w:rsidRPr="006272D1" w:rsidRDefault="008473E6"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25,200</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53DA3416" w14:textId="77777777" w:rsidR="008473E6" w:rsidRPr="006272D1" w:rsidRDefault="008473E6"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18,713</w:t>
            </w:r>
          </w:p>
        </w:tc>
        <w:tc>
          <w:tcPr>
            <w:tcW w:w="1113" w:type="dxa"/>
            <w:tcBorders>
              <w:top w:val="nil"/>
              <w:left w:val="nil"/>
              <w:bottom w:val="single" w:sz="8" w:space="0" w:color="auto"/>
              <w:right w:val="single" w:sz="8" w:space="0" w:color="auto"/>
            </w:tcBorders>
            <w:shd w:val="clear" w:color="auto" w:fill="6BBF4C" w:themeFill="accent1" w:themeFillTint="99"/>
            <w:vAlign w:val="center"/>
            <w:hideMark/>
          </w:tcPr>
          <w:p w14:paraId="750D142B" w14:textId="77777777" w:rsidR="008473E6" w:rsidRPr="006272D1" w:rsidRDefault="008473E6"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5.44</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11CBB035" w14:textId="77777777" w:rsidR="008473E6" w:rsidRPr="006272D1" w:rsidRDefault="008473E6"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1.67</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4E339B06" w14:textId="77777777" w:rsidR="008473E6" w:rsidRPr="006272D1" w:rsidRDefault="008473E6"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1.98</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2CCF10BE" w14:textId="77777777" w:rsidR="008473E6" w:rsidRPr="006272D1" w:rsidRDefault="008473E6"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696,870</w:t>
            </w:r>
          </w:p>
        </w:tc>
      </w:tr>
      <w:tr w:rsidR="00693915" w:rsidRPr="00693915" w14:paraId="686374FB" w14:textId="77777777" w:rsidTr="00693915">
        <w:trPr>
          <w:trHeight w:val="300"/>
        </w:trPr>
        <w:tc>
          <w:tcPr>
            <w:tcW w:w="9322" w:type="dxa"/>
            <w:gridSpan w:val="8"/>
            <w:tcBorders>
              <w:top w:val="nil"/>
              <w:left w:val="nil"/>
              <w:bottom w:val="nil"/>
              <w:right w:val="nil"/>
            </w:tcBorders>
            <w:shd w:val="clear" w:color="auto" w:fill="auto"/>
            <w:noWrap/>
            <w:vAlign w:val="bottom"/>
            <w:hideMark/>
          </w:tcPr>
          <w:p w14:paraId="03B24090" w14:textId="3E5B435E" w:rsidR="00693915" w:rsidRPr="00693915" w:rsidRDefault="00693915" w:rsidP="00075ACE">
            <w:pPr>
              <w:spacing w:before="120"/>
              <w:rPr>
                <w:rFonts w:ascii="Calibri" w:eastAsia="Times New Roman" w:hAnsi="Calibri" w:cs="Calibri"/>
                <w:b/>
                <w:bCs/>
                <w:color w:val="000000"/>
                <w:lang w:val="en-US" w:eastAsia="en-AU"/>
              </w:rPr>
            </w:pPr>
            <w:r w:rsidRPr="00693915">
              <w:rPr>
                <w:rFonts w:ascii="Calibri" w:eastAsia="Times New Roman" w:hAnsi="Calibri" w:cs="Calibri"/>
                <w:b/>
                <w:bCs/>
                <w:color w:val="000000"/>
                <w:lang w:val="en-US" w:eastAsia="en-AU"/>
              </w:rPr>
              <w:t>Sheep Genetics</w:t>
            </w:r>
          </w:p>
        </w:tc>
      </w:tr>
      <w:tr w:rsidR="00551E2C" w:rsidRPr="006272D1" w14:paraId="0174F2AA" w14:textId="77777777" w:rsidTr="00693915">
        <w:trPr>
          <w:trHeight w:val="1460"/>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3612ED"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Time period</w:t>
            </w:r>
          </w:p>
        </w:tc>
        <w:tc>
          <w:tcPr>
            <w:tcW w:w="1113" w:type="dxa"/>
            <w:tcBorders>
              <w:top w:val="single" w:sz="8" w:space="0" w:color="auto"/>
              <w:left w:val="nil"/>
              <w:bottom w:val="single" w:sz="8" w:space="0" w:color="auto"/>
              <w:right w:val="single" w:sz="8" w:space="0" w:color="auto"/>
            </w:tcBorders>
            <w:shd w:val="clear" w:color="auto" w:fill="auto"/>
            <w:vAlign w:val="center"/>
            <w:hideMark/>
          </w:tcPr>
          <w:p w14:paraId="6D80B9DA"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#s - Terminal</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14:paraId="7E66E364"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#s - Maternal</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14:paraId="4C2E75A1"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#s - Merino</w:t>
            </w:r>
          </w:p>
        </w:tc>
        <w:tc>
          <w:tcPr>
            <w:tcW w:w="1113" w:type="dxa"/>
            <w:tcBorders>
              <w:top w:val="single" w:sz="8" w:space="0" w:color="auto"/>
              <w:left w:val="nil"/>
              <w:bottom w:val="single" w:sz="8" w:space="0" w:color="auto"/>
              <w:right w:val="single" w:sz="8" w:space="0" w:color="auto"/>
            </w:tcBorders>
            <w:shd w:val="clear" w:color="auto" w:fill="auto"/>
            <w:vAlign w:val="center"/>
            <w:hideMark/>
          </w:tcPr>
          <w:p w14:paraId="2D637689"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Average Index trend - Terminal</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14:paraId="5BC71F77"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Average Index trend - Maternal</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14:paraId="010EECD4"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Average Index trend - Merino</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14:paraId="34A03744" w14:textId="77777777" w:rsidR="00551E2C" w:rsidRPr="006272D1" w:rsidRDefault="00551E2C" w:rsidP="005A11B0">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Impact - #s x index trend summed</w:t>
            </w:r>
          </w:p>
        </w:tc>
      </w:tr>
      <w:tr w:rsidR="00551E2C" w:rsidRPr="006272D1" w14:paraId="540D4B6B" w14:textId="77777777" w:rsidTr="00693915">
        <w:trPr>
          <w:trHeight w:val="590"/>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7E8E2342" w14:textId="77777777" w:rsidR="00551E2C" w:rsidRPr="006272D1" w:rsidRDefault="00551E2C" w:rsidP="00CC23D5">
            <w:pPr>
              <w:rPr>
                <w:rFonts w:ascii="Calibri" w:eastAsia="Times New Roman" w:hAnsi="Calibri" w:cs="Calibri"/>
                <w:color w:val="000000"/>
                <w:lang w:eastAsia="en-AU"/>
              </w:rPr>
            </w:pPr>
            <w:r w:rsidRPr="006272D1">
              <w:rPr>
                <w:rFonts w:ascii="Calibri" w:eastAsia="Times New Roman" w:hAnsi="Calibri" w:cs="Calibri"/>
                <w:color w:val="000000"/>
                <w:lang w:eastAsia="en-AU"/>
              </w:rPr>
              <w:t>2011-2015</w:t>
            </w:r>
          </w:p>
        </w:tc>
        <w:tc>
          <w:tcPr>
            <w:tcW w:w="1113" w:type="dxa"/>
            <w:tcBorders>
              <w:top w:val="nil"/>
              <w:left w:val="nil"/>
              <w:bottom w:val="single" w:sz="8" w:space="0" w:color="auto"/>
              <w:right w:val="single" w:sz="8" w:space="0" w:color="auto"/>
            </w:tcBorders>
            <w:shd w:val="clear" w:color="auto" w:fill="auto"/>
            <w:vAlign w:val="center"/>
            <w:hideMark/>
          </w:tcPr>
          <w:p w14:paraId="2DEB85B7" w14:textId="77777777" w:rsidR="00551E2C" w:rsidRPr="006272D1" w:rsidRDefault="00551E2C"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93,112</w:t>
            </w:r>
          </w:p>
        </w:tc>
        <w:tc>
          <w:tcPr>
            <w:tcW w:w="1114" w:type="dxa"/>
            <w:tcBorders>
              <w:top w:val="nil"/>
              <w:left w:val="nil"/>
              <w:bottom w:val="single" w:sz="8" w:space="0" w:color="auto"/>
              <w:right w:val="single" w:sz="8" w:space="0" w:color="auto"/>
            </w:tcBorders>
            <w:shd w:val="clear" w:color="auto" w:fill="auto"/>
            <w:vAlign w:val="center"/>
            <w:hideMark/>
          </w:tcPr>
          <w:p w14:paraId="3F7585F0" w14:textId="77777777" w:rsidR="00551E2C" w:rsidRPr="006272D1" w:rsidRDefault="00551E2C"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29,041</w:t>
            </w:r>
          </w:p>
        </w:tc>
        <w:tc>
          <w:tcPr>
            <w:tcW w:w="1114" w:type="dxa"/>
            <w:tcBorders>
              <w:top w:val="nil"/>
              <w:left w:val="nil"/>
              <w:bottom w:val="single" w:sz="8" w:space="0" w:color="auto"/>
              <w:right w:val="single" w:sz="8" w:space="0" w:color="auto"/>
            </w:tcBorders>
            <w:shd w:val="clear" w:color="auto" w:fill="auto"/>
            <w:vAlign w:val="center"/>
            <w:hideMark/>
          </w:tcPr>
          <w:p w14:paraId="1AA01478" w14:textId="77777777" w:rsidR="00551E2C" w:rsidRPr="006272D1" w:rsidRDefault="00551E2C"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104,414</w:t>
            </w:r>
          </w:p>
        </w:tc>
        <w:tc>
          <w:tcPr>
            <w:tcW w:w="1113" w:type="dxa"/>
            <w:tcBorders>
              <w:top w:val="nil"/>
              <w:left w:val="nil"/>
              <w:bottom w:val="single" w:sz="8" w:space="0" w:color="auto"/>
              <w:right w:val="single" w:sz="8" w:space="0" w:color="auto"/>
            </w:tcBorders>
            <w:shd w:val="clear" w:color="auto" w:fill="auto"/>
            <w:vAlign w:val="center"/>
            <w:hideMark/>
          </w:tcPr>
          <w:p w14:paraId="0A3DEFA0" w14:textId="77777777" w:rsidR="00551E2C" w:rsidRPr="006272D1" w:rsidRDefault="00551E2C"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1.31</w:t>
            </w:r>
          </w:p>
        </w:tc>
        <w:tc>
          <w:tcPr>
            <w:tcW w:w="1114" w:type="dxa"/>
            <w:tcBorders>
              <w:top w:val="nil"/>
              <w:left w:val="nil"/>
              <w:bottom w:val="single" w:sz="8" w:space="0" w:color="auto"/>
              <w:right w:val="single" w:sz="8" w:space="0" w:color="auto"/>
            </w:tcBorders>
            <w:shd w:val="clear" w:color="auto" w:fill="auto"/>
            <w:vAlign w:val="center"/>
            <w:hideMark/>
          </w:tcPr>
          <w:p w14:paraId="051E912A" w14:textId="77777777" w:rsidR="00551E2C" w:rsidRPr="006272D1" w:rsidRDefault="00551E2C"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1.77</w:t>
            </w:r>
          </w:p>
        </w:tc>
        <w:tc>
          <w:tcPr>
            <w:tcW w:w="1114" w:type="dxa"/>
            <w:tcBorders>
              <w:top w:val="nil"/>
              <w:left w:val="nil"/>
              <w:bottom w:val="single" w:sz="8" w:space="0" w:color="auto"/>
              <w:right w:val="single" w:sz="8" w:space="0" w:color="auto"/>
            </w:tcBorders>
            <w:shd w:val="clear" w:color="auto" w:fill="auto"/>
            <w:vAlign w:val="center"/>
            <w:hideMark/>
          </w:tcPr>
          <w:p w14:paraId="00B3A90A" w14:textId="77777777" w:rsidR="00551E2C" w:rsidRPr="006272D1" w:rsidRDefault="00551E2C"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1.84</w:t>
            </w:r>
          </w:p>
        </w:tc>
        <w:tc>
          <w:tcPr>
            <w:tcW w:w="1114" w:type="dxa"/>
            <w:tcBorders>
              <w:top w:val="nil"/>
              <w:left w:val="nil"/>
              <w:bottom w:val="single" w:sz="8" w:space="0" w:color="auto"/>
              <w:right w:val="single" w:sz="8" w:space="0" w:color="auto"/>
            </w:tcBorders>
            <w:shd w:val="clear" w:color="auto" w:fill="auto"/>
            <w:vAlign w:val="center"/>
            <w:hideMark/>
          </w:tcPr>
          <w:p w14:paraId="0768A1A1" w14:textId="77777777" w:rsidR="00551E2C" w:rsidRPr="006272D1" w:rsidRDefault="00551E2C" w:rsidP="00CC23D5">
            <w:pPr>
              <w:jc w:val="center"/>
              <w:rPr>
                <w:rFonts w:ascii="Calibri" w:eastAsia="Times New Roman" w:hAnsi="Calibri" w:cs="Calibri"/>
                <w:color w:val="000000"/>
                <w:lang w:eastAsia="en-AU"/>
              </w:rPr>
            </w:pPr>
            <w:r w:rsidRPr="006272D1">
              <w:rPr>
                <w:rFonts w:ascii="Calibri" w:eastAsia="Times New Roman" w:hAnsi="Calibri" w:cs="Calibri"/>
                <w:color w:val="000000"/>
                <w:lang w:eastAsia="en-AU"/>
              </w:rPr>
              <w:t>365,501</w:t>
            </w:r>
          </w:p>
        </w:tc>
      </w:tr>
      <w:tr w:rsidR="00551E2C" w:rsidRPr="006272D1" w14:paraId="1DC417B4" w14:textId="77777777" w:rsidTr="00693915">
        <w:trPr>
          <w:trHeight w:val="590"/>
        </w:trPr>
        <w:tc>
          <w:tcPr>
            <w:tcW w:w="1526" w:type="dxa"/>
            <w:tcBorders>
              <w:top w:val="nil"/>
              <w:left w:val="single" w:sz="8" w:space="0" w:color="auto"/>
              <w:bottom w:val="single" w:sz="8" w:space="0" w:color="auto"/>
              <w:right w:val="single" w:sz="8" w:space="0" w:color="auto"/>
            </w:tcBorders>
            <w:shd w:val="clear" w:color="auto" w:fill="6BBF4C" w:themeFill="accent1" w:themeFillTint="99"/>
            <w:vAlign w:val="center"/>
            <w:hideMark/>
          </w:tcPr>
          <w:p w14:paraId="1D133A7A" w14:textId="77777777" w:rsidR="00551E2C" w:rsidRPr="006272D1" w:rsidRDefault="00551E2C" w:rsidP="00CC23D5">
            <w:pPr>
              <w:rPr>
                <w:rFonts w:ascii="Calibri" w:eastAsia="Times New Roman" w:hAnsi="Calibri" w:cs="Calibri"/>
                <w:b/>
                <w:color w:val="000000"/>
                <w:lang w:eastAsia="en-AU"/>
              </w:rPr>
            </w:pPr>
            <w:r w:rsidRPr="006272D1">
              <w:rPr>
                <w:rFonts w:ascii="Calibri" w:eastAsia="Times New Roman" w:hAnsi="Calibri" w:cs="Calibri"/>
                <w:b/>
                <w:color w:val="000000"/>
                <w:lang w:eastAsia="en-AU"/>
              </w:rPr>
              <w:t>2016-2020</w:t>
            </w:r>
          </w:p>
        </w:tc>
        <w:tc>
          <w:tcPr>
            <w:tcW w:w="1113" w:type="dxa"/>
            <w:tcBorders>
              <w:top w:val="nil"/>
              <w:left w:val="nil"/>
              <w:bottom w:val="single" w:sz="8" w:space="0" w:color="auto"/>
              <w:right w:val="single" w:sz="8" w:space="0" w:color="auto"/>
            </w:tcBorders>
            <w:shd w:val="clear" w:color="auto" w:fill="6BBF4C" w:themeFill="accent1" w:themeFillTint="99"/>
            <w:vAlign w:val="center"/>
            <w:hideMark/>
          </w:tcPr>
          <w:p w14:paraId="05B71A03" w14:textId="77777777" w:rsidR="00551E2C" w:rsidRPr="006272D1" w:rsidRDefault="00551E2C"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97,896</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5C6DA7B3" w14:textId="77777777" w:rsidR="00551E2C" w:rsidRPr="006272D1" w:rsidRDefault="00551E2C"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36,521</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75C76A39" w14:textId="77777777" w:rsidR="00551E2C" w:rsidRPr="006272D1" w:rsidRDefault="00551E2C"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106,642</w:t>
            </w:r>
          </w:p>
        </w:tc>
        <w:tc>
          <w:tcPr>
            <w:tcW w:w="1113" w:type="dxa"/>
            <w:tcBorders>
              <w:top w:val="nil"/>
              <w:left w:val="nil"/>
              <w:bottom w:val="single" w:sz="8" w:space="0" w:color="auto"/>
              <w:right w:val="single" w:sz="8" w:space="0" w:color="auto"/>
            </w:tcBorders>
            <w:shd w:val="clear" w:color="auto" w:fill="6BBF4C" w:themeFill="accent1" w:themeFillTint="99"/>
            <w:vAlign w:val="center"/>
            <w:hideMark/>
          </w:tcPr>
          <w:p w14:paraId="7E42F1A2" w14:textId="77777777" w:rsidR="00551E2C" w:rsidRPr="006272D1" w:rsidRDefault="00551E2C"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1.99</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693CC777" w14:textId="77777777" w:rsidR="00551E2C" w:rsidRPr="006272D1" w:rsidRDefault="00551E2C"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2.99</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5BBD048F" w14:textId="77777777" w:rsidR="00551E2C" w:rsidRPr="006272D1" w:rsidRDefault="00551E2C"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4.32</w:t>
            </w:r>
          </w:p>
        </w:tc>
        <w:tc>
          <w:tcPr>
            <w:tcW w:w="1114" w:type="dxa"/>
            <w:tcBorders>
              <w:top w:val="nil"/>
              <w:left w:val="nil"/>
              <w:bottom w:val="single" w:sz="8" w:space="0" w:color="auto"/>
              <w:right w:val="single" w:sz="8" w:space="0" w:color="auto"/>
            </w:tcBorders>
            <w:shd w:val="clear" w:color="auto" w:fill="6BBF4C" w:themeFill="accent1" w:themeFillTint="99"/>
            <w:vAlign w:val="center"/>
            <w:hideMark/>
          </w:tcPr>
          <w:p w14:paraId="7D64C41A" w14:textId="77777777" w:rsidR="00551E2C" w:rsidRPr="006272D1" w:rsidRDefault="00551E2C" w:rsidP="00CC23D5">
            <w:pPr>
              <w:jc w:val="center"/>
              <w:rPr>
                <w:rFonts w:ascii="Calibri" w:eastAsia="Times New Roman" w:hAnsi="Calibri" w:cs="Calibri"/>
                <w:b/>
                <w:color w:val="000000"/>
                <w:lang w:eastAsia="en-AU"/>
              </w:rPr>
            </w:pPr>
            <w:r w:rsidRPr="006272D1">
              <w:rPr>
                <w:rFonts w:ascii="Calibri" w:eastAsia="Times New Roman" w:hAnsi="Calibri" w:cs="Calibri"/>
                <w:b/>
                <w:color w:val="000000"/>
                <w:lang w:eastAsia="en-AU"/>
              </w:rPr>
              <w:t>764,704</w:t>
            </w:r>
          </w:p>
        </w:tc>
      </w:tr>
    </w:tbl>
    <w:p w14:paraId="04CBE332" w14:textId="77777777" w:rsidR="00551E2C" w:rsidRDefault="00551E2C" w:rsidP="00551E2C"/>
    <w:p w14:paraId="1CD7B155" w14:textId="75860033" w:rsidR="00551E2C" w:rsidRDefault="00551E2C" w:rsidP="00551E2C">
      <w:r>
        <w:t>NB: the impact measure calculated and presented in the right-ha</w:t>
      </w:r>
      <w:r w:rsidR="00E34602">
        <w:t>n</w:t>
      </w:r>
      <w:r>
        <w:t>d column is a simple way to assess changes in impact of genetic evaluation and improvement. It is not used here.</w:t>
      </w:r>
    </w:p>
    <w:p w14:paraId="19BADE40" w14:textId="77777777" w:rsidR="00551E2C" w:rsidRDefault="00551E2C" w:rsidP="00551E2C"/>
    <w:p w14:paraId="30ED04F5" w14:textId="77777777" w:rsidR="00551E2C" w:rsidRDefault="00551E2C" w:rsidP="00551E2C">
      <w:r>
        <w:t>The two shaded rows contain the data forming the base case for the modelling here.</w:t>
      </w:r>
    </w:p>
    <w:p w14:paraId="0FE3FE54" w14:textId="77777777" w:rsidR="00551E2C" w:rsidRDefault="00551E2C" w:rsidP="00551E2C"/>
    <w:p w14:paraId="38A08F65" w14:textId="777BF740" w:rsidR="00551E2C" w:rsidRPr="00293748" w:rsidRDefault="00551E2C" w:rsidP="00CE0B91">
      <w:pPr>
        <w:keepNext/>
        <w:keepLines/>
        <w:rPr>
          <w:b/>
          <w:bCs/>
          <w:color w:val="0070C0"/>
          <w:sz w:val="26"/>
          <w:szCs w:val="26"/>
        </w:rPr>
      </w:pPr>
      <w:r w:rsidRPr="00293748">
        <w:rPr>
          <w:b/>
          <w:bCs/>
          <w:color w:val="0070C0"/>
          <w:sz w:val="26"/>
          <w:szCs w:val="26"/>
        </w:rPr>
        <w:lastRenderedPageBreak/>
        <w:t>Modelling the value of additional data</w:t>
      </w:r>
    </w:p>
    <w:p w14:paraId="41984766" w14:textId="77777777" w:rsidR="00293748" w:rsidRDefault="00293748" w:rsidP="00CE0B91">
      <w:pPr>
        <w:keepNext/>
        <w:keepLines/>
      </w:pPr>
    </w:p>
    <w:p w14:paraId="02A9D5FC" w14:textId="21695B7D" w:rsidR="00551E2C" w:rsidRDefault="00551E2C" w:rsidP="00551E2C">
      <w:r>
        <w:t xml:space="preserve">To calculate rates of progress with additional data (and hence increased accuracy), the parameters of the response equation were derived from the rates of progress shown above, using either population statistics obtained from ABRI (S Skinner, </w:t>
      </w:r>
      <w:r w:rsidRPr="00293748">
        <w:rPr>
          <w:i/>
          <w:iCs/>
        </w:rPr>
        <w:t>pers</w:t>
      </w:r>
      <w:r w:rsidR="00293748">
        <w:rPr>
          <w:i/>
          <w:iCs/>
        </w:rPr>
        <w:t>.</w:t>
      </w:r>
      <w:r w:rsidRPr="00293748">
        <w:rPr>
          <w:i/>
          <w:iCs/>
        </w:rPr>
        <w:t xml:space="preserve"> comm</w:t>
      </w:r>
      <w:r w:rsidR="00293748">
        <w:rPr>
          <w:i/>
          <w:iCs/>
        </w:rPr>
        <w:t>.</w:t>
      </w:r>
      <w:r>
        <w:t>)</w:t>
      </w:r>
      <w:r w:rsidR="00082887">
        <w:t xml:space="preserve">, </w:t>
      </w:r>
      <w:r>
        <w:t xml:space="preserve">AGBU (A Swan, </w:t>
      </w:r>
      <w:r w:rsidR="00293748" w:rsidRPr="00293748">
        <w:rPr>
          <w:i/>
          <w:iCs/>
        </w:rPr>
        <w:t>pers</w:t>
      </w:r>
      <w:r w:rsidR="00293748">
        <w:rPr>
          <w:i/>
          <w:iCs/>
        </w:rPr>
        <w:t>.</w:t>
      </w:r>
      <w:r w:rsidR="00293748" w:rsidRPr="00293748">
        <w:rPr>
          <w:i/>
          <w:iCs/>
        </w:rPr>
        <w:t xml:space="preserve"> comm</w:t>
      </w:r>
      <w:r w:rsidR="00293748">
        <w:rPr>
          <w:i/>
          <w:iCs/>
        </w:rPr>
        <w:t>.</w:t>
      </w:r>
      <w:r>
        <w:t>), or estimated based on industry experience.</w:t>
      </w:r>
    </w:p>
    <w:p w14:paraId="069F452E" w14:textId="77777777" w:rsidR="00293748" w:rsidRDefault="00293748" w:rsidP="00551E2C"/>
    <w:p w14:paraId="5DC5F9F1" w14:textId="5C57483C" w:rsidR="00551E2C" w:rsidRDefault="6D551497" w:rsidP="00551E2C">
      <w:r>
        <w:t>The modelling was performed for each of the 6 sectors in Table A</w:t>
      </w:r>
      <w:r w:rsidR="002E3369">
        <w:t>3</w:t>
      </w:r>
      <w:r>
        <w:t>.1 – northern cattle, British breed cattle (predominantly southern), European breed cattle, and terminal sire sheep, maternal breed sheep and Merinos.  The base parameters used, and brief comments regarding their derivation are shown in Table A</w:t>
      </w:r>
      <w:r w:rsidR="002E3369">
        <w:t>3</w:t>
      </w:r>
      <w:r>
        <w:t xml:space="preserve">.2.  In this table, Southern Beef comprises both British and European cattle. </w:t>
      </w:r>
    </w:p>
    <w:p w14:paraId="19B5120D" w14:textId="77777777" w:rsidR="00082887" w:rsidRDefault="00082887" w:rsidP="00551E2C">
      <w:pPr>
        <w:rPr>
          <w:b/>
        </w:rPr>
      </w:pPr>
    </w:p>
    <w:p w14:paraId="0F126B1F" w14:textId="231A8C68" w:rsidR="00551E2C" w:rsidRPr="00743ACC" w:rsidRDefault="00551E2C" w:rsidP="00743ACC">
      <w:pPr>
        <w:jc w:val="center"/>
        <w:rPr>
          <w:rFonts w:ascii="Arial" w:eastAsiaTheme="minorEastAsia" w:hAnsi="Arial"/>
          <w:bCs/>
          <w:i/>
          <w:color w:val="404040" w:themeColor="text1" w:themeTint="BF"/>
          <w:szCs w:val="20"/>
        </w:rPr>
      </w:pPr>
      <w:r w:rsidRPr="00743ACC">
        <w:rPr>
          <w:rFonts w:ascii="Arial" w:eastAsiaTheme="minorEastAsia" w:hAnsi="Arial"/>
          <w:bCs/>
          <w:i/>
          <w:color w:val="404040" w:themeColor="text1" w:themeTint="BF"/>
          <w:szCs w:val="20"/>
        </w:rPr>
        <w:t xml:space="preserve">Table </w:t>
      </w:r>
      <w:r w:rsidR="00743ACC" w:rsidRPr="00743ACC">
        <w:rPr>
          <w:rFonts w:ascii="Arial" w:eastAsiaTheme="minorEastAsia" w:hAnsi="Arial"/>
          <w:bCs/>
          <w:i/>
          <w:color w:val="404040" w:themeColor="text1" w:themeTint="BF"/>
          <w:szCs w:val="20"/>
        </w:rPr>
        <w:t>A</w:t>
      </w:r>
      <w:r w:rsidR="00B67145">
        <w:rPr>
          <w:rFonts w:ascii="Arial" w:eastAsiaTheme="minorEastAsia" w:hAnsi="Arial"/>
          <w:bCs/>
          <w:i/>
          <w:color w:val="404040" w:themeColor="text1" w:themeTint="BF"/>
          <w:szCs w:val="20"/>
        </w:rPr>
        <w:t>3</w:t>
      </w:r>
      <w:r w:rsidR="00743ACC" w:rsidRPr="00743ACC">
        <w:rPr>
          <w:rFonts w:ascii="Arial" w:eastAsiaTheme="minorEastAsia" w:hAnsi="Arial"/>
          <w:bCs/>
          <w:i/>
          <w:color w:val="404040" w:themeColor="text1" w:themeTint="BF"/>
          <w:szCs w:val="20"/>
        </w:rPr>
        <w:t>.</w:t>
      </w:r>
      <w:r w:rsidRPr="00743ACC">
        <w:rPr>
          <w:rFonts w:ascii="Arial" w:eastAsiaTheme="minorEastAsia" w:hAnsi="Arial"/>
          <w:bCs/>
          <w:i/>
          <w:color w:val="404040" w:themeColor="text1" w:themeTint="BF"/>
          <w:szCs w:val="20"/>
        </w:rPr>
        <w:t>2: Base/current population parameters for genetic improvement, BREEDPLAN and Sheep Genetics</w:t>
      </w:r>
    </w:p>
    <w:tbl>
      <w:tblPr>
        <w:tblW w:w="5000" w:type="pct"/>
        <w:tblLayout w:type="fixed"/>
        <w:tblCellMar>
          <w:left w:w="0" w:type="dxa"/>
          <w:right w:w="0" w:type="dxa"/>
        </w:tblCellMar>
        <w:tblLook w:val="04A0" w:firstRow="1" w:lastRow="0" w:firstColumn="1" w:lastColumn="0" w:noHBand="0" w:noVBand="1"/>
      </w:tblPr>
      <w:tblGrid>
        <w:gridCol w:w="567"/>
        <w:gridCol w:w="3136"/>
        <w:gridCol w:w="1063"/>
        <w:gridCol w:w="1065"/>
        <w:gridCol w:w="1065"/>
        <w:gridCol w:w="1065"/>
        <w:gridCol w:w="1065"/>
      </w:tblGrid>
      <w:tr w:rsidR="0041421B" w:rsidRPr="00533462" w14:paraId="0299DEAD" w14:textId="77777777" w:rsidTr="6D551497">
        <w:trPr>
          <w:trHeight w:val="290"/>
        </w:trPr>
        <w:tc>
          <w:tcPr>
            <w:tcW w:w="314" w:type="pct"/>
            <w:tcBorders>
              <w:top w:val="nil"/>
              <w:left w:val="nil"/>
              <w:right w:val="nil"/>
            </w:tcBorders>
            <w:vAlign w:val="bottom"/>
          </w:tcPr>
          <w:p w14:paraId="63FDACA5" w14:textId="77777777" w:rsidR="0041421B" w:rsidRDefault="0041421B" w:rsidP="00116F6E">
            <w:pPr>
              <w:ind w:left="-57" w:right="-57"/>
              <w:jc w:val="center"/>
              <w:rPr>
                <w:rFonts w:ascii="Calibri" w:eastAsia="Times New Roman" w:hAnsi="Calibri" w:cs="Calibri"/>
                <w:b/>
                <w:color w:val="000000"/>
                <w:lang w:eastAsia="en-AU"/>
              </w:rPr>
            </w:pPr>
          </w:p>
        </w:tc>
        <w:tc>
          <w:tcPr>
            <w:tcW w:w="1737" w:type="pct"/>
            <w:tcBorders>
              <w:top w:val="nil"/>
              <w:left w:val="nil"/>
              <w:right w:val="nil"/>
            </w:tcBorders>
            <w:shd w:val="clear" w:color="auto" w:fill="auto"/>
            <w:noWrap/>
            <w:vAlign w:val="bottom"/>
          </w:tcPr>
          <w:p w14:paraId="15D5158E" w14:textId="77777777" w:rsidR="0041421B" w:rsidRPr="00533462" w:rsidRDefault="0041421B" w:rsidP="00116F6E">
            <w:pPr>
              <w:jc w:val="center"/>
              <w:rPr>
                <w:rFonts w:ascii="Calibri" w:eastAsia="Times New Roman" w:hAnsi="Calibri" w:cs="Calibri"/>
                <w:b/>
                <w:color w:val="000000"/>
                <w:lang w:eastAsia="en-AU"/>
              </w:rPr>
            </w:pPr>
          </w:p>
        </w:tc>
        <w:tc>
          <w:tcPr>
            <w:tcW w:w="1179" w:type="pct"/>
            <w:gridSpan w:val="2"/>
            <w:tcBorders>
              <w:top w:val="nil"/>
              <w:left w:val="nil"/>
              <w:right w:val="nil"/>
            </w:tcBorders>
            <w:shd w:val="clear" w:color="auto" w:fill="auto"/>
            <w:noWrap/>
            <w:vAlign w:val="bottom"/>
          </w:tcPr>
          <w:p w14:paraId="202A727D" w14:textId="25BC109E" w:rsidR="0041421B" w:rsidRPr="00533462" w:rsidRDefault="0041421B" w:rsidP="00116F6E">
            <w:pPr>
              <w:jc w:val="center"/>
              <w:rPr>
                <w:rFonts w:ascii="Calibri" w:eastAsia="Times New Roman" w:hAnsi="Calibri" w:cs="Calibri"/>
                <w:b/>
                <w:color w:val="000000"/>
                <w:lang w:eastAsia="en-AU"/>
              </w:rPr>
            </w:pPr>
            <w:r>
              <w:rPr>
                <w:rFonts w:ascii="Calibri" w:eastAsia="Times New Roman" w:hAnsi="Calibri" w:cs="Calibri"/>
                <w:b/>
                <w:color w:val="000000"/>
                <w:lang w:eastAsia="en-AU"/>
              </w:rPr>
              <w:t>Beef</w:t>
            </w:r>
          </w:p>
        </w:tc>
        <w:tc>
          <w:tcPr>
            <w:tcW w:w="1770" w:type="pct"/>
            <w:gridSpan w:val="3"/>
            <w:tcBorders>
              <w:top w:val="nil"/>
              <w:left w:val="nil"/>
              <w:right w:val="nil"/>
            </w:tcBorders>
            <w:shd w:val="clear" w:color="auto" w:fill="auto"/>
            <w:noWrap/>
            <w:vAlign w:val="bottom"/>
          </w:tcPr>
          <w:p w14:paraId="53E490F5" w14:textId="23793F71" w:rsidR="0041421B" w:rsidRPr="00533462" w:rsidRDefault="0041421B" w:rsidP="00116F6E">
            <w:pPr>
              <w:jc w:val="center"/>
              <w:rPr>
                <w:rFonts w:ascii="Calibri" w:eastAsia="Times New Roman" w:hAnsi="Calibri" w:cs="Calibri"/>
                <w:b/>
                <w:color w:val="000000"/>
                <w:lang w:eastAsia="en-AU"/>
              </w:rPr>
            </w:pPr>
            <w:r>
              <w:rPr>
                <w:rFonts w:ascii="Calibri" w:eastAsia="Times New Roman" w:hAnsi="Calibri" w:cs="Calibri"/>
                <w:b/>
                <w:color w:val="000000"/>
                <w:lang w:eastAsia="en-AU"/>
              </w:rPr>
              <w:t>Sheep</w:t>
            </w:r>
          </w:p>
        </w:tc>
      </w:tr>
      <w:tr w:rsidR="00045801" w:rsidRPr="00533462" w14:paraId="20AE0CD4" w14:textId="77777777" w:rsidTr="6D551497">
        <w:trPr>
          <w:trHeight w:val="290"/>
        </w:trPr>
        <w:tc>
          <w:tcPr>
            <w:tcW w:w="314" w:type="pct"/>
            <w:tcBorders>
              <w:left w:val="nil"/>
              <w:bottom w:val="single" w:sz="4" w:space="0" w:color="auto"/>
              <w:right w:val="nil"/>
            </w:tcBorders>
            <w:vAlign w:val="bottom"/>
          </w:tcPr>
          <w:p w14:paraId="281A75C8" w14:textId="227BA732" w:rsidR="005C347D" w:rsidRPr="00B85D89" w:rsidRDefault="002211CD" w:rsidP="0041421B">
            <w:pPr>
              <w:ind w:left="-57" w:right="-57"/>
              <w:jc w:val="center"/>
              <w:rPr>
                <w:rFonts w:ascii="Calibri" w:eastAsia="Times New Roman" w:hAnsi="Calibri" w:cs="Calibri"/>
                <w:b/>
                <w:i/>
                <w:iCs/>
                <w:color w:val="000000"/>
                <w:lang w:eastAsia="en-AU"/>
              </w:rPr>
            </w:pPr>
            <w:r w:rsidRPr="00B85D89">
              <w:rPr>
                <w:rFonts w:ascii="Calibri" w:eastAsia="Times New Roman" w:hAnsi="Calibri" w:cs="Calibri"/>
                <w:b/>
                <w:i/>
                <w:iCs/>
                <w:color w:val="000000"/>
                <w:lang w:eastAsia="en-AU"/>
              </w:rPr>
              <w:t>Note</w:t>
            </w:r>
          </w:p>
        </w:tc>
        <w:tc>
          <w:tcPr>
            <w:tcW w:w="1737" w:type="pct"/>
            <w:tcBorders>
              <w:left w:val="nil"/>
              <w:bottom w:val="single" w:sz="4" w:space="0" w:color="auto"/>
              <w:right w:val="nil"/>
            </w:tcBorders>
            <w:shd w:val="clear" w:color="auto" w:fill="auto"/>
            <w:noWrap/>
            <w:vAlign w:val="bottom"/>
            <w:hideMark/>
          </w:tcPr>
          <w:p w14:paraId="45407340" w14:textId="0E7BAC63" w:rsidR="005C347D" w:rsidRPr="00533462" w:rsidRDefault="005C347D" w:rsidP="00116F6E">
            <w:pPr>
              <w:jc w:val="center"/>
              <w:rPr>
                <w:rFonts w:ascii="Calibri" w:eastAsia="Times New Roman" w:hAnsi="Calibri" w:cs="Calibri"/>
                <w:b/>
                <w:color w:val="000000"/>
                <w:lang w:eastAsia="en-AU"/>
              </w:rPr>
            </w:pPr>
            <w:r w:rsidRPr="00533462">
              <w:rPr>
                <w:rFonts w:ascii="Calibri" w:eastAsia="Times New Roman" w:hAnsi="Calibri" w:cs="Calibri"/>
                <w:b/>
                <w:color w:val="000000"/>
                <w:lang w:eastAsia="en-AU"/>
              </w:rPr>
              <w:t>Parameter</w:t>
            </w:r>
          </w:p>
        </w:tc>
        <w:tc>
          <w:tcPr>
            <w:tcW w:w="589" w:type="pct"/>
            <w:tcBorders>
              <w:left w:val="nil"/>
              <w:bottom w:val="single" w:sz="4" w:space="0" w:color="auto"/>
              <w:right w:val="nil"/>
            </w:tcBorders>
            <w:shd w:val="clear" w:color="auto" w:fill="auto"/>
            <w:noWrap/>
            <w:vAlign w:val="bottom"/>
            <w:hideMark/>
          </w:tcPr>
          <w:p w14:paraId="5492261B" w14:textId="77777777" w:rsidR="005C347D" w:rsidRPr="00533462" w:rsidRDefault="005C347D" w:rsidP="00116F6E">
            <w:pPr>
              <w:jc w:val="center"/>
              <w:rPr>
                <w:rFonts w:ascii="Calibri" w:eastAsia="Times New Roman" w:hAnsi="Calibri" w:cs="Calibri"/>
                <w:b/>
                <w:color w:val="000000"/>
                <w:lang w:eastAsia="en-AU"/>
              </w:rPr>
            </w:pPr>
            <w:r w:rsidRPr="00533462">
              <w:rPr>
                <w:rFonts w:ascii="Calibri" w:eastAsia="Times New Roman" w:hAnsi="Calibri" w:cs="Calibri"/>
                <w:b/>
                <w:color w:val="000000"/>
                <w:lang w:eastAsia="en-AU"/>
              </w:rPr>
              <w:t>North</w:t>
            </w:r>
          </w:p>
        </w:tc>
        <w:tc>
          <w:tcPr>
            <w:tcW w:w="590" w:type="pct"/>
            <w:tcBorders>
              <w:left w:val="nil"/>
              <w:bottom w:val="single" w:sz="4" w:space="0" w:color="auto"/>
              <w:right w:val="nil"/>
            </w:tcBorders>
            <w:shd w:val="clear" w:color="auto" w:fill="auto"/>
            <w:noWrap/>
            <w:vAlign w:val="bottom"/>
            <w:hideMark/>
          </w:tcPr>
          <w:p w14:paraId="05CCBB12" w14:textId="77777777" w:rsidR="005C347D" w:rsidRPr="00533462" w:rsidRDefault="005C347D" w:rsidP="00116F6E">
            <w:pPr>
              <w:jc w:val="center"/>
              <w:rPr>
                <w:rFonts w:ascii="Calibri" w:eastAsia="Times New Roman" w:hAnsi="Calibri" w:cs="Calibri"/>
                <w:b/>
                <w:color w:val="000000"/>
                <w:lang w:eastAsia="en-AU"/>
              </w:rPr>
            </w:pPr>
            <w:r w:rsidRPr="00533462">
              <w:rPr>
                <w:rFonts w:ascii="Calibri" w:eastAsia="Times New Roman" w:hAnsi="Calibri" w:cs="Calibri"/>
                <w:b/>
                <w:color w:val="000000"/>
                <w:lang w:eastAsia="en-AU"/>
              </w:rPr>
              <w:t>South</w:t>
            </w:r>
          </w:p>
        </w:tc>
        <w:tc>
          <w:tcPr>
            <w:tcW w:w="590" w:type="pct"/>
            <w:tcBorders>
              <w:left w:val="nil"/>
              <w:bottom w:val="single" w:sz="4" w:space="0" w:color="auto"/>
              <w:right w:val="nil"/>
            </w:tcBorders>
            <w:shd w:val="clear" w:color="auto" w:fill="auto"/>
            <w:noWrap/>
            <w:vAlign w:val="bottom"/>
            <w:hideMark/>
          </w:tcPr>
          <w:p w14:paraId="1A314C2D" w14:textId="78D390F4" w:rsidR="005C347D" w:rsidRPr="00533462" w:rsidRDefault="005C347D" w:rsidP="00116F6E">
            <w:pPr>
              <w:jc w:val="center"/>
              <w:rPr>
                <w:rFonts w:ascii="Calibri" w:eastAsia="Times New Roman" w:hAnsi="Calibri" w:cs="Calibri"/>
                <w:b/>
                <w:color w:val="000000"/>
                <w:lang w:eastAsia="en-AU"/>
              </w:rPr>
            </w:pPr>
            <w:r w:rsidRPr="00533462">
              <w:rPr>
                <w:rFonts w:ascii="Calibri" w:eastAsia="Times New Roman" w:hAnsi="Calibri" w:cs="Calibri"/>
                <w:b/>
                <w:color w:val="000000"/>
                <w:lang w:eastAsia="en-AU"/>
              </w:rPr>
              <w:t>T</w:t>
            </w:r>
            <w:r>
              <w:rPr>
                <w:rFonts w:ascii="Calibri" w:eastAsia="Times New Roman" w:hAnsi="Calibri" w:cs="Calibri"/>
                <w:b/>
                <w:color w:val="000000"/>
                <w:lang w:eastAsia="en-AU"/>
              </w:rPr>
              <w:t>erminal</w:t>
            </w:r>
          </w:p>
        </w:tc>
        <w:tc>
          <w:tcPr>
            <w:tcW w:w="590" w:type="pct"/>
            <w:tcBorders>
              <w:left w:val="nil"/>
              <w:bottom w:val="single" w:sz="4" w:space="0" w:color="auto"/>
              <w:right w:val="nil"/>
            </w:tcBorders>
            <w:shd w:val="clear" w:color="auto" w:fill="auto"/>
            <w:noWrap/>
            <w:vAlign w:val="bottom"/>
            <w:hideMark/>
          </w:tcPr>
          <w:p w14:paraId="70441B62" w14:textId="77777777" w:rsidR="005C347D" w:rsidRPr="00533462" w:rsidRDefault="005C347D" w:rsidP="00116F6E">
            <w:pPr>
              <w:jc w:val="center"/>
              <w:rPr>
                <w:rFonts w:ascii="Calibri" w:eastAsia="Times New Roman" w:hAnsi="Calibri" w:cs="Calibri"/>
                <w:b/>
                <w:color w:val="000000"/>
                <w:lang w:eastAsia="en-AU"/>
              </w:rPr>
            </w:pPr>
            <w:r w:rsidRPr="00533462">
              <w:rPr>
                <w:rFonts w:ascii="Calibri" w:eastAsia="Times New Roman" w:hAnsi="Calibri" w:cs="Calibri"/>
                <w:b/>
                <w:color w:val="000000"/>
                <w:lang w:eastAsia="en-AU"/>
              </w:rPr>
              <w:t>Maternal</w:t>
            </w:r>
          </w:p>
        </w:tc>
        <w:tc>
          <w:tcPr>
            <w:tcW w:w="590" w:type="pct"/>
            <w:tcBorders>
              <w:left w:val="nil"/>
              <w:bottom w:val="single" w:sz="4" w:space="0" w:color="auto"/>
              <w:right w:val="nil"/>
            </w:tcBorders>
            <w:shd w:val="clear" w:color="auto" w:fill="auto"/>
            <w:noWrap/>
            <w:vAlign w:val="bottom"/>
            <w:hideMark/>
          </w:tcPr>
          <w:p w14:paraId="7FDB71EA" w14:textId="77777777" w:rsidR="005C347D" w:rsidRPr="00533462" w:rsidRDefault="005C347D" w:rsidP="00116F6E">
            <w:pPr>
              <w:jc w:val="center"/>
              <w:rPr>
                <w:rFonts w:ascii="Calibri" w:eastAsia="Times New Roman" w:hAnsi="Calibri" w:cs="Calibri"/>
                <w:b/>
                <w:color w:val="000000"/>
                <w:lang w:eastAsia="en-AU"/>
              </w:rPr>
            </w:pPr>
            <w:r w:rsidRPr="00533462">
              <w:rPr>
                <w:rFonts w:ascii="Calibri" w:eastAsia="Times New Roman" w:hAnsi="Calibri" w:cs="Calibri"/>
                <w:b/>
                <w:color w:val="000000"/>
                <w:lang w:eastAsia="en-AU"/>
              </w:rPr>
              <w:t>Merino</w:t>
            </w:r>
          </w:p>
        </w:tc>
      </w:tr>
      <w:tr w:rsidR="00045801" w:rsidRPr="00533462" w14:paraId="6BA1CF9F" w14:textId="77777777" w:rsidTr="6D551497">
        <w:trPr>
          <w:trHeight w:val="290"/>
        </w:trPr>
        <w:tc>
          <w:tcPr>
            <w:tcW w:w="314" w:type="pct"/>
            <w:tcBorders>
              <w:top w:val="single" w:sz="4" w:space="0" w:color="auto"/>
              <w:left w:val="nil"/>
              <w:bottom w:val="nil"/>
              <w:right w:val="nil"/>
            </w:tcBorders>
          </w:tcPr>
          <w:p w14:paraId="6F1A10EE" w14:textId="490CC2DD" w:rsidR="001D4CF5" w:rsidRPr="00B85D89" w:rsidRDefault="002211CD" w:rsidP="00094E3C">
            <w:pPr>
              <w:spacing w:before="120" w:after="120"/>
              <w:jc w:val="center"/>
              <w:rPr>
                <w:rFonts w:eastAsia="Times New Roman" w:cstheme="minorHAnsi"/>
                <w:i/>
                <w:iCs/>
                <w:color w:val="000000"/>
                <w:lang w:eastAsia="en-AU"/>
              </w:rPr>
            </w:pPr>
            <w:r w:rsidRPr="00B85D89">
              <w:rPr>
                <w:rFonts w:eastAsia="Times New Roman" w:cstheme="minorHAnsi"/>
                <w:i/>
                <w:iCs/>
                <w:color w:val="000000"/>
                <w:lang w:eastAsia="en-AU"/>
              </w:rPr>
              <w:t>a</w:t>
            </w:r>
          </w:p>
        </w:tc>
        <w:tc>
          <w:tcPr>
            <w:tcW w:w="1737" w:type="pct"/>
            <w:tcBorders>
              <w:top w:val="single" w:sz="4" w:space="0" w:color="auto"/>
              <w:left w:val="nil"/>
              <w:bottom w:val="nil"/>
              <w:right w:val="nil"/>
            </w:tcBorders>
            <w:shd w:val="clear" w:color="auto" w:fill="auto"/>
            <w:noWrap/>
            <w:vAlign w:val="bottom"/>
            <w:hideMark/>
          </w:tcPr>
          <w:p w14:paraId="321E1409" w14:textId="6E6335F6" w:rsidR="001D4CF5" w:rsidRPr="00533462" w:rsidRDefault="001D4CF5" w:rsidP="00094E3C">
            <w:pPr>
              <w:spacing w:before="120" w:after="120"/>
              <w:rPr>
                <w:rFonts w:ascii="Calibri" w:eastAsia="Times New Roman" w:hAnsi="Calibri" w:cs="Calibri"/>
                <w:color w:val="000000"/>
                <w:lang w:eastAsia="en-AU"/>
              </w:rPr>
            </w:pPr>
            <w:r>
              <w:rPr>
                <w:rFonts w:ascii="Calibri" w:eastAsia="Times New Roman" w:hAnsi="Calibri" w:cs="Calibri"/>
                <w:color w:val="000000"/>
                <w:lang w:eastAsia="en-AU"/>
              </w:rPr>
              <w:t>A</w:t>
            </w:r>
            <w:r w:rsidRPr="00533462">
              <w:rPr>
                <w:rFonts w:ascii="Calibri" w:eastAsia="Times New Roman" w:hAnsi="Calibri" w:cs="Calibri"/>
                <w:color w:val="000000"/>
                <w:lang w:eastAsia="en-AU"/>
              </w:rPr>
              <w:t>nimals evaluated per year</w:t>
            </w:r>
          </w:p>
        </w:tc>
        <w:tc>
          <w:tcPr>
            <w:tcW w:w="589" w:type="pct"/>
            <w:tcBorders>
              <w:top w:val="single" w:sz="4" w:space="0" w:color="auto"/>
              <w:left w:val="nil"/>
              <w:bottom w:val="nil"/>
              <w:right w:val="nil"/>
            </w:tcBorders>
            <w:shd w:val="clear" w:color="auto" w:fill="auto"/>
            <w:noWrap/>
            <w:vAlign w:val="bottom"/>
            <w:hideMark/>
          </w:tcPr>
          <w:p w14:paraId="46F37A8E"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25,200</w:t>
            </w:r>
          </w:p>
        </w:tc>
        <w:tc>
          <w:tcPr>
            <w:tcW w:w="590" w:type="pct"/>
            <w:tcBorders>
              <w:top w:val="single" w:sz="4" w:space="0" w:color="auto"/>
              <w:left w:val="nil"/>
              <w:bottom w:val="nil"/>
              <w:right w:val="nil"/>
            </w:tcBorders>
            <w:shd w:val="clear" w:color="auto" w:fill="auto"/>
            <w:noWrap/>
            <w:vAlign w:val="bottom"/>
            <w:hideMark/>
          </w:tcPr>
          <w:p w14:paraId="05B178E6" w14:textId="77777777" w:rsidR="001D4CF5" w:rsidRPr="00533462" w:rsidRDefault="001D4CF5" w:rsidP="00094E3C">
            <w:pPr>
              <w:spacing w:before="120" w:after="120"/>
              <w:jc w:val="right"/>
              <w:rPr>
                <w:rFonts w:ascii="Times New Roman" w:eastAsia="Times New Roman" w:hAnsi="Times New Roman" w:cs="Times New Roman"/>
                <w:sz w:val="20"/>
                <w:szCs w:val="20"/>
                <w:lang w:eastAsia="en-AU"/>
              </w:rPr>
            </w:pPr>
            <w:r w:rsidRPr="00533462">
              <w:rPr>
                <w:rFonts w:ascii="Calibri" w:eastAsia="Times New Roman" w:hAnsi="Calibri" w:cs="Calibri"/>
                <w:color w:val="000000"/>
                <w:lang w:eastAsia="en-AU"/>
              </w:rPr>
              <w:t>132,267</w:t>
            </w:r>
          </w:p>
        </w:tc>
        <w:tc>
          <w:tcPr>
            <w:tcW w:w="590" w:type="pct"/>
            <w:tcBorders>
              <w:top w:val="single" w:sz="4" w:space="0" w:color="auto"/>
              <w:left w:val="nil"/>
              <w:bottom w:val="nil"/>
              <w:right w:val="nil"/>
            </w:tcBorders>
            <w:shd w:val="clear" w:color="auto" w:fill="auto"/>
            <w:noWrap/>
            <w:vAlign w:val="bottom"/>
            <w:hideMark/>
          </w:tcPr>
          <w:p w14:paraId="0477C4D5" w14:textId="77777777" w:rsidR="001D4CF5" w:rsidRPr="00533462" w:rsidRDefault="001D4CF5" w:rsidP="00094E3C">
            <w:pPr>
              <w:spacing w:before="120" w:after="120"/>
              <w:jc w:val="right"/>
              <w:rPr>
                <w:rFonts w:ascii="Times New Roman" w:eastAsia="Times New Roman" w:hAnsi="Times New Roman" w:cs="Times New Roman"/>
                <w:sz w:val="20"/>
                <w:szCs w:val="20"/>
                <w:lang w:eastAsia="en-AU"/>
              </w:rPr>
            </w:pPr>
            <w:r w:rsidRPr="00533462">
              <w:rPr>
                <w:rFonts w:ascii="Calibri" w:eastAsia="Times New Roman" w:hAnsi="Calibri" w:cs="Calibri"/>
                <w:color w:val="000000"/>
                <w:lang w:eastAsia="en-AU"/>
              </w:rPr>
              <w:t>97,896</w:t>
            </w:r>
          </w:p>
        </w:tc>
        <w:tc>
          <w:tcPr>
            <w:tcW w:w="590" w:type="pct"/>
            <w:tcBorders>
              <w:top w:val="single" w:sz="4" w:space="0" w:color="auto"/>
              <w:left w:val="nil"/>
              <w:bottom w:val="nil"/>
              <w:right w:val="nil"/>
            </w:tcBorders>
            <w:shd w:val="clear" w:color="auto" w:fill="auto"/>
            <w:noWrap/>
            <w:vAlign w:val="bottom"/>
            <w:hideMark/>
          </w:tcPr>
          <w:p w14:paraId="01C6D87A" w14:textId="77777777" w:rsidR="001D4CF5" w:rsidRPr="00533462" w:rsidRDefault="001D4CF5" w:rsidP="00094E3C">
            <w:pPr>
              <w:spacing w:before="120" w:after="120"/>
              <w:jc w:val="right"/>
              <w:rPr>
                <w:rFonts w:ascii="Times New Roman" w:eastAsia="Times New Roman" w:hAnsi="Times New Roman" w:cs="Times New Roman"/>
                <w:sz w:val="20"/>
                <w:szCs w:val="20"/>
                <w:lang w:eastAsia="en-AU"/>
              </w:rPr>
            </w:pPr>
            <w:r w:rsidRPr="00533462">
              <w:rPr>
                <w:rFonts w:ascii="Calibri" w:eastAsia="Times New Roman" w:hAnsi="Calibri" w:cs="Calibri"/>
                <w:color w:val="000000"/>
                <w:lang w:eastAsia="en-AU"/>
              </w:rPr>
              <w:t>36,521</w:t>
            </w:r>
          </w:p>
        </w:tc>
        <w:tc>
          <w:tcPr>
            <w:tcW w:w="590" w:type="pct"/>
            <w:tcBorders>
              <w:top w:val="single" w:sz="4" w:space="0" w:color="auto"/>
              <w:left w:val="nil"/>
              <w:bottom w:val="nil"/>
              <w:right w:val="nil"/>
            </w:tcBorders>
            <w:shd w:val="clear" w:color="auto" w:fill="auto"/>
            <w:noWrap/>
            <w:vAlign w:val="bottom"/>
            <w:hideMark/>
          </w:tcPr>
          <w:p w14:paraId="446B8388" w14:textId="77777777" w:rsidR="001D4CF5" w:rsidRPr="00533462" w:rsidRDefault="001D4CF5" w:rsidP="00094E3C">
            <w:pPr>
              <w:spacing w:before="120" w:after="120"/>
              <w:jc w:val="right"/>
              <w:rPr>
                <w:rFonts w:ascii="Times New Roman" w:eastAsia="Times New Roman" w:hAnsi="Times New Roman" w:cs="Times New Roman"/>
                <w:sz w:val="20"/>
                <w:szCs w:val="20"/>
                <w:lang w:eastAsia="en-AU"/>
              </w:rPr>
            </w:pPr>
            <w:r w:rsidRPr="00533462">
              <w:rPr>
                <w:rFonts w:ascii="Calibri" w:eastAsia="Times New Roman" w:hAnsi="Calibri" w:cs="Calibri"/>
                <w:color w:val="000000"/>
                <w:lang w:eastAsia="en-AU"/>
              </w:rPr>
              <w:t>106,642</w:t>
            </w:r>
          </w:p>
        </w:tc>
      </w:tr>
      <w:tr w:rsidR="00045801" w:rsidRPr="00533462" w14:paraId="41DDA7E0" w14:textId="77777777" w:rsidTr="6D551497">
        <w:trPr>
          <w:trHeight w:val="290"/>
        </w:trPr>
        <w:tc>
          <w:tcPr>
            <w:tcW w:w="314" w:type="pct"/>
            <w:tcBorders>
              <w:top w:val="nil"/>
              <w:left w:val="nil"/>
              <w:bottom w:val="nil"/>
              <w:right w:val="nil"/>
            </w:tcBorders>
          </w:tcPr>
          <w:p w14:paraId="5D6D9ED4" w14:textId="5320784B" w:rsidR="001D4CF5" w:rsidRPr="00B85D89" w:rsidRDefault="002211CD" w:rsidP="00094E3C">
            <w:pPr>
              <w:spacing w:before="120" w:after="120"/>
              <w:jc w:val="center"/>
              <w:rPr>
                <w:rFonts w:eastAsia="Times New Roman" w:cstheme="minorHAnsi"/>
                <w:i/>
                <w:iCs/>
                <w:color w:val="000000"/>
                <w:lang w:eastAsia="en-AU"/>
              </w:rPr>
            </w:pPr>
            <w:r w:rsidRPr="00B85D89">
              <w:rPr>
                <w:rFonts w:eastAsia="Times New Roman" w:cstheme="minorHAnsi"/>
                <w:i/>
                <w:iCs/>
                <w:color w:val="000000"/>
                <w:lang w:eastAsia="en-AU"/>
              </w:rPr>
              <w:t>b</w:t>
            </w:r>
          </w:p>
        </w:tc>
        <w:tc>
          <w:tcPr>
            <w:tcW w:w="1737" w:type="pct"/>
            <w:tcBorders>
              <w:top w:val="nil"/>
              <w:left w:val="nil"/>
              <w:bottom w:val="nil"/>
              <w:right w:val="nil"/>
            </w:tcBorders>
            <w:shd w:val="clear" w:color="auto" w:fill="auto"/>
            <w:noWrap/>
            <w:vAlign w:val="bottom"/>
            <w:hideMark/>
          </w:tcPr>
          <w:p w14:paraId="50472A02" w14:textId="09F02950" w:rsidR="001D4CF5" w:rsidRPr="00533462" w:rsidRDefault="6D551497" w:rsidP="00094E3C">
            <w:pPr>
              <w:spacing w:before="120" w:after="120"/>
              <w:rPr>
                <w:rFonts w:ascii="Calibri" w:eastAsia="Times New Roman" w:hAnsi="Calibri" w:cs="Calibri"/>
                <w:color w:val="000000"/>
                <w:lang w:eastAsia="en-AU"/>
              </w:rPr>
            </w:pPr>
            <w:r w:rsidRPr="6D551497">
              <w:rPr>
                <w:rFonts w:ascii="Calibri" w:eastAsia="Times New Roman" w:hAnsi="Calibri" w:cs="Calibri"/>
                <w:color w:val="000000" w:themeColor="text1"/>
                <w:lang w:eastAsia="en-AU"/>
              </w:rPr>
              <w:t>Males sold per animal evaluated</w:t>
            </w:r>
          </w:p>
        </w:tc>
        <w:tc>
          <w:tcPr>
            <w:tcW w:w="589" w:type="pct"/>
            <w:tcBorders>
              <w:top w:val="nil"/>
              <w:left w:val="nil"/>
              <w:bottom w:val="nil"/>
              <w:right w:val="nil"/>
            </w:tcBorders>
            <w:shd w:val="clear" w:color="auto" w:fill="auto"/>
            <w:noWrap/>
            <w:vAlign w:val="bottom"/>
            <w:hideMark/>
          </w:tcPr>
          <w:p w14:paraId="55236B43" w14:textId="25ED5C79"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w:t>
            </w:r>
            <w:r w:rsidR="005900DB">
              <w:rPr>
                <w:rFonts w:ascii="Calibri" w:eastAsia="Times New Roman" w:hAnsi="Calibri" w:cs="Calibri"/>
                <w:color w:val="000000"/>
                <w:lang w:eastAsia="en-AU"/>
              </w:rPr>
              <w:t>25</w:t>
            </w:r>
          </w:p>
        </w:tc>
        <w:tc>
          <w:tcPr>
            <w:tcW w:w="590" w:type="pct"/>
            <w:tcBorders>
              <w:top w:val="nil"/>
              <w:left w:val="nil"/>
              <w:bottom w:val="nil"/>
              <w:right w:val="nil"/>
            </w:tcBorders>
            <w:shd w:val="clear" w:color="auto" w:fill="auto"/>
            <w:noWrap/>
            <w:vAlign w:val="bottom"/>
            <w:hideMark/>
          </w:tcPr>
          <w:p w14:paraId="4AD6CFB1" w14:textId="387C9BC0"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w:t>
            </w:r>
            <w:r w:rsidR="005900DB">
              <w:rPr>
                <w:rFonts w:ascii="Calibri" w:eastAsia="Times New Roman" w:hAnsi="Calibri" w:cs="Calibri"/>
                <w:color w:val="000000"/>
                <w:lang w:eastAsia="en-AU"/>
              </w:rPr>
              <w:t>25</w:t>
            </w:r>
          </w:p>
        </w:tc>
        <w:tc>
          <w:tcPr>
            <w:tcW w:w="590" w:type="pct"/>
            <w:tcBorders>
              <w:top w:val="nil"/>
              <w:left w:val="nil"/>
              <w:bottom w:val="nil"/>
              <w:right w:val="nil"/>
            </w:tcBorders>
            <w:shd w:val="clear" w:color="auto" w:fill="auto"/>
            <w:noWrap/>
            <w:vAlign w:val="bottom"/>
            <w:hideMark/>
          </w:tcPr>
          <w:p w14:paraId="2DEA97C9" w14:textId="0169792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0.4</w:t>
            </w:r>
            <w:r w:rsidR="004E5959">
              <w:rPr>
                <w:rFonts w:ascii="Calibri" w:eastAsia="Times New Roman" w:hAnsi="Calibri" w:cs="Calibri"/>
                <w:color w:val="000000"/>
                <w:lang w:eastAsia="en-AU"/>
              </w:rPr>
              <w:t>0</w:t>
            </w:r>
          </w:p>
        </w:tc>
        <w:tc>
          <w:tcPr>
            <w:tcW w:w="590" w:type="pct"/>
            <w:tcBorders>
              <w:top w:val="nil"/>
              <w:left w:val="nil"/>
              <w:bottom w:val="nil"/>
              <w:right w:val="nil"/>
            </w:tcBorders>
            <w:shd w:val="clear" w:color="auto" w:fill="auto"/>
            <w:noWrap/>
            <w:vAlign w:val="bottom"/>
            <w:hideMark/>
          </w:tcPr>
          <w:p w14:paraId="1BCDD5BC"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0.45</w:t>
            </w:r>
          </w:p>
        </w:tc>
        <w:tc>
          <w:tcPr>
            <w:tcW w:w="590" w:type="pct"/>
            <w:tcBorders>
              <w:top w:val="nil"/>
              <w:left w:val="nil"/>
              <w:bottom w:val="nil"/>
              <w:right w:val="nil"/>
            </w:tcBorders>
            <w:shd w:val="clear" w:color="auto" w:fill="auto"/>
            <w:noWrap/>
            <w:vAlign w:val="bottom"/>
            <w:hideMark/>
          </w:tcPr>
          <w:p w14:paraId="428D4D5C"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0.33</w:t>
            </w:r>
          </w:p>
        </w:tc>
      </w:tr>
      <w:tr w:rsidR="00045801" w:rsidRPr="00533462" w14:paraId="73545EFB" w14:textId="77777777" w:rsidTr="6D551497">
        <w:trPr>
          <w:trHeight w:val="290"/>
        </w:trPr>
        <w:tc>
          <w:tcPr>
            <w:tcW w:w="314" w:type="pct"/>
            <w:tcBorders>
              <w:top w:val="nil"/>
              <w:left w:val="nil"/>
              <w:bottom w:val="nil"/>
              <w:right w:val="nil"/>
            </w:tcBorders>
          </w:tcPr>
          <w:p w14:paraId="465722AB" w14:textId="4E58CDBF" w:rsidR="001D4CF5" w:rsidRPr="00B85D89" w:rsidRDefault="002211CD" w:rsidP="00094E3C">
            <w:pPr>
              <w:spacing w:before="120" w:after="120"/>
              <w:jc w:val="center"/>
              <w:rPr>
                <w:rFonts w:eastAsia="Times New Roman" w:cstheme="minorHAnsi"/>
                <w:i/>
                <w:iCs/>
                <w:color w:val="000000"/>
                <w:lang w:eastAsia="en-AU"/>
              </w:rPr>
            </w:pPr>
            <w:r w:rsidRPr="00B85D89">
              <w:rPr>
                <w:rFonts w:eastAsia="Times New Roman" w:cstheme="minorHAnsi"/>
                <w:i/>
                <w:iCs/>
                <w:color w:val="000000"/>
                <w:lang w:eastAsia="en-AU"/>
              </w:rPr>
              <w:t>c</w:t>
            </w:r>
          </w:p>
        </w:tc>
        <w:tc>
          <w:tcPr>
            <w:tcW w:w="1737" w:type="pct"/>
            <w:tcBorders>
              <w:top w:val="nil"/>
              <w:left w:val="nil"/>
              <w:bottom w:val="nil"/>
              <w:right w:val="nil"/>
            </w:tcBorders>
            <w:shd w:val="clear" w:color="auto" w:fill="auto"/>
            <w:noWrap/>
            <w:vAlign w:val="bottom"/>
            <w:hideMark/>
          </w:tcPr>
          <w:p w14:paraId="6F7E13F7" w14:textId="517310C4" w:rsidR="001D4CF5" w:rsidRPr="00533462" w:rsidRDefault="001D4CF5" w:rsidP="00094E3C">
            <w:pPr>
              <w:spacing w:before="120" w:after="120"/>
              <w:rPr>
                <w:rFonts w:ascii="Calibri" w:eastAsia="Times New Roman" w:hAnsi="Calibri" w:cs="Calibri"/>
                <w:color w:val="000000"/>
                <w:lang w:eastAsia="en-AU"/>
              </w:rPr>
            </w:pPr>
            <w:r w:rsidRPr="00533462">
              <w:rPr>
                <w:rFonts w:ascii="Calibri" w:eastAsia="Times New Roman" w:hAnsi="Calibri" w:cs="Calibri"/>
                <w:color w:val="000000"/>
                <w:lang w:eastAsia="en-AU"/>
              </w:rPr>
              <w:t>Females mated per sire lifetime</w:t>
            </w:r>
          </w:p>
        </w:tc>
        <w:tc>
          <w:tcPr>
            <w:tcW w:w="589" w:type="pct"/>
            <w:tcBorders>
              <w:top w:val="nil"/>
              <w:left w:val="nil"/>
              <w:bottom w:val="nil"/>
              <w:right w:val="nil"/>
            </w:tcBorders>
            <w:shd w:val="clear" w:color="auto" w:fill="auto"/>
            <w:noWrap/>
            <w:vAlign w:val="bottom"/>
            <w:hideMark/>
          </w:tcPr>
          <w:p w14:paraId="52D0D188" w14:textId="2B09EE40" w:rsidR="001D4CF5" w:rsidRPr="00533462" w:rsidRDefault="00637B11" w:rsidP="00094E3C">
            <w:pPr>
              <w:spacing w:before="120" w:after="120"/>
              <w:jc w:val="right"/>
              <w:rPr>
                <w:rFonts w:ascii="Calibri" w:eastAsia="Times New Roman" w:hAnsi="Calibri" w:cs="Calibri"/>
                <w:color w:val="000000"/>
                <w:lang w:eastAsia="en-AU"/>
              </w:rPr>
            </w:pPr>
            <w:r>
              <w:rPr>
                <w:rFonts w:ascii="Calibri" w:eastAsia="Times New Roman" w:hAnsi="Calibri" w:cs="Calibri"/>
                <w:color w:val="000000"/>
                <w:lang w:eastAsia="en-AU"/>
              </w:rPr>
              <w:t>7</w:t>
            </w:r>
            <w:r w:rsidR="001D4CF5" w:rsidRPr="00533462">
              <w:rPr>
                <w:rFonts w:ascii="Calibri" w:eastAsia="Times New Roman" w:hAnsi="Calibri" w:cs="Calibri"/>
                <w:color w:val="000000"/>
                <w:lang w:eastAsia="en-AU"/>
              </w:rPr>
              <w:t>0</w:t>
            </w:r>
          </w:p>
        </w:tc>
        <w:tc>
          <w:tcPr>
            <w:tcW w:w="590" w:type="pct"/>
            <w:tcBorders>
              <w:top w:val="nil"/>
              <w:left w:val="nil"/>
              <w:bottom w:val="nil"/>
              <w:right w:val="nil"/>
            </w:tcBorders>
            <w:shd w:val="clear" w:color="auto" w:fill="auto"/>
            <w:noWrap/>
            <w:vAlign w:val="bottom"/>
            <w:hideMark/>
          </w:tcPr>
          <w:p w14:paraId="30033057"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100</w:t>
            </w:r>
          </w:p>
        </w:tc>
        <w:tc>
          <w:tcPr>
            <w:tcW w:w="590" w:type="pct"/>
            <w:tcBorders>
              <w:top w:val="nil"/>
              <w:left w:val="nil"/>
              <w:bottom w:val="nil"/>
              <w:right w:val="nil"/>
            </w:tcBorders>
            <w:shd w:val="clear" w:color="auto" w:fill="auto"/>
            <w:noWrap/>
            <w:vAlign w:val="bottom"/>
            <w:hideMark/>
          </w:tcPr>
          <w:p w14:paraId="05623C98"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150</w:t>
            </w:r>
          </w:p>
        </w:tc>
        <w:tc>
          <w:tcPr>
            <w:tcW w:w="590" w:type="pct"/>
            <w:tcBorders>
              <w:top w:val="nil"/>
              <w:left w:val="nil"/>
              <w:bottom w:val="nil"/>
              <w:right w:val="nil"/>
            </w:tcBorders>
            <w:shd w:val="clear" w:color="auto" w:fill="auto"/>
            <w:noWrap/>
            <w:vAlign w:val="bottom"/>
            <w:hideMark/>
          </w:tcPr>
          <w:p w14:paraId="24BB5588"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150</w:t>
            </w:r>
          </w:p>
        </w:tc>
        <w:tc>
          <w:tcPr>
            <w:tcW w:w="590" w:type="pct"/>
            <w:tcBorders>
              <w:top w:val="nil"/>
              <w:left w:val="nil"/>
              <w:bottom w:val="nil"/>
              <w:right w:val="nil"/>
            </w:tcBorders>
            <w:shd w:val="clear" w:color="auto" w:fill="auto"/>
            <w:noWrap/>
            <w:vAlign w:val="bottom"/>
            <w:hideMark/>
          </w:tcPr>
          <w:p w14:paraId="41CD12BB"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150</w:t>
            </w:r>
          </w:p>
        </w:tc>
      </w:tr>
      <w:tr w:rsidR="00045801" w:rsidRPr="00533462" w14:paraId="116FB4A6" w14:textId="77777777" w:rsidTr="00617F32">
        <w:trPr>
          <w:trHeight w:val="290"/>
        </w:trPr>
        <w:tc>
          <w:tcPr>
            <w:tcW w:w="314" w:type="pct"/>
            <w:tcBorders>
              <w:top w:val="nil"/>
              <w:left w:val="nil"/>
              <w:bottom w:val="nil"/>
              <w:right w:val="nil"/>
            </w:tcBorders>
          </w:tcPr>
          <w:p w14:paraId="1BC5D5E1" w14:textId="27176DC7" w:rsidR="001D4CF5" w:rsidRPr="00B85D89" w:rsidRDefault="002211CD" w:rsidP="00094E3C">
            <w:pPr>
              <w:spacing w:before="120" w:after="120"/>
              <w:jc w:val="center"/>
              <w:rPr>
                <w:rFonts w:eastAsia="Times New Roman" w:cstheme="minorHAnsi"/>
                <w:i/>
                <w:iCs/>
                <w:color w:val="000000"/>
                <w:lang w:eastAsia="en-AU"/>
              </w:rPr>
            </w:pPr>
            <w:r w:rsidRPr="00B85D89">
              <w:rPr>
                <w:rFonts w:eastAsia="Times New Roman" w:cstheme="minorHAnsi"/>
                <w:i/>
                <w:iCs/>
                <w:color w:val="000000"/>
                <w:lang w:eastAsia="en-AU"/>
              </w:rPr>
              <w:t>d</w:t>
            </w:r>
          </w:p>
        </w:tc>
        <w:tc>
          <w:tcPr>
            <w:tcW w:w="1737" w:type="pct"/>
            <w:tcBorders>
              <w:top w:val="nil"/>
              <w:left w:val="nil"/>
              <w:bottom w:val="nil"/>
              <w:right w:val="nil"/>
            </w:tcBorders>
            <w:shd w:val="clear" w:color="auto" w:fill="auto"/>
            <w:noWrap/>
            <w:vAlign w:val="bottom"/>
            <w:hideMark/>
          </w:tcPr>
          <w:p w14:paraId="3C3ADA11" w14:textId="14F5262A" w:rsidR="001D4CF5" w:rsidRPr="00533462" w:rsidRDefault="001D4CF5" w:rsidP="00094E3C">
            <w:pPr>
              <w:spacing w:before="120" w:after="120"/>
              <w:rPr>
                <w:rFonts w:ascii="Calibri" w:eastAsia="Times New Roman" w:hAnsi="Calibri" w:cs="Calibri"/>
                <w:color w:val="000000"/>
                <w:lang w:eastAsia="en-AU"/>
              </w:rPr>
            </w:pPr>
            <w:r w:rsidRPr="00533462">
              <w:rPr>
                <w:rFonts w:ascii="Calibri" w:eastAsia="Times New Roman" w:hAnsi="Calibri" w:cs="Calibri"/>
                <w:color w:val="000000"/>
                <w:lang w:eastAsia="en-AU"/>
              </w:rPr>
              <w:t>Index standard deviation</w:t>
            </w:r>
          </w:p>
        </w:tc>
        <w:tc>
          <w:tcPr>
            <w:tcW w:w="589" w:type="pct"/>
            <w:tcBorders>
              <w:top w:val="nil"/>
              <w:left w:val="nil"/>
              <w:bottom w:val="nil"/>
              <w:right w:val="nil"/>
            </w:tcBorders>
            <w:shd w:val="clear" w:color="auto" w:fill="auto"/>
            <w:noWrap/>
            <w:vAlign w:val="bottom"/>
            <w:hideMark/>
          </w:tcPr>
          <w:p w14:paraId="38CCA414"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$12.00</w:t>
            </w:r>
          </w:p>
        </w:tc>
        <w:tc>
          <w:tcPr>
            <w:tcW w:w="590" w:type="pct"/>
            <w:tcBorders>
              <w:top w:val="nil"/>
              <w:left w:val="nil"/>
              <w:bottom w:val="nil"/>
              <w:right w:val="nil"/>
            </w:tcBorders>
            <w:shd w:val="clear" w:color="auto" w:fill="auto"/>
            <w:noWrap/>
            <w:vAlign w:val="bottom"/>
            <w:hideMark/>
          </w:tcPr>
          <w:p w14:paraId="1DBF6E4E"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$16.00</w:t>
            </w:r>
          </w:p>
        </w:tc>
        <w:tc>
          <w:tcPr>
            <w:tcW w:w="590" w:type="pct"/>
            <w:tcBorders>
              <w:top w:val="nil"/>
              <w:left w:val="nil"/>
              <w:bottom w:val="nil"/>
              <w:right w:val="nil"/>
            </w:tcBorders>
            <w:shd w:val="clear" w:color="auto" w:fill="auto"/>
            <w:noWrap/>
            <w:vAlign w:val="bottom"/>
            <w:hideMark/>
          </w:tcPr>
          <w:p w14:paraId="53F77469"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$10.00</w:t>
            </w:r>
          </w:p>
        </w:tc>
        <w:tc>
          <w:tcPr>
            <w:tcW w:w="590" w:type="pct"/>
            <w:tcBorders>
              <w:top w:val="nil"/>
              <w:left w:val="nil"/>
              <w:bottom w:val="nil"/>
              <w:right w:val="nil"/>
            </w:tcBorders>
            <w:shd w:val="clear" w:color="auto" w:fill="auto"/>
            <w:noWrap/>
            <w:vAlign w:val="bottom"/>
            <w:hideMark/>
          </w:tcPr>
          <w:p w14:paraId="5739C453"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$8.00</w:t>
            </w:r>
          </w:p>
        </w:tc>
        <w:tc>
          <w:tcPr>
            <w:tcW w:w="590" w:type="pct"/>
            <w:tcBorders>
              <w:top w:val="nil"/>
              <w:left w:val="nil"/>
              <w:bottom w:val="nil"/>
              <w:right w:val="nil"/>
            </w:tcBorders>
            <w:shd w:val="clear" w:color="auto" w:fill="auto"/>
            <w:noWrap/>
            <w:vAlign w:val="bottom"/>
            <w:hideMark/>
          </w:tcPr>
          <w:p w14:paraId="5E2D785F"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$6.60</w:t>
            </w:r>
          </w:p>
        </w:tc>
      </w:tr>
      <w:tr w:rsidR="00045801" w:rsidRPr="00533462" w14:paraId="40E8404B" w14:textId="77777777" w:rsidTr="00617F32">
        <w:trPr>
          <w:trHeight w:val="290"/>
        </w:trPr>
        <w:tc>
          <w:tcPr>
            <w:tcW w:w="314" w:type="pct"/>
            <w:tcBorders>
              <w:top w:val="nil"/>
              <w:left w:val="nil"/>
              <w:right w:val="nil"/>
            </w:tcBorders>
          </w:tcPr>
          <w:p w14:paraId="2056BB34" w14:textId="1E17C51D" w:rsidR="001D4CF5" w:rsidRPr="00B85D89" w:rsidRDefault="002211CD" w:rsidP="00094E3C">
            <w:pPr>
              <w:spacing w:before="120" w:after="120"/>
              <w:jc w:val="center"/>
              <w:rPr>
                <w:rFonts w:eastAsia="Times New Roman" w:cstheme="minorHAnsi"/>
                <w:i/>
                <w:iCs/>
                <w:color w:val="000000"/>
                <w:lang w:eastAsia="en-AU"/>
              </w:rPr>
            </w:pPr>
            <w:r w:rsidRPr="00B85D89">
              <w:rPr>
                <w:rFonts w:eastAsia="Times New Roman" w:cstheme="minorHAnsi"/>
                <w:i/>
                <w:iCs/>
                <w:color w:val="000000"/>
                <w:lang w:eastAsia="en-AU"/>
              </w:rPr>
              <w:t>e</w:t>
            </w:r>
          </w:p>
        </w:tc>
        <w:tc>
          <w:tcPr>
            <w:tcW w:w="1737" w:type="pct"/>
            <w:tcBorders>
              <w:top w:val="nil"/>
              <w:left w:val="nil"/>
              <w:right w:val="nil"/>
            </w:tcBorders>
            <w:shd w:val="clear" w:color="auto" w:fill="auto"/>
            <w:noWrap/>
            <w:vAlign w:val="bottom"/>
            <w:hideMark/>
          </w:tcPr>
          <w:p w14:paraId="1424F2C5" w14:textId="0A4F5403" w:rsidR="001D4CF5" w:rsidRPr="00533462" w:rsidRDefault="001D4CF5" w:rsidP="00094E3C">
            <w:pPr>
              <w:spacing w:before="120" w:after="120"/>
              <w:rPr>
                <w:rFonts w:ascii="Calibri" w:eastAsia="Times New Roman" w:hAnsi="Calibri" w:cs="Calibri"/>
                <w:color w:val="000000"/>
                <w:lang w:eastAsia="en-AU"/>
              </w:rPr>
            </w:pPr>
            <w:proofErr w:type="spellStart"/>
            <w:r>
              <w:rPr>
                <w:rFonts w:ascii="Calibri" w:eastAsia="Times New Roman" w:hAnsi="Calibri" w:cs="Calibri"/>
                <w:color w:val="000000"/>
                <w:lang w:eastAsia="en-AU"/>
              </w:rPr>
              <w:t>i</w:t>
            </w:r>
            <w:proofErr w:type="spellEnd"/>
            <w:r>
              <w:rPr>
                <w:rFonts w:ascii="Calibri" w:eastAsia="Times New Roman" w:hAnsi="Calibri" w:cs="Calibri"/>
                <w:color w:val="000000"/>
                <w:lang w:eastAsia="en-AU"/>
              </w:rPr>
              <w:t>/L</w:t>
            </w:r>
          </w:p>
        </w:tc>
        <w:tc>
          <w:tcPr>
            <w:tcW w:w="589" w:type="pct"/>
            <w:tcBorders>
              <w:top w:val="nil"/>
              <w:left w:val="nil"/>
              <w:right w:val="nil"/>
            </w:tcBorders>
            <w:shd w:val="clear" w:color="auto" w:fill="auto"/>
            <w:noWrap/>
            <w:vAlign w:val="bottom"/>
            <w:hideMark/>
          </w:tcPr>
          <w:p w14:paraId="68821AF3"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0.14</w:t>
            </w:r>
          </w:p>
        </w:tc>
        <w:tc>
          <w:tcPr>
            <w:tcW w:w="590" w:type="pct"/>
            <w:tcBorders>
              <w:top w:val="nil"/>
              <w:left w:val="nil"/>
              <w:right w:val="nil"/>
            </w:tcBorders>
            <w:shd w:val="clear" w:color="auto" w:fill="auto"/>
            <w:noWrap/>
            <w:vAlign w:val="bottom"/>
            <w:hideMark/>
          </w:tcPr>
          <w:p w14:paraId="6250BCA2"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0.31</w:t>
            </w:r>
          </w:p>
        </w:tc>
        <w:tc>
          <w:tcPr>
            <w:tcW w:w="590" w:type="pct"/>
            <w:tcBorders>
              <w:top w:val="nil"/>
              <w:left w:val="nil"/>
              <w:right w:val="nil"/>
            </w:tcBorders>
            <w:shd w:val="clear" w:color="auto" w:fill="auto"/>
            <w:noWrap/>
            <w:vAlign w:val="bottom"/>
            <w:hideMark/>
          </w:tcPr>
          <w:p w14:paraId="4E618352"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0.20</w:t>
            </w:r>
          </w:p>
        </w:tc>
        <w:tc>
          <w:tcPr>
            <w:tcW w:w="590" w:type="pct"/>
            <w:tcBorders>
              <w:top w:val="nil"/>
              <w:left w:val="nil"/>
              <w:right w:val="nil"/>
            </w:tcBorders>
            <w:shd w:val="clear" w:color="auto" w:fill="auto"/>
            <w:noWrap/>
            <w:vAlign w:val="bottom"/>
            <w:hideMark/>
          </w:tcPr>
          <w:p w14:paraId="0DF7ACEB"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0.38</w:t>
            </w:r>
          </w:p>
        </w:tc>
        <w:tc>
          <w:tcPr>
            <w:tcW w:w="590" w:type="pct"/>
            <w:tcBorders>
              <w:top w:val="nil"/>
              <w:left w:val="nil"/>
              <w:right w:val="nil"/>
            </w:tcBorders>
            <w:shd w:val="clear" w:color="auto" w:fill="auto"/>
            <w:noWrap/>
            <w:vAlign w:val="bottom"/>
            <w:hideMark/>
          </w:tcPr>
          <w:p w14:paraId="71B17BD3" w14:textId="77777777" w:rsidR="001D4CF5" w:rsidRPr="00533462" w:rsidRDefault="001D4CF5"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0.36</w:t>
            </w:r>
          </w:p>
        </w:tc>
      </w:tr>
      <w:tr w:rsidR="00045801" w:rsidRPr="00533462" w14:paraId="771B8BE1" w14:textId="77777777" w:rsidTr="00617F32">
        <w:trPr>
          <w:trHeight w:val="290"/>
        </w:trPr>
        <w:tc>
          <w:tcPr>
            <w:tcW w:w="314" w:type="pct"/>
            <w:tcBorders>
              <w:top w:val="nil"/>
              <w:left w:val="nil"/>
              <w:bottom w:val="single" w:sz="4" w:space="0" w:color="auto"/>
              <w:right w:val="nil"/>
            </w:tcBorders>
            <w:vAlign w:val="center"/>
          </w:tcPr>
          <w:p w14:paraId="00C2D65A" w14:textId="223DB573" w:rsidR="00155F1C" w:rsidRPr="00B85D89" w:rsidRDefault="002211CD" w:rsidP="00094E3C">
            <w:pPr>
              <w:spacing w:before="120" w:after="120"/>
              <w:jc w:val="center"/>
              <w:rPr>
                <w:rFonts w:eastAsia="Times New Roman" w:cstheme="minorHAnsi"/>
                <w:i/>
                <w:iCs/>
                <w:lang w:eastAsia="en-AU"/>
              </w:rPr>
            </w:pPr>
            <w:r w:rsidRPr="00B85D89">
              <w:rPr>
                <w:rFonts w:eastAsia="Times New Roman" w:cstheme="minorHAnsi"/>
                <w:i/>
                <w:iCs/>
                <w:lang w:eastAsia="en-AU"/>
              </w:rPr>
              <w:t>f</w:t>
            </w:r>
          </w:p>
        </w:tc>
        <w:tc>
          <w:tcPr>
            <w:tcW w:w="1737" w:type="pct"/>
            <w:tcBorders>
              <w:top w:val="nil"/>
              <w:left w:val="nil"/>
              <w:bottom w:val="single" w:sz="4" w:space="0" w:color="auto"/>
              <w:right w:val="nil"/>
            </w:tcBorders>
            <w:shd w:val="clear" w:color="auto" w:fill="auto"/>
            <w:noWrap/>
            <w:vAlign w:val="bottom"/>
            <w:hideMark/>
          </w:tcPr>
          <w:p w14:paraId="094D0891" w14:textId="5F577690" w:rsidR="00155F1C" w:rsidRPr="00533462" w:rsidRDefault="00734CEC" w:rsidP="00094E3C">
            <w:pPr>
              <w:spacing w:before="120" w:after="120"/>
              <w:rPr>
                <w:rFonts w:ascii="Calibri" w:eastAsia="Times New Roman" w:hAnsi="Calibri" w:cs="Calibri"/>
                <w:color w:val="000000"/>
                <w:lang w:eastAsia="en-AU"/>
              </w:rPr>
            </w:pPr>
            <w:r>
              <w:rPr>
                <w:rFonts w:ascii="Calibri" w:eastAsia="Times New Roman" w:hAnsi="Calibri" w:cs="Calibri"/>
                <w:color w:val="000000"/>
                <w:lang w:eastAsia="en-AU"/>
              </w:rPr>
              <w:t>Current r</w:t>
            </w:r>
            <w:r w:rsidRPr="00533462">
              <w:rPr>
                <w:rFonts w:ascii="Calibri" w:eastAsia="Times New Roman" w:hAnsi="Calibri" w:cs="Calibri"/>
                <w:color w:val="000000"/>
                <w:lang w:eastAsia="en-AU"/>
              </w:rPr>
              <w:t>esponse per year</w:t>
            </w:r>
            <w:r>
              <w:rPr>
                <w:rFonts w:ascii="Calibri" w:eastAsia="Times New Roman" w:hAnsi="Calibri" w:cs="Calibri"/>
                <w:color w:val="000000"/>
                <w:lang w:eastAsia="en-AU"/>
              </w:rPr>
              <w:t xml:space="preserve"> ($ per female mated </w:t>
            </w:r>
            <w:r w:rsidR="00E4713E">
              <w:rPr>
                <w:rFonts w:ascii="Calibri" w:eastAsia="Times New Roman" w:hAnsi="Calibri" w:cs="Calibri"/>
                <w:color w:val="000000"/>
                <w:lang w:eastAsia="en-AU"/>
              </w:rPr>
              <w:t>per year)</w:t>
            </w:r>
          </w:p>
        </w:tc>
        <w:tc>
          <w:tcPr>
            <w:tcW w:w="589" w:type="pct"/>
            <w:tcBorders>
              <w:top w:val="nil"/>
              <w:left w:val="nil"/>
              <w:bottom w:val="single" w:sz="4" w:space="0" w:color="auto"/>
              <w:right w:val="nil"/>
            </w:tcBorders>
            <w:shd w:val="clear" w:color="auto" w:fill="auto"/>
            <w:noWrap/>
            <w:vAlign w:val="center"/>
            <w:hideMark/>
          </w:tcPr>
          <w:p w14:paraId="6B4E5148" w14:textId="77777777" w:rsidR="00155F1C" w:rsidRPr="00533462" w:rsidRDefault="00155F1C"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$1.68</w:t>
            </w:r>
          </w:p>
        </w:tc>
        <w:tc>
          <w:tcPr>
            <w:tcW w:w="590" w:type="pct"/>
            <w:tcBorders>
              <w:top w:val="nil"/>
              <w:left w:val="nil"/>
              <w:bottom w:val="single" w:sz="4" w:space="0" w:color="auto"/>
              <w:right w:val="nil"/>
            </w:tcBorders>
            <w:shd w:val="clear" w:color="auto" w:fill="auto"/>
            <w:noWrap/>
            <w:vAlign w:val="center"/>
            <w:hideMark/>
          </w:tcPr>
          <w:p w14:paraId="3691273E" w14:textId="77777777" w:rsidR="00155F1C" w:rsidRPr="00533462" w:rsidRDefault="00155F1C"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$4.96</w:t>
            </w:r>
          </w:p>
        </w:tc>
        <w:tc>
          <w:tcPr>
            <w:tcW w:w="590" w:type="pct"/>
            <w:tcBorders>
              <w:top w:val="nil"/>
              <w:left w:val="nil"/>
              <w:bottom w:val="single" w:sz="4" w:space="0" w:color="auto"/>
              <w:right w:val="nil"/>
            </w:tcBorders>
            <w:shd w:val="clear" w:color="auto" w:fill="auto"/>
            <w:noWrap/>
            <w:vAlign w:val="center"/>
            <w:hideMark/>
          </w:tcPr>
          <w:p w14:paraId="799B3609" w14:textId="77777777" w:rsidR="00155F1C" w:rsidRPr="00533462" w:rsidRDefault="00155F1C"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$2.00</w:t>
            </w:r>
          </w:p>
        </w:tc>
        <w:tc>
          <w:tcPr>
            <w:tcW w:w="590" w:type="pct"/>
            <w:tcBorders>
              <w:top w:val="nil"/>
              <w:left w:val="nil"/>
              <w:bottom w:val="single" w:sz="4" w:space="0" w:color="auto"/>
              <w:right w:val="nil"/>
            </w:tcBorders>
            <w:shd w:val="clear" w:color="auto" w:fill="auto"/>
            <w:noWrap/>
            <w:vAlign w:val="center"/>
            <w:hideMark/>
          </w:tcPr>
          <w:p w14:paraId="5274E02B" w14:textId="77777777" w:rsidR="00155F1C" w:rsidRPr="00533462" w:rsidRDefault="00155F1C"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$3.00</w:t>
            </w:r>
          </w:p>
        </w:tc>
        <w:tc>
          <w:tcPr>
            <w:tcW w:w="590" w:type="pct"/>
            <w:tcBorders>
              <w:top w:val="nil"/>
              <w:left w:val="nil"/>
              <w:bottom w:val="single" w:sz="4" w:space="0" w:color="auto"/>
              <w:right w:val="nil"/>
            </w:tcBorders>
            <w:shd w:val="clear" w:color="auto" w:fill="auto"/>
            <w:noWrap/>
            <w:vAlign w:val="center"/>
            <w:hideMark/>
          </w:tcPr>
          <w:p w14:paraId="68C8B6D9" w14:textId="77777777" w:rsidR="00155F1C" w:rsidRPr="00533462" w:rsidRDefault="00155F1C" w:rsidP="00094E3C">
            <w:pPr>
              <w:spacing w:before="120" w:after="120"/>
              <w:jc w:val="right"/>
              <w:rPr>
                <w:rFonts w:ascii="Calibri" w:eastAsia="Times New Roman" w:hAnsi="Calibri" w:cs="Calibri"/>
                <w:color w:val="000000"/>
                <w:lang w:eastAsia="en-AU"/>
              </w:rPr>
            </w:pPr>
            <w:r w:rsidRPr="00533462">
              <w:rPr>
                <w:rFonts w:ascii="Calibri" w:eastAsia="Times New Roman" w:hAnsi="Calibri" w:cs="Calibri"/>
                <w:color w:val="000000"/>
                <w:lang w:eastAsia="en-AU"/>
              </w:rPr>
              <w:t>$2.38</w:t>
            </w:r>
          </w:p>
        </w:tc>
      </w:tr>
    </w:tbl>
    <w:p w14:paraId="76D229E6" w14:textId="77777777" w:rsidR="00551E2C" w:rsidRDefault="00551E2C" w:rsidP="00551E2C"/>
    <w:p w14:paraId="1B93B013" w14:textId="7DD15750" w:rsidR="00695C15" w:rsidRPr="0079564A" w:rsidRDefault="00695C15" w:rsidP="00695C15">
      <w:pPr>
        <w:spacing w:after="160" w:line="259" w:lineRule="auto"/>
        <w:rPr>
          <w:i/>
          <w:iCs/>
        </w:rPr>
      </w:pPr>
      <w:r w:rsidRPr="0079564A">
        <w:rPr>
          <w:i/>
          <w:iCs/>
        </w:rPr>
        <w:t>Notes:</w:t>
      </w:r>
    </w:p>
    <w:p w14:paraId="779E63CC" w14:textId="13259041" w:rsidR="00551E2C" w:rsidRPr="0079564A" w:rsidRDefault="00551E2C" w:rsidP="00374617">
      <w:pPr>
        <w:pStyle w:val="ListParagraph"/>
        <w:numPr>
          <w:ilvl w:val="0"/>
          <w:numId w:val="28"/>
        </w:numPr>
        <w:spacing w:after="160" w:line="259" w:lineRule="auto"/>
        <w:ind w:left="426" w:hanging="471"/>
        <w:rPr>
          <w:i/>
          <w:iCs/>
        </w:rPr>
      </w:pPr>
      <w:r w:rsidRPr="0079564A">
        <w:rPr>
          <w:i/>
          <w:iCs/>
        </w:rPr>
        <w:t xml:space="preserve">Numbers of animals evaluated per year are from table </w:t>
      </w:r>
      <w:r w:rsidR="00695C15" w:rsidRPr="0079564A">
        <w:rPr>
          <w:i/>
          <w:iCs/>
        </w:rPr>
        <w:t>A2.</w:t>
      </w:r>
      <w:r w:rsidRPr="0079564A">
        <w:rPr>
          <w:i/>
          <w:iCs/>
        </w:rPr>
        <w:t xml:space="preserve">1 (S Skinner and A Swan, </w:t>
      </w:r>
      <w:r w:rsidR="0011722C" w:rsidRPr="0079564A">
        <w:rPr>
          <w:i/>
          <w:iCs/>
        </w:rPr>
        <w:t>pers. comm.</w:t>
      </w:r>
      <w:r w:rsidRPr="0079564A">
        <w:rPr>
          <w:i/>
          <w:iCs/>
        </w:rPr>
        <w:t>)</w:t>
      </w:r>
    </w:p>
    <w:p w14:paraId="12678412" w14:textId="77777777" w:rsidR="00551E2C" w:rsidRPr="0079564A" w:rsidRDefault="6D551497" w:rsidP="6D551497">
      <w:pPr>
        <w:pStyle w:val="ListParagraph"/>
        <w:numPr>
          <w:ilvl w:val="0"/>
          <w:numId w:val="28"/>
        </w:numPr>
        <w:spacing w:after="160" w:line="259" w:lineRule="auto"/>
        <w:ind w:left="426" w:hanging="471"/>
        <w:rPr>
          <w:i/>
          <w:iCs/>
        </w:rPr>
      </w:pPr>
      <w:r w:rsidRPr="6D551497">
        <w:rPr>
          <w:i/>
          <w:iCs/>
        </w:rPr>
        <w:t>Males sold per female evaluated are estimates based on industry knowledge</w:t>
      </w:r>
    </w:p>
    <w:p w14:paraId="28425CDD" w14:textId="16151600" w:rsidR="00551E2C" w:rsidRPr="0079564A" w:rsidRDefault="00551E2C" w:rsidP="00374617">
      <w:pPr>
        <w:pStyle w:val="ListParagraph"/>
        <w:numPr>
          <w:ilvl w:val="0"/>
          <w:numId w:val="28"/>
        </w:numPr>
        <w:spacing w:after="160" w:line="259" w:lineRule="auto"/>
        <w:ind w:left="426" w:hanging="471"/>
        <w:rPr>
          <w:i/>
          <w:iCs/>
        </w:rPr>
      </w:pPr>
      <w:r w:rsidRPr="0079564A">
        <w:rPr>
          <w:i/>
          <w:iCs/>
        </w:rPr>
        <w:t xml:space="preserve">Females mated per sire lifetime are estimates based on industry knowledge – and branding or marking rate is assumed to be 1 </w:t>
      </w:r>
      <w:proofErr w:type="gramStart"/>
      <w:r w:rsidRPr="0079564A">
        <w:rPr>
          <w:i/>
          <w:iCs/>
        </w:rPr>
        <w:t>i</w:t>
      </w:r>
      <w:r w:rsidR="005470FA" w:rsidRPr="0079564A">
        <w:rPr>
          <w:i/>
          <w:iCs/>
        </w:rPr>
        <w:t>.</w:t>
      </w:r>
      <w:r w:rsidRPr="0079564A">
        <w:rPr>
          <w:i/>
          <w:iCs/>
        </w:rPr>
        <w:t>e</w:t>
      </w:r>
      <w:r w:rsidR="005470FA" w:rsidRPr="0079564A">
        <w:rPr>
          <w:i/>
          <w:iCs/>
        </w:rPr>
        <w:t>.</w:t>
      </w:r>
      <w:proofErr w:type="gramEnd"/>
      <w:r w:rsidRPr="0079564A">
        <w:rPr>
          <w:i/>
          <w:iCs/>
        </w:rPr>
        <w:t xml:space="preserve"> 100 females mated generates 100 commercial progeny</w:t>
      </w:r>
    </w:p>
    <w:p w14:paraId="14F15837" w14:textId="77777777" w:rsidR="00551E2C" w:rsidRPr="0079564A" w:rsidRDefault="00551E2C" w:rsidP="00374617">
      <w:pPr>
        <w:pStyle w:val="ListParagraph"/>
        <w:numPr>
          <w:ilvl w:val="0"/>
          <w:numId w:val="28"/>
        </w:numPr>
        <w:spacing w:after="160" w:line="259" w:lineRule="auto"/>
        <w:ind w:left="426" w:hanging="471"/>
        <w:rPr>
          <w:i/>
          <w:iCs/>
        </w:rPr>
      </w:pPr>
      <w:r w:rsidRPr="0079564A">
        <w:rPr>
          <w:i/>
          <w:iCs/>
        </w:rPr>
        <w:t>Index standard deviation is:</w:t>
      </w:r>
    </w:p>
    <w:p w14:paraId="09D1E5DD" w14:textId="48628B2B" w:rsidR="00551E2C" w:rsidRPr="0079564A" w:rsidRDefault="00551E2C" w:rsidP="00374617">
      <w:pPr>
        <w:pStyle w:val="ListParagraph"/>
        <w:numPr>
          <w:ilvl w:val="1"/>
          <w:numId w:val="29"/>
        </w:numPr>
        <w:spacing w:after="160" w:line="259" w:lineRule="auto"/>
        <w:ind w:left="851"/>
        <w:rPr>
          <w:i/>
          <w:iCs/>
        </w:rPr>
      </w:pPr>
      <w:r w:rsidRPr="0079564A">
        <w:rPr>
          <w:i/>
          <w:iCs/>
        </w:rPr>
        <w:t xml:space="preserve">Obtained directly from Sheep Genetics data (A Swan, </w:t>
      </w:r>
      <w:r w:rsidR="005470FA" w:rsidRPr="0079564A">
        <w:rPr>
          <w:i/>
          <w:iCs/>
        </w:rPr>
        <w:t>pers. comm.</w:t>
      </w:r>
      <w:r w:rsidRPr="0079564A">
        <w:rPr>
          <w:i/>
          <w:iCs/>
        </w:rPr>
        <w:t>)</w:t>
      </w:r>
    </w:p>
    <w:p w14:paraId="546C0562" w14:textId="18FBE5A5" w:rsidR="00551E2C" w:rsidRPr="0079564A" w:rsidRDefault="00551E2C" w:rsidP="00374617">
      <w:pPr>
        <w:pStyle w:val="ListParagraph"/>
        <w:numPr>
          <w:ilvl w:val="1"/>
          <w:numId w:val="29"/>
        </w:numPr>
        <w:spacing w:after="160" w:line="259" w:lineRule="auto"/>
        <w:ind w:left="851"/>
        <w:rPr>
          <w:i/>
          <w:iCs/>
        </w:rPr>
      </w:pPr>
      <w:r w:rsidRPr="0079564A">
        <w:rPr>
          <w:i/>
          <w:iCs/>
        </w:rPr>
        <w:t xml:space="preserve">Obtained directly from BREEDOBJECT data (B Walmsley, </w:t>
      </w:r>
      <w:r w:rsidR="005470FA" w:rsidRPr="0079564A">
        <w:rPr>
          <w:i/>
          <w:iCs/>
        </w:rPr>
        <w:t>pers. comm.</w:t>
      </w:r>
      <w:r w:rsidRPr="0079564A">
        <w:rPr>
          <w:i/>
          <w:iCs/>
        </w:rPr>
        <w:t>), with the assumption of the same Standard deviation of Objective across the 3 beef sectors (this is a simplification, but not major)</w:t>
      </w:r>
    </w:p>
    <w:p w14:paraId="4F175FFC" w14:textId="011F35B4" w:rsidR="00551E2C" w:rsidRPr="0079564A" w:rsidRDefault="00551E2C" w:rsidP="00374617">
      <w:pPr>
        <w:pStyle w:val="ListParagraph"/>
        <w:numPr>
          <w:ilvl w:val="0"/>
          <w:numId w:val="28"/>
        </w:numPr>
        <w:spacing w:after="160" w:line="259" w:lineRule="auto"/>
        <w:ind w:left="426" w:hanging="471"/>
        <w:rPr>
          <w:i/>
          <w:iCs/>
        </w:rPr>
      </w:pPr>
      <w:proofErr w:type="spellStart"/>
      <w:r w:rsidRPr="0079564A">
        <w:rPr>
          <w:i/>
          <w:iCs/>
        </w:rPr>
        <w:t>i</w:t>
      </w:r>
      <w:proofErr w:type="spellEnd"/>
      <w:r w:rsidRPr="0079564A">
        <w:rPr>
          <w:i/>
          <w:iCs/>
        </w:rPr>
        <w:t>/L is the ratio of selection intensity to generation length, across sexes. It is derived here from the R value (</w:t>
      </w:r>
      <w:r w:rsidR="0016435C">
        <w:rPr>
          <w:i/>
          <w:iCs/>
        </w:rPr>
        <w:t>r</w:t>
      </w:r>
      <w:r w:rsidRPr="0079564A">
        <w:rPr>
          <w:i/>
          <w:iCs/>
        </w:rPr>
        <w:t>esponse per year) and the index standard deviation, but has been cross</w:t>
      </w:r>
      <w:r w:rsidR="005E0AE1" w:rsidRPr="0079564A">
        <w:rPr>
          <w:i/>
          <w:iCs/>
        </w:rPr>
        <w:t>-</w:t>
      </w:r>
      <w:r w:rsidRPr="0079564A">
        <w:rPr>
          <w:i/>
          <w:iCs/>
        </w:rPr>
        <w:t>checked with estimates from simulated breeding programs and data from Sheep Genetics (A Swan, pers</w:t>
      </w:r>
      <w:r w:rsidR="005E0AE1" w:rsidRPr="0079564A">
        <w:rPr>
          <w:i/>
          <w:iCs/>
        </w:rPr>
        <w:t>.</w:t>
      </w:r>
      <w:r w:rsidRPr="0079564A">
        <w:rPr>
          <w:i/>
          <w:iCs/>
        </w:rPr>
        <w:t xml:space="preserve"> comm</w:t>
      </w:r>
      <w:r w:rsidR="005E0AE1" w:rsidRPr="0079564A">
        <w:rPr>
          <w:i/>
          <w:iCs/>
        </w:rPr>
        <w:t>.</w:t>
      </w:r>
      <w:r w:rsidRPr="0079564A">
        <w:rPr>
          <w:i/>
          <w:iCs/>
        </w:rPr>
        <w:t>)</w:t>
      </w:r>
    </w:p>
    <w:p w14:paraId="4ECA2927" w14:textId="0D37490A" w:rsidR="00551E2C" w:rsidRDefault="00251879" w:rsidP="00251879">
      <w:pPr>
        <w:spacing w:after="160" w:line="259" w:lineRule="auto"/>
        <w:ind w:left="-45"/>
      </w:pPr>
      <w:r>
        <w:t>F</w:t>
      </w:r>
      <w:r w:rsidR="00551E2C">
        <w:t>or calculati</w:t>
      </w:r>
      <w:r>
        <w:t>ng</w:t>
      </w:r>
      <w:r w:rsidR="00551E2C">
        <w:t xml:space="preserve"> the value of additional data, the index accuracy is derived from R, </w:t>
      </w:r>
      <w:proofErr w:type="spellStart"/>
      <w:r w:rsidR="00551E2C">
        <w:t>i</w:t>
      </w:r>
      <w:proofErr w:type="spellEnd"/>
      <w:r w:rsidR="00551E2C">
        <w:t>/</w:t>
      </w:r>
      <w:proofErr w:type="gramStart"/>
      <w:r w:rsidR="00551E2C">
        <w:t>L</w:t>
      </w:r>
      <w:proofErr w:type="gramEnd"/>
      <w:r w:rsidR="00551E2C">
        <w:t xml:space="preserve"> and Index Standard deviation, and then modified to reflect the additional data (see below).</w:t>
      </w:r>
    </w:p>
    <w:p w14:paraId="3C999882" w14:textId="77777777" w:rsidR="00551E2C" w:rsidRDefault="00551E2C" w:rsidP="00251879">
      <w:pPr>
        <w:pStyle w:val="ListParagraph"/>
        <w:ind w:left="0"/>
      </w:pPr>
      <w:r>
        <w:t>The underlying logic here is that response is being calculated as:</w:t>
      </w:r>
    </w:p>
    <w:p w14:paraId="6B7C76CF" w14:textId="77777777" w:rsidR="00551E2C" w:rsidRDefault="00551E2C" w:rsidP="00551E2C">
      <w:pPr>
        <w:pStyle w:val="ListParagraph"/>
      </w:pPr>
    </w:p>
    <w:p w14:paraId="20E6DD42" w14:textId="77777777" w:rsidR="00551E2C" w:rsidRDefault="00551E2C" w:rsidP="00551E2C">
      <w:pPr>
        <w:pStyle w:val="ListParagraph"/>
        <w:ind w:left="3402"/>
        <w:rPr>
          <w:sz w:val="32"/>
          <w:szCs w:val="32"/>
          <w:vertAlign w:val="subscript"/>
        </w:rPr>
      </w:pPr>
      <w:r w:rsidRPr="007C4B7E">
        <w:rPr>
          <w:sz w:val="32"/>
          <w:szCs w:val="32"/>
        </w:rPr>
        <w:lastRenderedPageBreak/>
        <w:t xml:space="preserve">R = </w:t>
      </w:r>
      <w:proofErr w:type="spellStart"/>
      <w:r w:rsidRPr="007C4B7E">
        <w:rPr>
          <w:sz w:val="32"/>
          <w:szCs w:val="32"/>
        </w:rPr>
        <w:t>i</w:t>
      </w:r>
      <w:proofErr w:type="spellEnd"/>
      <w:r w:rsidRPr="007C4B7E">
        <w:rPr>
          <w:sz w:val="32"/>
          <w:szCs w:val="32"/>
        </w:rPr>
        <w:t>/</w:t>
      </w:r>
      <w:proofErr w:type="gramStart"/>
      <w:r w:rsidRPr="007C4B7E">
        <w:rPr>
          <w:sz w:val="32"/>
          <w:szCs w:val="32"/>
        </w:rPr>
        <w:t>L .</w:t>
      </w:r>
      <w:proofErr w:type="gramEnd"/>
      <w:r w:rsidRPr="007C4B7E">
        <w:rPr>
          <w:sz w:val="32"/>
          <w:szCs w:val="32"/>
        </w:rPr>
        <w:t xml:space="preserve"> </w:t>
      </w:r>
      <w:r w:rsidRPr="007C4B7E">
        <w:rPr>
          <w:rFonts w:ascii="Symbol" w:eastAsia="Symbol" w:hAnsi="Symbol" w:cs="Symbol"/>
          <w:sz w:val="32"/>
          <w:szCs w:val="32"/>
        </w:rPr>
        <w:t></w:t>
      </w:r>
      <w:r w:rsidRPr="007C4B7E">
        <w:rPr>
          <w:sz w:val="32"/>
          <w:szCs w:val="32"/>
          <w:vertAlign w:val="subscript"/>
        </w:rPr>
        <w:t>IT</w:t>
      </w:r>
      <w:r>
        <w:rPr>
          <w:sz w:val="32"/>
          <w:szCs w:val="32"/>
          <w:vertAlign w:val="subscript"/>
        </w:rPr>
        <w:t xml:space="preserve"> </w:t>
      </w:r>
    </w:p>
    <w:p w14:paraId="53C302C5" w14:textId="77777777" w:rsidR="00551E2C" w:rsidRDefault="00551E2C" w:rsidP="00551E2C">
      <w:pPr>
        <w:pStyle w:val="ListParagraph"/>
        <w:ind w:left="3402"/>
        <w:rPr>
          <w:sz w:val="32"/>
          <w:szCs w:val="32"/>
          <w:vertAlign w:val="subscript"/>
        </w:rPr>
      </w:pPr>
      <w:r>
        <w:rPr>
          <w:sz w:val="32"/>
          <w:szCs w:val="32"/>
          <w:vertAlign w:val="subscript"/>
        </w:rPr>
        <w:t xml:space="preserve">with </w:t>
      </w:r>
      <w:r w:rsidRPr="007C4B7E">
        <w:rPr>
          <w:rFonts w:ascii="Symbol" w:eastAsia="Symbol" w:hAnsi="Symbol" w:cs="Symbol"/>
          <w:sz w:val="32"/>
          <w:szCs w:val="32"/>
        </w:rPr>
        <w:t></w:t>
      </w:r>
      <w:r w:rsidRPr="007C4B7E">
        <w:rPr>
          <w:sz w:val="32"/>
          <w:szCs w:val="32"/>
          <w:vertAlign w:val="subscript"/>
        </w:rPr>
        <w:t xml:space="preserve">IT = </w:t>
      </w:r>
      <w:proofErr w:type="spellStart"/>
      <w:proofErr w:type="gramStart"/>
      <w:r w:rsidRPr="007C4B7E">
        <w:rPr>
          <w:sz w:val="32"/>
          <w:szCs w:val="32"/>
        </w:rPr>
        <w:t>r</w:t>
      </w:r>
      <w:r w:rsidRPr="007C4B7E">
        <w:rPr>
          <w:sz w:val="32"/>
          <w:szCs w:val="32"/>
          <w:vertAlign w:val="subscript"/>
        </w:rPr>
        <w:t>IT</w:t>
      </w:r>
      <w:proofErr w:type="spellEnd"/>
      <w:r w:rsidRPr="007C4B7E">
        <w:rPr>
          <w:sz w:val="32"/>
          <w:szCs w:val="32"/>
          <w:vertAlign w:val="subscript"/>
        </w:rPr>
        <w:t xml:space="preserve"> .</w:t>
      </w:r>
      <w:proofErr w:type="gramEnd"/>
      <w:r w:rsidRPr="007C4B7E">
        <w:rPr>
          <w:sz w:val="32"/>
          <w:szCs w:val="32"/>
          <w:vertAlign w:val="subscript"/>
        </w:rPr>
        <w:t xml:space="preserve"> </w:t>
      </w:r>
      <w:r w:rsidRPr="007C4B7E">
        <w:rPr>
          <w:rFonts w:ascii="Symbol" w:eastAsia="Symbol" w:hAnsi="Symbol" w:cs="Symbol"/>
          <w:sz w:val="32"/>
          <w:szCs w:val="32"/>
        </w:rPr>
        <w:t></w:t>
      </w:r>
      <w:r w:rsidRPr="007C4B7E">
        <w:rPr>
          <w:sz w:val="32"/>
          <w:szCs w:val="32"/>
          <w:vertAlign w:val="subscript"/>
        </w:rPr>
        <w:t>T</w:t>
      </w:r>
    </w:p>
    <w:p w14:paraId="7B4E1894" w14:textId="77777777" w:rsidR="00551E2C" w:rsidRDefault="00551E2C" w:rsidP="00551E2C">
      <w:pPr>
        <w:pStyle w:val="ListParagraph"/>
        <w:ind w:left="3402"/>
        <w:rPr>
          <w:sz w:val="32"/>
          <w:szCs w:val="32"/>
          <w:vertAlign w:val="subscript"/>
        </w:rPr>
      </w:pPr>
      <w:proofErr w:type="spellStart"/>
      <w:r w:rsidRPr="007C4B7E">
        <w:rPr>
          <w:sz w:val="32"/>
          <w:szCs w:val="32"/>
        </w:rPr>
        <w:t>r</w:t>
      </w:r>
      <w:r>
        <w:rPr>
          <w:sz w:val="32"/>
          <w:szCs w:val="32"/>
          <w:vertAlign w:val="subscript"/>
        </w:rPr>
        <w:t>IT</w:t>
      </w:r>
      <w:proofErr w:type="spellEnd"/>
      <w:r>
        <w:rPr>
          <w:sz w:val="32"/>
          <w:szCs w:val="32"/>
          <w:vertAlign w:val="subscript"/>
        </w:rPr>
        <w:t xml:space="preserve"> = accuracy of Index, </w:t>
      </w:r>
    </w:p>
    <w:p w14:paraId="7E11DDDF" w14:textId="77777777" w:rsidR="00551E2C" w:rsidRDefault="00551E2C" w:rsidP="00551E2C">
      <w:pPr>
        <w:pStyle w:val="ListParagraph"/>
        <w:ind w:left="3402"/>
        <w:rPr>
          <w:sz w:val="32"/>
          <w:szCs w:val="32"/>
          <w:vertAlign w:val="subscript"/>
        </w:rPr>
      </w:pPr>
      <w:r>
        <w:rPr>
          <w:sz w:val="32"/>
          <w:szCs w:val="32"/>
          <w:vertAlign w:val="subscript"/>
        </w:rPr>
        <w:t xml:space="preserve">and </w:t>
      </w:r>
      <w:r w:rsidRPr="007C4B7E">
        <w:rPr>
          <w:rFonts w:ascii="Symbol" w:eastAsia="Symbol" w:hAnsi="Symbol" w:cs="Symbol"/>
          <w:sz w:val="32"/>
          <w:szCs w:val="32"/>
        </w:rPr>
        <w:t></w:t>
      </w:r>
      <w:r w:rsidRPr="007C4B7E">
        <w:rPr>
          <w:sz w:val="32"/>
          <w:szCs w:val="32"/>
          <w:vertAlign w:val="subscript"/>
        </w:rPr>
        <w:t>T</w:t>
      </w:r>
      <w:r>
        <w:rPr>
          <w:sz w:val="32"/>
          <w:szCs w:val="32"/>
          <w:vertAlign w:val="subscript"/>
        </w:rPr>
        <w:t xml:space="preserve"> = standard deviation of Objective</w:t>
      </w:r>
    </w:p>
    <w:p w14:paraId="0E79BAD0" w14:textId="77777777" w:rsidR="00551E2C" w:rsidRPr="007C4B7E" w:rsidRDefault="00551E2C" w:rsidP="00551E2C">
      <w:pPr>
        <w:pStyle w:val="ListParagraph"/>
        <w:rPr>
          <w:sz w:val="32"/>
          <w:szCs w:val="32"/>
          <w:vertAlign w:val="subscript"/>
        </w:rPr>
      </w:pPr>
    </w:p>
    <w:p w14:paraId="6F006858" w14:textId="1C1003C3" w:rsidR="00551E2C" w:rsidRDefault="00551E2C" w:rsidP="00195379">
      <w:pPr>
        <w:pStyle w:val="ListParagraph"/>
        <w:ind w:left="0"/>
      </w:pPr>
      <w:r>
        <w:t xml:space="preserve">For each sector, two rates of genetic progress (or </w:t>
      </w:r>
      <w:r w:rsidR="00E83375">
        <w:t>r</w:t>
      </w:r>
      <w:r>
        <w:t>esponse) were modelled:</w:t>
      </w:r>
    </w:p>
    <w:p w14:paraId="2E4780B4" w14:textId="77777777" w:rsidR="003E7D24" w:rsidRDefault="003E7D24" w:rsidP="00195379">
      <w:pPr>
        <w:spacing w:line="259" w:lineRule="auto"/>
      </w:pPr>
    </w:p>
    <w:p w14:paraId="612FB48E" w14:textId="17B24D2D" w:rsidR="00551E2C" w:rsidRDefault="00551E2C" w:rsidP="00374617">
      <w:pPr>
        <w:pStyle w:val="ListParagraph"/>
        <w:numPr>
          <w:ilvl w:val="0"/>
          <w:numId w:val="27"/>
        </w:numPr>
        <w:spacing w:line="259" w:lineRule="auto"/>
        <w:ind w:left="360"/>
      </w:pPr>
      <w:r>
        <w:t>the base or current rate</w:t>
      </w:r>
    </w:p>
    <w:p w14:paraId="0082FB9F" w14:textId="77777777" w:rsidR="003E7D24" w:rsidRDefault="003E7D24" w:rsidP="00195379">
      <w:pPr>
        <w:spacing w:line="259" w:lineRule="auto"/>
      </w:pPr>
    </w:p>
    <w:p w14:paraId="7E2EA916" w14:textId="042FB229" w:rsidR="00551E2C" w:rsidRDefault="00551E2C" w:rsidP="00374617">
      <w:pPr>
        <w:pStyle w:val="ListParagraph"/>
        <w:numPr>
          <w:ilvl w:val="0"/>
          <w:numId w:val="27"/>
        </w:numPr>
        <w:spacing w:line="259" w:lineRule="auto"/>
        <w:ind w:left="360"/>
      </w:pPr>
      <w:r>
        <w:t>a higher rate, there the accuracy was increased by either 20% (</w:t>
      </w:r>
      <w:proofErr w:type="gramStart"/>
      <w:r w:rsidRPr="00324643">
        <w:rPr>
          <w:i/>
          <w:iCs/>
        </w:rPr>
        <w:t>i</w:t>
      </w:r>
      <w:r w:rsidR="00324643" w:rsidRPr="00324643">
        <w:rPr>
          <w:i/>
          <w:iCs/>
        </w:rPr>
        <w:t>.</w:t>
      </w:r>
      <w:r w:rsidRPr="00324643">
        <w:rPr>
          <w:i/>
          <w:iCs/>
        </w:rPr>
        <w:t>e</w:t>
      </w:r>
      <w:r w:rsidR="00324643">
        <w:t>.</w:t>
      </w:r>
      <w:proofErr w:type="gramEnd"/>
      <w:r>
        <w:t xml:space="preserve"> x 1.2) or 35% (</w:t>
      </w:r>
      <w:r w:rsidR="00324643" w:rsidRPr="00324643">
        <w:rPr>
          <w:i/>
          <w:iCs/>
        </w:rPr>
        <w:t>i.e</w:t>
      </w:r>
      <w:r w:rsidR="00324643">
        <w:t>.</w:t>
      </w:r>
      <w:r>
        <w:t xml:space="preserve"> x 1.35), reflecting approximately 4,500 and 10,000 additional useful records per year per sector (see below)</w:t>
      </w:r>
      <w:r w:rsidR="00324643">
        <w:t>.</w:t>
      </w:r>
    </w:p>
    <w:p w14:paraId="34D2740F" w14:textId="77777777" w:rsidR="00324643" w:rsidRDefault="00324643" w:rsidP="00324643">
      <w:pPr>
        <w:pStyle w:val="ListParagraph"/>
        <w:spacing w:line="259" w:lineRule="auto"/>
      </w:pPr>
    </w:p>
    <w:p w14:paraId="5F19BAB5" w14:textId="0CC10AAB" w:rsidR="00551E2C" w:rsidRPr="00324643" w:rsidRDefault="00551E2C" w:rsidP="00551E2C">
      <w:pPr>
        <w:rPr>
          <w:b/>
          <w:bCs/>
          <w:color w:val="0070C0"/>
          <w:sz w:val="26"/>
          <w:szCs w:val="26"/>
        </w:rPr>
      </w:pPr>
      <w:r w:rsidRPr="00324643">
        <w:rPr>
          <w:b/>
          <w:bCs/>
          <w:color w:val="0070C0"/>
          <w:sz w:val="26"/>
          <w:szCs w:val="26"/>
        </w:rPr>
        <w:t>Modelling industry value</w:t>
      </w:r>
      <w:r w:rsidR="00532DCF">
        <w:rPr>
          <w:b/>
          <w:bCs/>
          <w:color w:val="0070C0"/>
          <w:sz w:val="26"/>
          <w:szCs w:val="26"/>
        </w:rPr>
        <w:t xml:space="preserve"> of genetic gain</w:t>
      </w:r>
    </w:p>
    <w:p w14:paraId="12B50B5A" w14:textId="77777777" w:rsidR="00324643" w:rsidRDefault="00324643" w:rsidP="00551E2C"/>
    <w:p w14:paraId="791CAC8F" w14:textId="0B332C04" w:rsidR="00551E2C" w:rsidRDefault="00551E2C" w:rsidP="00551E2C">
      <w:r>
        <w:t>For each sector, the following steps were completed:</w:t>
      </w:r>
    </w:p>
    <w:p w14:paraId="452C4914" w14:textId="77777777" w:rsidR="00195379" w:rsidRDefault="00195379" w:rsidP="00551E2C"/>
    <w:p w14:paraId="5C14DEFC" w14:textId="3C16218F" w:rsidR="00551E2C" w:rsidRDefault="005A4711" w:rsidP="00374617">
      <w:pPr>
        <w:pStyle w:val="ListParagraph"/>
        <w:numPr>
          <w:ilvl w:val="0"/>
          <w:numId w:val="30"/>
        </w:numPr>
        <w:spacing w:after="160" w:line="259" w:lineRule="auto"/>
      </w:pPr>
      <w:r>
        <w:t xml:space="preserve">Genetic </w:t>
      </w:r>
      <w:r w:rsidR="00551E2C">
        <w:t>merit of the seedstock or stud sector was modelled by incrementing the merit by the base rate of genetic progress, and the increased rate of progress</w:t>
      </w:r>
    </w:p>
    <w:p w14:paraId="27BB5F43" w14:textId="298A610F" w:rsidR="00551E2C" w:rsidRDefault="005A4711" w:rsidP="00374617">
      <w:pPr>
        <w:pStyle w:val="ListParagraph"/>
        <w:numPr>
          <w:ilvl w:val="0"/>
          <w:numId w:val="30"/>
        </w:numPr>
        <w:spacing w:after="160" w:line="259" w:lineRule="auto"/>
      </w:pPr>
      <w:r>
        <w:t xml:space="preserve">The </w:t>
      </w:r>
      <w:r w:rsidR="00551E2C">
        <w:t>merit of the sires being used in the commercial sector was modelled as the average merit of the 3 previous year drops (so that sires are modelled to have first progeny at 2 years old, and to have progeny over 3 years, and progeny express their merit at 1 year old)</w:t>
      </w:r>
    </w:p>
    <w:p w14:paraId="5A424E87" w14:textId="359CC075" w:rsidR="00551E2C" w:rsidRDefault="005A4711" w:rsidP="00374617">
      <w:pPr>
        <w:pStyle w:val="ListParagraph"/>
        <w:numPr>
          <w:ilvl w:val="0"/>
          <w:numId w:val="30"/>
        </w:numPr>
        <w:spacing w:after="160" w:line="259" w:lineRule="auto"/>
      </w:pPr>
      <w:r>
        <w:t xml:space="preserve">Numbers </w:t>
      </w:r>
      <w:r w:rsidR="00551E2C">
        <w:t>of commercial progeny were calculated based on number of females evaluated x number of sires per female evaluated x number of females (in the commercial sector) mated per sire lifetime</w:t>
      </w:r>
    </w:p>
    <w:p w14:paraId="3CCB6BEE" w14:textId="541FAA90" w:rsidR="00551E2C" w:rsidRDefault="005A4711" w:rsidP="00374617">
      <w:pPr>
        <w:pStyle w:val="ListParagraph"/>
        <w:numPr>
          <w:ilvl w:val="0"/>
          <w:numId w:val="30"/>
        </w:numPr>
        <w:spacing w:after="160" w:line="259" w:lineRule="auto"/>
      </w:pPr>
      <w:r>
        <w:t xml:space="preserve">The </w:t>
      </w:r>
      <w:r w:rsidR="00551E2C">
        <w:t>British and European modelling results are combined as weighted totals</w:t>
      </w:r>
    </w:p>
    <w:p w14:paraId="62F86FF6" w14:textId="2256F565" w:rsidR="00551E2C" w:rsidRDefault="005A4711" w:rsidP="00374617">
      <w:pPr>
        <w:pStyle w:val="ListParagraph"/>
        <w:numPr>
          <w:ilvl w:val="0"/>
          <w:numId w:val="30"/>
        </w:numPr>
        <w:spacing w:after="160" w:line="259" w:lineRule="auto"/>
      </w:pPr>
      <w:r>
        <w:t xml:space="preserve">The </w:t>
      </w:r>
      <w:r w:rsidR="00551E2C">
        <w:t xml:space="preserve">industry value of the increase in accuracy is then simply the difference in total commercial merit with increased accuracy – base or current accuracy. The commercial sector is modelled as simply tracking seedstock sector </w:t>
      </w:r>
      <w:proofErr w:type="gramStart"/>
      <w:r w:rsidR="00551E2C">
        <w:t>merit, but</w:t>
      </w:r>
      <w:proofErr w:type="gramEnd"/>
      <w:r w:rsidR="00551E2C">
        <w:t xml:space="preserve"> lagged.</w:t>
      </w:r>
    </w:p>
    <w:p w14:paraId="6FEC1CC9" w14:textId="77777777" w:rsidR="00551E2C" w:rsidRDefault="00551E2C" w:rsidP="00374617">
      <w:pPr>
        <w:pStyle w:val="ListParagraph"/>
        <w:numPr>
          <w:ilvl w:val="0"/>
          <w:numId w:val="30"/>
        </w:numPr>
        <w:spacing w:after="160" w:line="259" w:lineRule="auto"/>
      </w:pPr>
      <w:r>
        <w:t>To calculate the annual value of the two levels of rate of genetic progress:</w:t>
      </w:r>
    </w:p>
    <w:p w14:paraId="501944DA" w14:textId="77777777" w:rsidR="00551E2C" w:rsidRDefault="00551E2C" w:rsidP="00374617">
      <w:pPr>
        <w:pStyle w:val="ListParagraph"/>
        <w:numPr>
          <w:ilvl w:val="0"/>
          <w:numId w:val="31"/>
        </w:numPr>
        <w:spacing w:after="160" w:line="259" w:lineRule="auto"/>
      </w:pPr>
      <w:r>
        <w:t xml:space="preserve">The model was run over a </w:t>
      </w:r>
      <w:proofErr w:type="gramStart"/>
      <w:r>
        <w:t>15 year</w:t>
      </w:r>
      <w:proofErr w:type="gramEnd"/>
      <w:r>
        <w:t xml:space="preserve"> period</w:t>
      </w:r>
    </w:p>
    <w:p w14:paraId="74734685" w14:textId="77777777" w:rsidR="00551E2C" w:rsidRDefault="00551E2C" w:rsidP="00374617">
      <w:pPr>
        <w:pStyle w:val="ListParagraph"/>
        <w:numPr>
          <w:ilvl w:val="0"/>
          <w:numId w:val="31"/>
        </w:numPr>
        <w:spacing w:after="160" w:line="259" w:lineRule="auto"/>
      </w:pPr>
      <w:r>
        <w:t>No discounting was applied for time</w:t>
      </w:r>
    </w:p>
    <w:p w14:paraId="056548AB" w14:textId="77777777" w:rsidR="00551E2C" w:rsidRDefault="00551E2C" w:rsidP="00374617">
      <w:pPr>
        <w:pStyle w:val="ListParagraph"/>
        <w:numPr>
          <w:ilvl w:val="0"/>
          <w:numId w:val="31"/>
        </w:numPr>
        <w:spacing w:after="160" w:line="259" w:lineRule="auto"/>
      </w:pPr>
      <w:r>
        <w:t>Total value across the 15 years was obtained by summing</w:t>
      </w:r>
    </w:p>
    <w:p w14:paraId="19A16E6A" w14:textId="77777777" w:rsidR="00551E2C" w:rsidRDefault="00551E2C" w:rsidP="00374617">
      <w:pPr>
        <w:pStyle w:val="ListParagraph"/>
        <w:numPr>
          <w:ilvl w:val="0"/>
          <w:numId w:val="31"/>
        </w:numPr>
        <w:spacing w:after="160" w:line="259" w:lineRule="auto"/>
      </w:pPr>
      <w:r>
        <w:t>And the total value across 15 years was divided by 15 to get an “annuity” value</w:t>
      </w:r>
    </w:p>
    <w:p w14:paraId="61158503" w14:textId="26DCA81B" w:rsidR="00551E2C" w:rsidRDefault="00551E2C" w:rsidP="00551E2C">
      <w:r>
        <w:t xml:space="preserve">The results for additional value (faster rate of genetic progress, compared to the current rate) are as </w:t>
      </w:r>
      <w:r w:rsidR="00083411">
        <w:t>shown in Table A</w:t>
      </w:r>
      <w:r w:rsidR="00E64E89">
        <w:t>3</w:t>
      </w:r>
      <w:r w:rsidR="00083411">
        <w:t>.3.</w:t>
      </w:r>
    </w:p>
    <w:p w14:paraId="4E7B7785" w14:textId="77777777" w:rsidR="008610D9" w:rsidRDefault="008610D9" w:rsidP="00551E2C"/>
    <w:p w14:paraId="119CC040" w14:textId="55CEBAAF" w:rsidR="00551E2C" w:rsidRDefault="00551E2C" w:rsidP="00DD3CBB">
      <w:pPr>
        <w:keepNext/>
        <w:keepLines/>
        <w:jc w:val="center"/>
        <w:rPr>
          <w:rFonts w:ascii="Arial" w:eastAsiaTheme="minorEastAsia" w:hAnsi="Arial"/>
          <w:bCs/>
          <w:i/>
          <w:color w:val="404040" w:themeColor="text1" w:themeTint="BF"/>
          <w:szCs w:val="20"/>
        </w:rPr>
      </w:pPr>
      <w:r w:rsidRPr="00083411">
        <w:rPr>
          <w:rFonts w:ascii="Arial" w:eastAsiaTheme="minorEastAsia" w:hAnsi="Arial"/>
          <w:bCs/>
          <w:i/>
          <w:color w:val="404040" w:themeColor="text1" w:themeTint="BF"/>
          <w:szCs w:val="20"/>
        </w:rPr>
        <w:t xml:space="preserve">Table </w:t>
      </w:r>
      <w:r w:rsidR="00083411">
        <w:rPr>
          <w:rFonts w:ascii="Arial" w:eastAsiaTheme="minorEastAsia" w:hAnsi="Arial"/>
          <w:bCs/>
          <w:i/>
          <w:color w:val="404040" w:themeColor="text1" w:themeTint="BF"/>
          <w:szCs w:val="20"/>
        </w:rPr>
        <w:t>A</w:t>
      </w:r>
      <w:r w:rsidR="00E64E89">
        <w:rPr>
          <w:rFonts w:ascii="Arial" w:eastAsiaTheme="minorEastAsia" w:hAnsi="Arial"/>
          <w:bCs/>
          <w:i/>
          <w:color w:val="404040" w:themeColor="text1" w:themeTint="BF"/>
          <w:szCs w:val="20"/>
        </w:rPr>
        <w:t>3</w:t>
      </w:r>
      <w:r w:rsidR="00083411">
        <w:rPr>
          <w:rFonts w:ascii="Arial" w:eastAsiaTheme="minorEastAsia" w:hAnsi="Arial"/>
          <w:bCs/>
          <w:i/>
          <w:color w:val="404040" w:themeColor="text1" w:themeTint="BF"/>
          <w:szCs w:val="20"/>
        </w:rPr>
        <w:t>.</w:t>
      </w:r>
      <w:r w:rsidRPr="00083411">
        <w:rPr>
          <w:rFonts w:ascii="Arial" w:eastAsiaTheme="minorEastAsia" w:hAnsi="Arial"/>
          <w:bCs/>
          <w:i/>
          <w:color w:val="404040" w:themeColor="text1" w:themeTint="BF"/>
          <w:szCs w:val="20"/>
        </w:rPr>
        <w:t>3</w:t>
      </w:r>
      <w:r w:rsidR="00083411">
        <w:rPr>
          <w:rFonts w:ascii="Arial" w:eastAsiaTheme="minorEastAsia" w:hAnsi="Arial"/>
          <w:bCs/>
          <w:i/>
          <w:color w:val="404040" w:themeColor="text1" w:themeTint="BF"/>
          <w:szCs w:val="20"/>
        </w:rPr>
        <w:t xml:space="preserve">. </w:t>
      </w:r>
      <w:r w:rsidRPr="00083411">
        <w:rPr>
          <w:rFonts w:ascii="Arial" w:eastAsiaTheme="minorEastAsia" w:hAnsi="Arial"/>
          <w:bCs/>
          <w:i/>
          <w:color w:val="404040" w:themeColor="text1" w:themeTint="BF"/>
          <w:szCs w:val="20"/>
        </w:rPr>
        <w:t>Indu</w:t>
      </w:r>
      <w:r w:rsidR="00083411" w:rsidRPr="00083411">
        <w:rPr>
          <w:rFonts w:ascii="Arial" w:eastAsiaTheme="minorEastAsia" w:hAnsi="Arial"/>
          <w:bCs/>
          <w:i/>
          <w:color w:val="404040" w:themeColor="text1" w:themeTint="BF"/>
          <w:szCs w:val="20"/>
        </w:rPr>
        <w:t>stry value from faster genetic pr</w:t>
      </w:r>
      <w:r w:rsidRPr="00083411">
        <w:rPr>
          <w:rFonts w:ascii="Arial" w:eastAsiaTheme="minorEastAsia" w:hAnsi="Arial"/>
          <w:bCs/>
          <w:i/>
          <w:color w:val="404040" w:themeColor="text1" w:themeTint="BF"/>
          <w:szCs w:val="20"/>
        </w:rPr>
        <w:t>ogress</w:t>
      </w:r>
    </w:p>
    <w:p w14:paraId="015366D1" w14:textId="77777777" w:rsidR="00083411" w:rsidRPr="00083411" w:rsidRDefault="00083411" w:rsidP="00DD3CBB">
      <w:pPr>
        <w:keepNext/>
        <w:keepLines/>
        <w:jc w:val="center"/>
        <w:rPr>
          <w:rFonts w:ascii="Arial" w:eastAsiaTheme="minorEastAsia" w:hAnsi="Arial"/>
          <w:bCs/>
          <w:i/>
          <w:color w:val="404040" w:themeColor="text1" w:themeTint="BF"/>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059"/>
        <w:gridCol w:w="1126"/>
        <w:gridCol w:w="1127"/>
        <w:gridCol w:w="1127"/>
        <w:gridCol w:w="947"/>
        <w:gridCol w:w="1498"/>
      </w:tblGrid>
      <w:tr w:rsidR="00A438A3" w:rsidRPr="006D23D5" w14:paraId="6D8B5E4E" w14:textId="77777777" w:rsidTr="00EE1E11">
        <w:tc>
          <w:tcPr>
            <w:tcW w:w="2093" w:type="dxa"/>
          </w:tcPr>
          <w:p w14:paraId="2580DB19" w14:textId="77777777" w:rsidR="00A438A3" w:rsidRPr="006D23D5" w:rsidRDefault="00A438A3" w:rsidP="00DD3CBB">
            <w:pPr>
              <w:keepNext/>
              <w:keepLines/>
              <w:rPr>
                <w:b/>
                <w:bCs/>
              </w:rPr>
            </w:pPr>
          </w:p>
        </w:tc>
        <w:tc>
          <w:tcPr>
            <w:tcW w:w="2185" w:type="dxa"/>
            <w:gridSpan w:val="2"/>
            <w:vAlign w:val="bottom"/>
          </w:tcPr>
          <w:p w14:paraId="5B621A48" w14:textId="77777777" w:rsidR="00A438A3" w:rsidRPr="006D23D5" w:rsidRDefault="00A438A3" w:rsidP="00774955">
            <w:pPr>
              <w:keepNext/>
              <w:keepLines/>
              <w:jc w:val="center"/>
              <w:rPr>
                <w:b/>
                <w:bCs/>
              </w:rPr>
            </w:pPr>
          </w:p>
        </w:tc>
        <w:tc>
          <w:tcPr>
            <w:tcW w:w="3201" w:type="dxa"/>
            <w:gridSpan w:val="3"/>
            <w:vAlign w:val="bottom"/>
          </w:tcPr>
          <w:p w14:paraId="5D9731F1" w14:textId="77777777" w:rsidR="00A438A3" w:rsidRPr="006D23D5" w:rsidRDefault="00A438A3" w:rsidP="00774955">
            <w:pPr>
              <w:keepNext/>
              <w:keepLines/>
              <w:jc w:val="center"/>
              <w:rPr>
                <w:b/>
                <w:bCs/>
              </w:rPr>
            </w:pPr>
          </w:p>
        </w:tc>
        <w:tc>
          <w:tcPr>
            <w:tcW w:w="1498" w:type="dxa"/>
            <w:vMerge w:val="restart"/>
          </w:tcPr>
          <w:p w14:paraId="0C63D913" w14:textId="55D56A2A" w:rsidR="00A438A3" w:rsidRPr="002F5782" w:rsidRDefault="00A438A3" w:rsidP="00A438A3">
            <w:pPr>
              <w:keepNext/>
              <w:keepLines/>
              <w:jc w:val="center"/>
              <w:rPr>
                <w:b/>
                <w:bCs/>
              </w:rPr>
            </w:pPr>
            <w:r w:rsidRPr="002F5782">
              <w:rPr>
                <w:b/>
                <w:bCs/>
              </w:rPr>
              <w:t>Total Annuity</w:t>
            </w:r>
            <w:r>
              <w:rPr>
                <w:b/>
                <w:bCs/>
              </w:rPr>
              <w:t xml:space="preserve"> </w:t>
            </w:r>
            <w:r w:rsidRPr="002F5782">
              <w:rPr>
                <w:b/>
                <w:bCs/>
              </w:rPr>
              <w:t>Value ($m p.a.), beef</w:t>
            </w:r>
          </w:p>
        </w:tc>
      </w:tr>
      <w:tr w:rsidR="00A438A3" w:rsidRPr="006D23D5" w14:paraId="2FD3C9E0" w14:textId="77777777" w:rsidTr="00EE1E11">
        <w:tc>
          <w:tcPr>
            <w:tcW w:w="2093" w:type="dxa"/>
          </w:tcPr>
          <w:p w14:paraId="0A412C63" w14:textId="77777777" w:rsidR="00A438A3" w:rsidRPr="006D23D5" w:rsidRDefault="00A438A3" w:rsidP="00DD3CBB">
            <w:pPr>
              <w:keepNext/>
              <w:keepLines/>
              <w:rPr>
                <w:b/>
                <w:bCs/>
              </w:rPr>
            </w:pPr>
          </w:p>
        </w:tc>
        <w:tc>
          <w:tcPr>
            <w:tcW w:w="2185" w:type="dxa"/>
            <w:gridSpan w:val="2"/>
            <w:vAlign w:val="bottom"/>
          </w:tcPr>
          <w:p w14:paraId="09A60B85" w14:textId="7FD304AC" w:rsidR="00A438A3" w:rsidRPr="006D23D5" w:rsidRDefault="00A438A3" w:rsidP="00774955">
            <w:pPr>
              <w:keepNext/>
              <w:keepLines/>
              <w:jc w:val="center"/>
              <w:rPr>
                <w:b/>
                <w:bCs/>
              </w:rPr>
            </w:pPr>
            <w:r w:rsidRPr="006D23D5">
              <w:rPr>
                <w:b/>
                <w:bCs/>
              </w:rPr>
              <w:t>Beef</w:t>
            </w:r>
          </w:p>
        </w:tc>
        <w:tc>
          <w:tcPr>
            <w:tcW w:w="3201" w:type="dxa"/>
            <w:gridSpan w:val="3"/>
            <w:vAlign w:val="bottom"/>
          </w:tcPr>
          <w:p w14:paraId="574354C6" w14:textId="3C6E1F73" w:rsidR="00A438A3" w:rsidRPr="006D23D5" w:rsidRDefault="00A438A3" w:rsidP="00774955">
            <w:pPr>
              <w:keepNext/>
              <w:keepLines/>
              <w:jc w:val="center"/>
              <w:rPr>
                <w:b/>
                <w:bCs/>
              </w:rPr>
            </w:pPr>
            <w:r w:rsidRPr="006D23D5">
              <w:rPr>
                <w:b/>
                <w:bCs/>
              </w:rPr>
              <w:t>Sheep</w:t>
            </w:r>
          </w:p>
        </w:tc>
        <w:tc>
          <w:tcPr>
            <w:tcW w:w="1498" w:type="dxa"/>
            <w:vMerge/>
          </w:tcPr>
          <w:p w14:paraId="4D181468" w14:textId="51416BE7" w:rsidR="00A438A3" w:rsidRPr="002F5782" w:rsidRDefault="00A438A3" w:rsidP="00A438A3">
            <w:pPr>
              <w:keepNext/>
              <w:keepLines/>
              <w:jc w:val="center"/>
            </w:pPr>
          </w:p>
        </w:tc>
      </w:tr>
      <w:tr w:rsidR="00A438A3" w:rsidRPr="006D23D5" w14:paraId="76BEE661" w14:textId="77777777" w:rsidTr="00EE1E11">
        <w:tc>
          <w:tcPr>
            <w:tcW w:w="2093" w:type="dxa"/>
            <w:tcBorders>
              <w:bottom w:val="single" w:sz="4" w:space="0" w:color="auto"/>
            </w:tcBorders>
            <w:vAlign w:val="center"/>
          </w:tcPr>
          <w:p w14:paraId="458809E7" w14:textId="77777777" w:rsidR="00A438A3" w:rsidRPr="006D23D5" w:rsidRDefault="00A438A3" w:rsidP="00DD3CBB">
            <w:pPr>
              <w:keepNext/>
              <w:keepLines/>
              <w:rPr>
                <w:b/>
                <w:bCs/>
              </w:rPr>
            </w:pPr>
            <w:r w:rsidRPr="6D551497">
              <w:rPr>
                <w:b/>
                <w:bCs/>
              </w:rPr>
              <w:t>Accuracy increment</w:t>
            </w:r>
          </w:p>
        </w:tc>
        <w:tc>
          <w:tcPr>
            <w:tcW w:w="1059" w:type="dxa"/>
            <w:tcBorders>
              <w:bottom w:val="single" w:sz="4" w:space="0" w:color="auto"/>
            </w:tcBorders>
            <w:vAlign w:val="center"/>
          </w:tcPr>
          <w:p w14:paraId="0EF0B4AB" w14:textId="77777777" w:rsidR="00A438A3" w:rsidRPr="006D23D5" w:rsidRDefault="00A438A3" w:rsidP="00DD3CBB">
            <w:pPr>
              <w:keepNext/>
              <w:keepLines/>
              <w:rPr>
                <w:b/>
                <w:bCs/>
              </w:rPr>
            </w:pPr>
            <w:r w:rsidRPr="006D23D5">
              <w:rPr>
                <w:b/>
                <w:bCs/>
              </w:rPr>
              <w:t>Northern</w:t>
            </w:r>
          </w:p>
        </w:tc>
        <w:tc>
          <w:tcPr>
            <w:tcW w:w="1126" w:type="dxa"/>
            <w:tcBorders>
              <w:bottom w:val="single" w:sz="4" w:space="0" w:color="auto"/>
            </w:tcBorders>
            <w:vAlign w:val="center"/>
          </w:tcPr>
          <w:p w14:paraId="434FBE1E" w14:textId="77777777" w:rsidR="00A438A3" w:rsidRPr="006D23D5" w:rsidRDefault="00A438A3" w:rsidP="00DD3CBB">
            <w:pPr>
              <w:keepNext/>
              <w:keepLines/>
              <w:rPr>
                <w:b/>
                <w:bCs/>
              </w:rPr>
            </w:pPr>
            <w:r w:rsidRPr="006D23D5">
              <w:rPr>
                <w:b/>
                <w:bCs/>
              </w:rPr>
              <w:t>Southern</w:t>
            </w:r>
          </w:p>
        </w:tc>
        <w:tc>
          <w:tcPr>
            <w:tcW w:w="1127" w:type="dxa"/>
            <w:tcBorders>
              <w:bottom w:val="single" w:sz="4" w:space="0" w:color="auto"/>
            </w:tcBorders>
            <w:vAlign w:val="center"/>
          </w:tcPr>
          <w:p w14:paraId="653D4F00" w14:textId="056E964F" w:rsidR="00A438A3" w:rsidRPr="006D23D5" w:rsidRDefault="00A438A3" w:rsidP="00DD3CBB">
            <w:pPr>
              <w:keepNext/>
              <w:keepLines/>
              <w:rPr>
                <w:b/>
                <w:bCs/>
              </w:rPr>
            </w:pPr>
            <w:r w:rsidRPr="006D23D5">
              <w:rPr>
                <w:b/>
                <w:bCs/>
              </w:rPr>
              <w:t>Terminal</w:t>
            </w:r>
          </w:p>
        </w:tc>
        <w:tc>
          <w:tcPr>
            <w:tcW w:w="1127" w:type="dxa"/>
            <w:tcBorders>
              <w:bottom w:val="single" w:sz="4" w:space="0" w:color="auto"/>
            </w:tcBorders>
            <w:vAlign w:val="center"/>
          </w:tcPr>
          <w:p w14:paraId="7C0CA57D" w14:textId="77777777" w:rsidR="00A438A3" w:rsidRPr="006D23D5" w:rsidRDefault="00A438A3" w:rsidP="00DD3CBB">
            <w:pPr>
              <w:keepNext/>
              <w:keepLines/>
              <w:rPr>
                <w:b/>
                <w:bCs/>
              </w:rPr>
            </w:pPr>
            <w:r w:rsidRPr="006D23D5">
              <w:rPr>
                <w:b/>
                <w:bCs/>
              </w:rPr>
              <w:t>Maternal</w:t>
            </w:r>
          </w:p>
        </w:tc>
        <w:tc>
          <w:tcPr>
            <w:tcW w:w="947" w:type="dxa"/>
            <w:tcBorders>
              <w:bottom w:val="single" w:sz="4" w:space="0" w:color="auto"/>
            </w:tcBorders>
            <w:vAlign w:val="center"/>
          </w:tcPr>
          <w:p w14:paraId="0C359B3C" w14:textId="77777777" w:rsidR="00A438A3" w:rsidRPr="006D23D5" w:rsidRDefault="00A438A3" w:rsidP="00DD3CBB">
            <w:pPr>
              <w:keepNext/>
              <w:keepLines/>
              <w:rPr>
                <w:b/>
                <w:bCs/>
              </w:rPr>
            </w:pPr>
            <w:r w:rsidRPr="006D23D5">
              <w:rPr>
                <w:b/>
                <w:bCs/>
              </w:rPr>
              <w:t>Merino</w:t>
            </w:r>
          </w:p>
        </w:tc>
        <w:tc>
          <w:tcPr>
            <w:tcW w:w="1498" w:type="dxa"/>
            <w:vMerge/>
            <w:tcBorders>
              <w:bottom w:val="single" w:sz="4" w:space="0" w:color="auto"/>
            </w:tcBorders>
            <w:vAlign w:val="center"/>
          </w:tcPr>
          <w:p w14:paraId="7F90F2C8" w14:textId="7AAA21BA" w:rsidR="00A438A3" w:rsidRPr="006D23D5" w:rsidRDefault="00A438A3" w:rsidP="008B7E30">
            <w:pPr>
              <w:keepNext/>
              <w:keepLines/>
              <w:jc w:val="center"/>
              <w:rPr>
                <w:b/>
                <w:bCs/>
              </w:rPr>
            </w:pPr>
          </w:p>
        </w:tc>
      </w:tr>
      <w:tr w:rsidR="00E44C0E" w14:paraId="383F5B48" w14:textId="77777777" w:rsidTr="00EE1E11">
        <w:tc>
          <w:tcPr>
            <w:tcW w:w="2093" w:type="dxa"/>
            <w:tcBorders>
              <w:top w:val="single" w:sz="4" w:space="0" w:color="auto"/>
            </w:tcBorders>
          </w:tcPr>
          <w:p w14:paraId="1498FDAB" w14:textId="77777777" w:rsidR="00E44C0E" w:rsidRDefault="00E44C0E" w:rsidP="00E44C0E">
            <w:pPr>
              <w:keepNext/>
              <w:keepLines/>
              <w:spacing w:before="120" w:after="120"/>
            </w:pPr>
            <w:r>
              <w:t>+ 20%</w:t>
            </w:r>
          </w:p>
        </w:tc>
        <w:tc>
          <w:tcPr>
            <w:tcW w:w="1059" w:type="dxa"/>
            <w:tcBorders>
              <w:top w:val="single" w:sz="4" w:space="0" w:color="auto"/>
            </w:tcBorders>
            <w:vAlign w:val="center"/>
          </w:tcPr>
          <w:p w14:paraId="4C484849" w14:textId="2767BE1F"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$0.83</w:t>
            </w:r>
          </w:p>
        </w:tc>
        <w:tc>
          <w:tcPr>
            <w:tcW w:w="1126" w:type="dxa"/>
            <w:tcBorders>
              <w:top w:val="single" w:sz="4" w:space="0" w:color="auto"/>
            </w:tcBorders>
            <w:vAlign w:val="center"/>
          </w:tcPr>
          <w:p w14:paraId="0C09F715" w14:textId="4FB8ADE1"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$18.35</w:t>
            </w:r>
          </w:p>
        </w:tc>
        <w:tc>
          <w:tcPr>
            <w:tcW w:w="1127" w:type="dxa"/>
            <w:tcBorders>
              <w:top w:val="single" w:sz="4" w:space="0" w:color="auto"/>
            </w:tcBorders>
            <w:vAlign w:val="center"/>
          </w:tcPr>
          <w:p w14:paraId="75589CF1" w14:textId="391E7EB7"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$14.79</w:t>
            </w:r>
          </w:p>
        </w:tc>
        <w:tc>
          <w:tcPr>
            <w:tcW w:w="1127" w:type="dxa"/>
            <w:tcBorders>
              <w:top w:val="single" w:sz="4" w:space="0" w:color="auto"/>
            </w:tcBorders>
            <w:vAlign w:val="center"/>
          </w:tcPr>
          <w:p w14:paraId="6389D238" w14:textId="4F18AE5A"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$8.28</w:t>
            </w:r>
          </w:p>
        </w:tc>
        <w:tc>
          <w:tcPr>
            <w:tcW w:w="947" w:type="dxa"/>
            <w:tcBorders>
              <w:top w:val="single" w:sz="4" w:space="0" w:color="auto"/>
            </w:tcBorders>
            <w:vAlign w:val="center"/>
          </w:tcPr>
          <w:p w14:paraId="3952942C" w14:textId="01501551"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$25.73</w:t>
            </w:r>
          </w:p>
        </w:tc>
        <w:tc>
          <w:tcPr>
            <w:tcW w:w="1498" w:type="dxa"/>
            <w:tcBorders>
              <w:top w:val="single" w:sz="4" w:space="0" w:color="auto"/>
            </w:tcBorders>
            <w:vAlign w:val="center"/>
          </w:tcPr>
          <w:p w14:paraId="300B300E" w14:textId="51CFAE3A"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$19.</w:t>
            </w:r>
            <w:r w:rsidR="00011098">
              <w:rPr>
                <w:rFonts w:ascii="Calibri" w:hAnsi="Calibri" w:cs="Calibri"/>
                <w:color w:val="000000"/>
              </w:rPr>
              <w:t>18</w:t>
            </w:r>
          </w:p>
        </w:tc>
      </w:tr>
      <w:tr w:rsidR="00E44C0E" w14:paraId="6270F0C3" w14:textId="77777777" w:rsidTr="00EE1E11">
        <w:tc>
          <w:tcPr>
            <w:tcW w:w="2093" w:type="dxa"/>
            <w:tcBorders>
              <w:bottom w:val="single" w:sz="4" w:space="0" w:color="auto"/>
            </w:tcBorders>
          </w:tcPr>
          <w:p w14:paraId="719DBCF5" w14:textId="77777777" w:rsidR="00E44C0E" w:rsidRDefault="00E44C0E" w:rsidP="00E44C0E">
            <w:pPr>
              <w:keepNext/>
              <w:keepLines/>
              <w:spacing w:before="120" w:after="120"/>
            </w:pPr>
            <w:r>
              <w:t>+ 35%</w:t>
            </w:r>
          </w:p>
        </w:tc>
        <w:tc>
          <w:tcPr>
            <w:tcW w:w="1059" w:type="dxa"/>
            <w:tcBorders>
              <w:bottom w:val="single" w:sz="4" w:space="0" w:color="auto"/>
            </w:tcBorders>
            <w:vAlign w:val="center"/>
          </w:tcPr>
          <w:p w14:paraId="4B67011C" w14:textId="6957A9E6"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$1.45</w:t>
            </w:r>
          </w:p>
        </w:tc>
        <w:tc>
          <w:tcPr>
            <w:tcW w:w="1126" w:type="dxa"/>
            <w:tcBorders>
              <w:bottom w:val="single" w:sz="4" w:space="0" w:color="auto"/>
            </w:tcBorders>
            <w:vAlign w:val="center"/>
          </w:tcPr>
          <w:p w14:paraId="49A25D9F" w14:textId="086EF566"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$32.12</w:t>
            </w:r>
          </w:p>
        </w:tc>
        <w:tc>
          <w:tcPr>
            <w:tcW w:w="1127" w:type="dxa"/>
            <w:tcBorders>
              <w:bottom w:val="single" w:sz="4" w:space="0" w:color="auto"/>
            </w:tcBorders>
            <w:vAlign w:val="center"/>
          </w:tcPr>
          <w:p w14:paraId="74EE7D6B" w14:textId="15D9C665"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$25.88</w:t>
            </w:r>
          </w:p>
        </w:tc>
        <w:tc>
          <w:tcPr>
            <w:tcW w:w="1127" w:type="dxa"/>
            <w:tcBorders>
              <w:bottom w:val="single" w:sz="4" w:space="0" w:color="auto"/>
            </w:tcBorders>
            <w:vAlign w:val="center"/>
          </w:tcPr>
          <w:p w14:paraId="7C4E57D8" w14:textId="42F86AEF"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$14.48</w:t>
            </w:r>
          </w:p>
        </w:tc>
        <w:tc>
          <w:tcPr>
            <w:tcW w:w="947" w:type="dxa"/>
            <w:tcBorders>
              <w:bottom w:val="single" w:sz="4" w:space="0" w:color="auto"/>
            </w:tcBorders>
            <w:vAlign w:val="center"/>
          </w:tcPr>
          <w:p w14:paraId="648D01E9" w14:textId="472F1DFD"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$45.03</w:t>
            </w:r>
          </w:p>
        </w:tc>
        <w:tc>
          <w:tcPr>
            <w:tcW w:w="1498" w:type="dxa"/>
            <w:tcBorders>
              <w:bottom w:val="single" w:sz="4" w:space="0" w:color="auto"/>
            </w:tcBorders>
            <w:vAlign w:val="center"/>
          </w:tcPr>
          <w:p w14:paraId="108F3F02" w14:textId="7637EDE0" w:rsidR="00E44C0E" w:rsidRDefault="00E44C0E" w:rsidP="00E44C0E">
            <w:pPr>
              <w:keepNext/>
              <w:keepLines/>
              <w:spacing w:before="120" w:after="120"/>
              <w:jc w:val="center"/>
              <w:rPr>
                <w:rFonts w:ascii="Calibri" w:hAnsi="Calibri" w:cs="Calibri"/>
                <w:color w:val="000000"/>
              </w:rPr>
            </w:pPr>
            <w:r>
              <w:rPr>
                <w:rFonts w:ascii="Calibri" w:hAnsi="Calibri" w:cs="Calibri"/>
                <w:color w:val="000000"/>
              </w:rPr>
              <w:t>$3</w:t>
            </w:r>
            <w:r w:rsidR="00011098">
              <w:rPr>
                <w:rFonts w:ascii="Calibri" w:hAnsi="Calibri" w:cs="Calibri"/>
                <w:color w:val="000000"/>
              </w:rPr>
              <w:t>3.57</w:t>
            </w:r>
          </w:p>
        </w:tc>
      </w:tr>
    </w:tbl>
    <w:p w14:paraId="21D15C28" w14:textId="14D36C85" w:rsidR="00551E2C" w:rsidRDefault="00551E2C" w:rsidP="00551E2C"/>
    <w:p w14:paraId="7CB30050" w14:textId="34958DCD" w:rsidR="00551E2C" w:rsidRDefault="00011098" w:rsidP="00551E2C">
      <w:r>
        <w:lastRenderedPageBreak/>
        <w:t>This shows</w:t>
      </w:r>
      <w:r w:rsidR="00551E2C">
        <w:t xml:space="preserve"> </w:t>
      </w:r>
      <w:r w:rsidR="00A2447A">
        <w:t>that</w:t>
      </w:r>
      <w:r w:rsidR="00551E2C">
        <w:t xml:space="preserve"> total industry value from a 35% increase in accuracy of selection</w:t>
      </w:r>
      <w:r w:rsidR="00706ADC">
        <w:t xml:space="preserve"> (</w:t>
      </w:r>
      <w:r w:rsidR="00551E2C">
        <w:t>due to additional data</w:t>
      </w:r>
      <w:r w:rsidR="00706ADC">
        <w:t>)</w:t>
      </w:r>
      <w:r w:rsidR="00551E2C">
        <w:t xml:space="preserve"> is </w:t>
      </w:r>
      <w:r w:rsidR="00A2447A">
        <w:t xml:space="preserve">estimated </w:t>
      </w:r>
      <w:r w:rsidR="00A60A09">
        <w:t>at</w:t>
      </w:r>
      <w:r w:rsidR="00551E2C">
        <w:t xml:space="preserve"> $</w:t>
      </w:r>
      <w:r w:rsidR="0054354C">
        <w:t>33.57</w:t>
      </w:r>
      <w:r w:rsidR="00551E2C">
        <w:t>m p</w:t>
      </w:r>
      <w:r w:rsidR="00047399">
        <w:t>.</w:t>
      </w:r>
      <w:r w:rsidR="00551E2C">
        <w:t>a</w:t>
      </w:r>
      <w:r w:rsidR="00047399">
        <w:t>.</w:t>
      </w:r>
      <w:r w:rsidR="0054354C">
        <w:t xml:space="preserve"> </w:t>
      </w:r>
      <w:r w:rsidR="00A60A09">
        <w:t xml:space="preserve">over 15 years </w:t>
      </w:r>
      <w:r w:rsidR="009E5D41">
        <w:t>for the beef sector</w:t>
      </w:r>
      <w:r w:rsidR="00551E2C">
        <w:t xml:space="preserve">, </w:t>
      </w:r>
      <w:r w:rsidR="00706ADC">
        <w:t>above</w:t>
      </w:r>
      <w:r w:rsidR="00551E2C">
        <w:t xml:space="preserve"> </w:t>
      </w:r>
      <w:r w:rsidR="00A60A09">
        <w:t>that</w:t>
      </w:r>
      <w:r w:rsidR="00551E2C">
        <w:t xml:space="preserve"> obtained if genetic progress continues at the current rates.</w:t>
      </w:r>
      <w:r w:rsidR="00047399">
        <w:t xml:space="preserve">  </w:t>
      </w:r>
      <w:r w:rsidR="00551E2C">
        <w:t>If such data became available at some point in the future, and the current rate of genetic progress was higher</w:t>
      </w:r>
      <w:r w:rsidR="008342C4">
        <w:t xml:space="preserve"> at that </w:t>
      </w:r>
      <w:r w:rsidR="00E93A36">
        <w:t>point</w:t>
      </w:r>
      <w:r w:rsidR="00551E2C">
        <w:t>, the benefit of the increase in accuracy would also be higher.</w:t>
      </w:r>
    </w:p>
    <w:p w14:paraId="763CF627" w14:textId="77777777" w:rsidR="00047399" w:rsidRDefault="00047399" w:rsidP="00551E2C"/>
    <w:p w14:paraId="7A1FFE03" w14:textId="3B2DEE91" w:rsidR="00551E2C" w:rsidRDefault="00551E2C" w:rsidP="00551E2C">
      <w:r>
        <w:t xml:space="preserve">A note concerning the contribution of </w:t>
      </w:r>
      <w:r w:rsidR="005C311B">
        <w:t xml:space="preserve">additional </w:t>
      </w:r>
      <w:r>
        <w:t>wealth from the northern industry</w:t>
      </w:r>
      <w:r w:rsidR="00E93A36">
        <w:t xml:space="preserve">, which </w:t>
      </w:r>
      <w:r>
        <w:t xml:space="preserve">is low by comparison with the other sectors, and </w:t>
      </w:r>
      <w:proofErr w:type="gramStart"/>
      <w:r>
        <w:t>in particular with</w:t>
      </w:r>
      <w:proofErr w:type="gramEnd"/>
      <w:r>
        <w:t xml:space="preserve"> southern beef. This reflects two points not modelled here:</w:t>
      </w:r>
    </w:p>
    <w:p w14:paraId="24DC33C5" w14:textId="77777777" w:rsidR="00A842FE" w:rsidRDefault="00A842FE" w:rsidP="00551E2C"/>
    <w:p w14:paraId="3860AA28" w14:textId="78DD95A0" w:rsidR="00551E2C" w:rsidRDefault="00551E2C" w:rsidP="00374617">
      <w:pPr>
        <w:pStyle w:val="ListParagraph"/>
        <w:numPr>
          <w:ilvl w:val="0"/>
          <w:numId w:val="32"/>
        </w:numPr>
        <w:ind w:left="360"/>
      </w:pPr>
      <w:r>
        <w:t xml:space="preserve">There is a considerable but </w:t>
      </w:r>
      <w:proofErr w:type="gramStart"/>
      <w:r>
        <w:t>imprecisely</w:t>
      </w:r>
      <w:r w:rsidR="00047399">
        <w:t>-</w:t>
      </w:r>
      <w:r>
        <w:t>known</w:t>
      </w:r>
      <w:proofErr w:type="gramEnd"/>
      <w:r>
        <w:t xml:space="preserve"> multiplier effect operating across the northern beef industry: larger operations commonly buy or breed bulls that are evaluated through BREEDPLAN, but which are then used to breed sons for use across large commercial operations. The modelling here, based on BREEDPLAN throughput, does not account for this multiplier effect. The real contribution made by genetic improvement in the north, and a corresponding impact of increased accuracy, is almost certainly very much larger than the results here suggest.</w:t>
      </w:r>
    </w:p>
    <w:p w14:paraId="67C21B7A" w14:textId="77777777" w:rsidR="00A842FE" w:rsidRDefault="00A842FE" w:rsidP="00A842FE">
      <w:pPr>
        <w:ind w:left="-294"/>
      </w:pPr>
    </w:p>
    <w:p w14:paraId="6F6C9E1D" w14:textId="622FBA77" w:rsidR="00551E2C" w:rsidRDefault="00551E2C" w:rsidP="00374617">
      <w:pPr>
        <w:pStyle w:val="ListParagraph"/>
        <w:numPr>
          <w:ilvl w:val="0"/>
          <w:numId w:val="32"/>
        </w:numPr>
        <w:ind w:left="360"/>
      </w:pPr>
      <w:r>
        <w:t xml:space="preserve">It is very likely that both the rate of genetic progress in the northern industry, and the scale of impact, are likely to increase rapidly in the next decade, as genomics is taken up rapidly, in part driven by projects such as </w:t>
      </w:r>
      <w:proofErr w:type="spellStart"/>
      <w:r>
        <w:t>Repronomics</w:t>
      </w:r>
      <w:proofErr w:type="spellEnd"/>
      <w:r>
        <w:t>.</w:t>
      </w:r>
    </w:p>
    <w:p w14:paraId="5C11530D" w14:textId="77777777" w:rsidR="00A842FE" w:rsidRDefault="00A842FE" w:rsidP="00A842FE">
      <w:pPr>
        <w:pStyle w:val="ListParagraph"/>
        <w:ind w:left="426"/>
      </w:pPr>
    </w:p>
    <w:p w14:paraId="34FAB9B8" w14:textId="513D2052" w:rsidR="00551E2C" w:rsidRDefault="00551E2C" w:rsidP="00551E2C">
      <w:r>
        <w:t xml:space="preserve">The modelling here does not include any changes in scale of evaluations </w:t>
      </w:r>
      <w:proofErr w:type="gramStart"/>
      <w:r w:rsidRPr="00A842FE">
        <w:rPr>
          <w:i/>
          <w:iCs/>
        </w:rPr>
        <w:t>i</w:t>
      </w:r>
      <w:r w:rsidR="00A842FE" w:rsidRPr="00A842FE">
        <w:rPr>
          <w:i/>
          <w:iCs/>
        </w:rPr>
        <w:t>.</w:t>
      </w:r>
      <w:r w:rsidRPr="00A842FE">
        <w:rPr>
          <w:i/>
          <w:iCs/>
        </w:rPr>
        <w:t>e</w:t>
      </w:r>
      <w:r w:rsidR="00A842FE" w:rsidRPr="00A842FE">
        <w:rPr>
          <w:i/>
          <w:iCs/>
        </w:rPr>
        <w:t>.</w:t>
      </w:r>
      <w:proofErr w:type="gramEnd"/>
      <w:r>
        <w:t xml:space="preserve"> animals going through BREEDPLAN and Sheep Genetics: there is reason to be cautiously optimistic that this will rise, and potentially that </w:t>
      </w:r>
      <w:proofErr w:type="spellStart"/>
      <w:r>
        <w:t>i</w:t>
      </w:r>
      <w:proofErr w:type="spellEnd"/>
      <w:r>
        <w:t>/L will rise too, as enterprises make more use of reproductive technologies such as AI to harvest the value of elite genetics.</w:t>
      </w:r>
    </w:p>
    <w:p w14:paraId="310DBF6F" w14:textId="77777777" w:rsidR="006D23D5" w:rsidRDefault="006D23D5" w:rsidP="00551E2C"/>
    <w:p w14:paraId="11B39300" w14:textId="77777777" w:rsidR="00551E2C" w:rsidRDefault="00551E2C" w:rsidP="00551E2C">
      <w:r>
        <w:t>The estimates of additional industry value from faster genetic improvement, resulting from additional data becoming available through genotyping of recorded commercial animals, are almost certainly conservative. Anything that increases scale of evaluation and/or rate of genetic progress will mean larger returns from that data capture.</w:t>
      </w:r>
    </w:p>
    <w:p w14:paraId="7DC8D967" w14:textId="77777777" w:rsidR="006D23D5" w:rsidRDefault="006D23D5" w:rsidP="00551E2C">
      <w:pPr>
        <w:rPr>
          <w:b/>
        </w:rPr>
      </w:pPr>
    </w:p>
    <w:p w14:paraId="3075BC9D" w14:textId="77777777" w:rsidR="00551E2C" w:rsidRPr="005A4711" w:rsidRDefault="00551E2C" w:rsidP="00551E2C">
      <w:pPr>
        <w:rPr>
          <w:strike/>
        </w:rPr>
      </w:pPr>
    </w:p>
    <w:p w14:paraId="3C75A155" w14:textId="07BB1B5D" w:rsidR="00551E2C" w:rsidRDefault="00551E2C" w:rsidP="00D7083E"/>
    <w:bookmarkEnd w:id="209"/>
    <w:p w14:paraId="6E1FB914" w14:textId="36659086" w:rsidR="00CA4FF6" w:rsidRDefault="00CA4FF6" w:rsidP="00CA4FF6"/>
    <w:p w14:paraId="3959D083" w14:textId="6DA7804C" w:rsidR="00CA4FF6" w:rsidRDefault="006358AB" w:rsidP="00042A27">
      <w:pPr>
        <w:pStyle w:val="Heading1"/>
        <w:numPr>
          <w:ilvl w:val="0"/>
          <w:numId w:val="0"/>
        </w:numPr>
      </w:pPr>
      <w:bookmarkStart w:id="212" w:name="_Toc95983441"/>
      <w:r w:rsidRPr="00EF1B1E">
        <w:lastRenderedPageBreak/>
        <w:t xml:space="preserve">Appendix </w:t>
      </w:r>
      <w:r w:rsidR="00042A27">
        <w:t>4</w:t>
      </w:r>
      <w:r w:rsidRPr="00EF1B1E">
        <w:t xml:space="preserve">.  </w:t>
      </w:r>
      <w:r w:rsidR="00C9100D">
        <w:t>Modelling g</w:t>
      </w:r>
      <w:r w:rsidR="00C33564">
        <w:t>enomic screening for management</w:t>
      </w:r>
      <w:bookmarkEnd w:id="212"/>
      <w:r w:rsidR="00C33564">
        <w:t xml:space="preserve"> </w:t>
      </w:r>
    </w:p>
    <w:p w14:paraId="4BF30725" w14:textId="77777777" w:rsidR="00CA4FF6" w:rsidRDefault="00CA4FF6" w:rsidP="00CA4FF6"/>
    <w:p w14:paraId="3FB8A11D" w14:textId="45A0FC12" w:rsidR="00CA4FF6" w:rsidRDefault="00CA4FF6" w:rsidP="00CA4FF6">
      <w:r w:rsidRPr="00036690">
        <w:t>If we know the variance and standard deviation of some trait or economic parameter of commercial animals,</w:t>
      </w:r>
      <w:r>
        <w:t xml:space="preserve"> then we can define the performance of sub-sets of any cohort. Then if we assume </w:t>
      </w:r>
      <w:r w:rsidRPr="00036690">
        <w:t>a proportion that will be culled/retained conditional on a test, and</w:t>
      </w:r>
      <w:r>
        <w:t xml:space="preserve"> w</w:t>
      </w:r>
      <w:r w:rsidRPr="00036690">
        <w:t xml:space="preserve">e </w:t>
      </w:r>
      <w:r>
        <w:t xml:space="preserve">assume </w:t>
      </w:r>
      <w:r w:rsidRPr="00036690">
        <w:t>an accuracy of the genomic test for such animals, then</w:t>
      </w:r>
      <w:r>
        <w:t xml:space="preserve"> w</w:t>
      </w:r>
      <w:r w:rsidRPr="00036690">
        <w:t xml:space="preserve">e can calculate the change in returns from testing </w:t>
      </w:r>
      <w:r w:rsidRPr="00D346BA">
        <w:rPr>
          <w:i/>
          <w:iCs/>
        </w:rPr>
        <w:t>n</w:t>
      </w:r>
      <w:r w:rsidRPr="00036690">
        <w:t xml:space="preserve"> animals and retaining (or </w:t>
      </w:r>
      <w:proofErr w:type="gramStart"/>
      <w:r w:rsidRPr="00036690">
        <w:t>treating, or</w:t>
      </w:r>
      <w:proofErr w:type="gramEnd"/>
      <w:r w:rsidRPr="00036690">
        <w:t xml:space="preserve"> supplementing </w:t>
      </w:r>
      <w:r w:rsidRPr="001B608A">
        <w:rPr>
          <w:i/>
          <w:iCs/>
        </w:rPr>
        <w:t>etc</w:t>
      </w:r>
      <w:r>
        <w:t>.</w:t>
      </w:r>
      <w:r w:rsidRPr="00036690">
        <w:t xml:space="preserve">) </w:t>
      </w:r>
      <w:r w:rsidRPr="00D346BA">
        <w:rPr>
          <w:i/>
          <w:iCs/>
        </w:rPr>
        <w:t>n-r</w:t>
      </w:r>
      <w:r w:rsidRPr="00036690">
        <w:t xml:space="preserve"> animals.</w:t>
      </w:r>
    </w:p>
    <w:p w14:paraId="29099AFF" w14:textId="77777777" w:rsidR="00CA4FF6" w:rsidRPr="00036690" w:rsidRDefault="00CA4FF6" w:rsidP="00CA4FF6"/>
    <w:p w14:paraId="708BEAB9" w14:textId="60C80618" w:rsidR="00CA4FF6" w:rsidRDefault="00CA4FF6" w:rsidP="00CA4FF6">
      <w:r w:rsidRPr="00036690">
        <w:t xml:space="preserve">The example used here is for screening </w:t>
      </w:r>
      <w:r>
        <w:t>long</w:t>
      </w:r>
      <w:r w:rsidRPr="00036690">
        <w:t>-fed steers, using 2019 prices and costs</w:t>
      </w:r>
      <w:r>
        <w:t xml:space="preserve">.  The parameters are as shown in </w:t>
      </w:r>
      <w:r w:rsidR="00CA1F99">
        <w:t>Table A4.1</w:t>
      </w:r>
      <w:r>
        <w:t>.</w:t>
      </w:r>
    </w:p>
    <w:p w14:paraId="42B89CFD" w14:textId="77777777" w:rsidR="00CA4FF6" w:rsidRDefault="00CA4FF6" w:rsidP="00CA4FF6">
      <w:pPr>
        <w:spacing w:after="160" w:line="259" w:lineRule="auto"/>
      </w:pPr>
    </w:p>
    <w:p w14:paraId="3F6B7166" w14:textId="3A85141C" w:rsidR="00CA4FF6" w:rsidRDefault="00CA4FF6" w:rsidP="00475E28">
      <w:pPr>
        <w:pStyle w:val="Caption"/>
      </w:pPr>
      <w:bookmarkStart w:id="213" w:name="_Ref88319094"/>
      <w:r>
        <w:t xml:space="preserve">Table </w:t>
      </w:r>
      <w:bookmarkEnd w:id="213"/>
      <w:r w:rsidR="00CA1F99">
        <w:t>A4.1</w:t>
      </w:r>
      <w:r>
        <w:t xml:space="preserve">.  </w:t>
      </w:r>
      <w:bookmarkStart w:id="214" w:name="_Toc88592903"/>
      <w:r>
        <w:t>Assumptions used to model the value of genotypes to predict performance in the cattle.</w:t>
      </w:r>
      <w:bookmarkEnd w:id="214"/>
    </w:p>
    <w:tbl>
      <w:tblPr>
        <w:tblW w:w="9356" w:type="dxa"/>
        <w:tblLook w:val="04A0" w:firstRow="1" w:lastRow="0" w:firstColumn="1" w:lastColumn="0" w:noHBand="0" w:noVBand="1"/>
      </w:tblPr>
      <w:tblGrid>
        <w:gridCol w:w="2835"/>
        <w:gridCol w:w="1134"/>
        <w:gridCol w:w="1134"/>
        <w:gridCol w:w="1134"/>
        <w:gridCol w:w="851"/>
        <w:gridCol w:w="1158"/>
        <w:gridCol w:w="1134"/>
      </w:tblGrid>
      <w:tr w:rsidR="00CA4FF6" w:rsidRPr="00A45141" w14:paraId="28A1CBBA" w14:textId="77777777" w:rsidTr="00CC23D5">
        <w:trPr>
          <w:trHeight w:val="290"/>
        </w:trPr>
        <w:tc>
          <w:tcPr>
            <w:tcW w:w="2835" w:type="dxa"/>
            <w:tcBorders>
              <w:top w:val="nil"/>
              <w:left w:val="nil"/>
              <w:bottom w:val="single" w:sz="4" w:space="0" w:color="auto"/>
              <w:right w:val="nil"/>
            </w:tcBorders>
            <w:shd w:val="clear" w:color="auto" w:fill="auto"/>
            <w:noWrap/>
            <w:vAlign w:val="center"/>
            <w:hideMark/>
          </w:tcPr>
          <w:p w14:paraId="17EA2794"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Trait</w:t>
            </w:r>
          </w:p>
        </w:tc>
        <w:tc>
          <w:tcPr>
            <w:tcW w:w="1134" w:type="dxa"/>
            <w:tcBorders>
              <w:top w:val="nil"/>
              <w:left w:val="nil"/>
              <w:bottom w:val="single" w:sz="4" w:space="0" w:color="auto"/>
              <w:right w:val="nil"/>
            </w:tcBorders>
            <w:shd w:val="clear" w:color="auto" w:fill="auto"/>
            <w:noWrap/>
            <w:vAlign w:val="center"/>
            <w:hideMark/>
          </w:tcPr>
          <w:p w14:paraId="0CFD2439"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Mean</w:t>
            </w:r>
          </w:p>
        </w:tc>
        <w:tc>
          <w:tcPr>
            <w:tcW w:w="1134" w:type="dxa"/>
            <w:tcBorders>
              <w:top w:val="nil"/>
              <w:left w:val="nil"/>
              <w:bottom w:val="single" w:sz="4" w:space="0" w:color="auto"/>
              <w:right w:val="nil"/>
            </w:tcBorders>
            <w:shd w:val="clear" w:color="auto" w:fill="auto"/>
            <w:noWrap/>
            <w:vAlign w:val="center"/>
            <w:hideMark/>
          </w:tcPr>
          <w:p w14:paraId="66634ECF"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Genetic standard deviation</w:t>
            </w:r>
          </w:p>
        </w:tc>
        <w:tc>
          <w:tcPr>
            <w:tcW w:w="1134" w:type="dxa"/>
            <w:tcBorders>
              <w:top w:val="nil"/>
              <w:left w:val="nil"/>
              <w:bottom w:val="single" w:sz="4" w:space="0" w:color="auto"/>
              <w:right w:val="nil"/>
            </w:tcBorders>
            <w:shd w:val="clear" w:color="auto" w:fill="auto"/>
            <w:noWrap/>
            <w:vAlign w:val="center"/>
            <w:hideMark/>
          </w:tcPr>
          <w:p w14:paraId="0AD34C92"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Value per unit</w:t>
            </w:r>
          </w:p>
        </w:tc>
        <w:tc>
          <w:tcPr>
            <w:tcW w:w="851" w:type="dxa"/>
            <w:tcBorders>
              <w:top w:val="nil"/>
              <w:left w:val="nil"/>
              <w:bottom w:val="single" w:sz="4" w:space="0" w:color="auto"/>
              <w:right w:val="nil"/>
            </w:tcBorders>
            <w:shd w:val="clear" w:color="auto" w:fill="auto"/>
            <w:noWrap/>
            <w:vAlign w:val="center"/>
            <w:hideMark/>
          </w:tcPr>
          <w:p w14:paraId="672D29B2"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Days on Feed</w:t>
            </w:r>
          </w:p>
        </w:tc>
        <w:tc>
          <w:tcPr>
            <w:tcW w:w="1134" w:type="dxa"/>
            <w:tcBorders>
              <w:top w:val="nil"/>
              <w:left w:val="nil"/>
              <w:bottom w:val="single" w:sz="4" w:space="0" w:color="auto"/>
              <w:right w:val="nil"/>
            </w:tcBorders>
            <w:shd w:val="clear" w:color="auto" w:fill="auto"/>
            <w:noWrap/>
            <w:vAlign w:val="center"/>
            <w:hideMark/>
          </w:tcPr>
          <w:p w14:paraId="4AA57565"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Mean feed consumed</w:t>
            </w:r>
          </w:p>
        </w:tc>
        <w:tc>
          <w:tcPr>
            <w:tcW w:w="1134" w:type="dxa"/>
            <w:tcBorders>
              <w:top w:val="nil"/>
              <w:left w:val="nil"/>
              <w:bottom w:val="single" w:sz="4" w:space="0" w:color="auto"/>
              <w:right w:val="nil"/>
            </w:tcBorders>
            <w:shd w:val="clear" w:color="auto" w:fill="auto"/>
            <w:noWrap/>
            <w:vAlign w:val="center"/>
            <w:hideMark/>
          </w:tcPr>
          <w:p w14:paraId="48957477"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Standard deviation of feed cost</w:t>
            </w:r>
          </w:p>
        </w:tc>
      </w:tr>
      <w:tr w:rsidR="00CA4FF6" w:rsidRPr="00A45141" w14:paraId="4199BA8F" w14:textId="77777777" w:rsidTr="00CC23D5">
        <w:trPr>
          <w:trHeight w:val="290"/>
        </w:trPr>
        <w:tc>
          <w:tcPr>
            <w:tcW w:w="2835" w:type="dxa"/>
            <w:tcBorders>
              <w:top w:val="single" w:sz="4" w:space="0" w:color="auto"/>
              <w:left w:val="nil"/>
              <w:bottom w:val="nil"/>
              <w:right w:val="nil"/>
            </w:tcBorders>
            <w:shd w:val="clear" w:color="auto" w:fill="auto"/>
            <w:noWrap/>
            <w:vAlign w:val="bottom"/>
            <w:hideMark/>
          </w:tcPr>
          <w:p w14:paraId="621177E2" w14:textId="77777777" w:rsidR="00CA4FF6" w:rsidRPr="00A45141" w:rsidRDefault="00CA4FF6" w:rsidP="00CC23D5">
            <w:pPr>
              <w:keepNext/>
              <w:keepLines/>
              <w:spacing w:before="120" w:after="120"/>
              <w:rPr>
                <w:rFonts w:ascii="Calibri" w:eastAsia="Times New Roman" w:hAnsi="Calibri" w:cs="Calibri"/>
                <w:color w:val="000000"/>
                <w:lang w:eastAsia="en-AU"/>
              </w:rPr>
            </w:pPr>
            <w:r>
              <w:rPr>
                <w:rFonts w:ascii="Calibri" w:eastAsia="Times New Roman" w:hAnsi="Calibri" w:cs="Calibri"/>
                <w:color w:val="000000"/>
                <w:lang w:eastAsia="en-AU"/>
              </w:rPr>
              <w:t>C</w:t>
            </w:r>
            <w:r w:rsidRPr="00A45141">
              <w:rPr>
                <w:rFonts w:ascii="Calibri" w:eastAsia="Times New Roman" w:hAnsi="Calibri" w:cs="Calibri"/>
                <w:color w:val="000000"/>
                <w:lang w:eastAsia="en-AU"/>
              </w:rPr>
              <w:t>arcase weight at constant age</w:t>
            </w:r>
            <w:r>
              <w:rPr>
                <w:rFonts w:ascii="Calibri" w:eastAsia="Times New Roman" w:hAnsi="Calibri" w:cs="Calibri"/>
                <w:color w:val="000000"/>
                <w:lang w:eastAsia="en-AU"/>
              </w:rPr>
              <w:t xml:space="preserve"> (kg)</w:t>
            </w:r>
          </w:p>
        </w:tc>
        <w:tc>
          <w:tcPr>
            <w:tcW w:w="1134" w:type="dxa"/>
            <w:tcBorders>
              <w:top w:val="single" w:sz="4" w:space="0" w:color="auto"/>
              <w:left w:val="nil"/>
              <w:bottom w:val="nil"/>
              <w:right w:val="nil"/>
            </w:tcBorders>
            <w:shd w:val="clear" w:color="auto" w:fill="auto"/>
            <w:noWrap/>
            <w:vAlign w:val="center"/>
            <w:hideMark/>
          </w:tcPr>
          <w:p w14:paraId="533106B9"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425</w:t>
            </w:r>
          </w:p>
        </w:tc>
        <w:tc>
          <w:tcPr>
            <w:tcW w:w="1134" w:type="dxa"/>
            <w:tcBorders>
              <w:top w:val="single" w:sz="4" w:space="0" w:color="auto"/>
              <w:left w:val="nil"/>
              <w:bottom w:val="nil"/>
              <w:right w:val="nil"/>
            </w:tcBorders>
            <w:shd w:val="clear" w:color="auto" w:fill="auto"/>
            <w:noWrap/>
            <w:vAlign w:val="center"/>
            <w:hideMark/>
          </w:tcPr>
          <w:p w14:paraId="1ADBB715"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17</w:t>
            </w:r>
          </w:p>
        </w:tc>
        <w:tc>
          <w:tcPr>
            <w:tcW w:w="1134" w:type="dxa"/>
            <w:tcBorders>
              <w:top w:val="single" w:sz="4" w:space="0" w:color="auto"/>
              <w:left w:val="nil"/>
              <w:bottom w:val="nil"/>
              <w:right w:val="nil"/>
            </w:tcBorders>
            <w:shd w:val="clear" w:color="auto" w:fill="auto"/>
            <w:noWrap/>
            <w:vAlign w:val="center"/>
            <w:hideMark/>
          </w:tcPr>
          <w:p w14:paraId="7A0B6C3A"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$5.60</w:t>
            </w:r>
          </w:p>
        </w:tc>
        <w:tc>
          <w:tcPr>
            <w:tcW w:w="851" w:type="dxa"/>
            <w:tcBorders>
              <w:top w:val="single" w:sz="4" w:space="0" w:color="auto"/>
              <w:left w:val="nil"/>
              <w:bottom w:val="nil"/>
              <w:right w:val="nil"/>
            </w:tcBorders>
            <w:shd w:val="clear" w:color="auto" w:fill="auto"/>
            <w:noWrap/>
            <w:vAlign w:val="center"/>
            <w:hideMark/>
          </w:tcPr>
          <w:p w14:paraId="2343F7D7" w14:textId="77777777" w:rsidR="00CA4FF6" w:rsidRPr="00A45141" w:rsidRDefault="00CA4FF6" w:rsidP="00CC23D5">
            <w:pPr>
              <w:keepNext/>
              <w:keepLines/>
              <w:jc w:val="center"/>
              <w:rPr>
                <w:rFonts w:ascii="Calibri" w:eastAsia="Times New Roman" w:hAnsi="Calibri" w:cs="Calibri"/>
                <w:color w:val="000000"/>
                <w:lang w:eastAsia="en-AU"/>
              </w:rPr>
            </w:pPr>
          </w:p>
        </w:tc>
        <w:tc>
          <w:tcPr>
            <w:tcW w:w="1134" w:type="dxa"/>
            <w:tcBorders>
              <w:top w:val="single" w:sz="4" w:space="0" w:color="auto"/>
              <w:left w:val="nil"/>
              <w:bottom w:val="nil"/>
              <w:right w:val="nil"/>
            </w:tcBorders>
            <w:shd w:val="clear" w:color="auto" w:fill="auto"/>
            <w:noWrap/>
            <w:vAlign w:val="center"/>
            <w:hideMark/>
          </w:tcPr>
          <w:p w14:paraId="0187B5DF"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1134" w:type="dxa"/>
            <w:tcBorders>
              <w:top w:val="single" w:sz="4" w:space="0" w:color="auto"/>
              <w:left w:val="nil"/>
              <w:bottom w:val="nil"/>
              <w:right w:val="nil"/>
            </w:tcBorders>
            <w:shd w:val="clear" w:color="auto" w:fill="auto"/>
            <w:noWrap/>
            <w:vAlign w:val="center"/>
            <w:hideMark/>
          </w:tcPr>
          <w:p w14:paraId="4E58D96B"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r>
      <w:tr w:rsidR="00CA4FF6" w:rsidRPr="00A45141" w14:paraId="45275383" w14:textId="77777777" w:rsidTr="00CC23D5">
        <w:trPr>
          <w:trHeight w:val="290"/>
        </w:trPr>
        <w:tc>
          <w:tcPr>
            <w:tcW w:w="2835" w:type="dxa"/>
            <w:tcBorders>
              <w:top w:val="nil"/>
              <w:left w:val="nil"/>
              <w:right w:val="nil"/>
            </w:tcBorders>
            <w:shd w:val="clear" w:color="auto" w:fill="auto"/>
            <w:noWrap/>
            <w:vAlign w:val="bottom"/>
            <w:hideMark/>
          </w:tcPr>
          <w:p w14:paraId="4196D957" w14:textId="77777777" w:rsidR="00CA4FF6" w:rsidRPr="00A45141" w:rsidRDefault="00CA4FF6" w:rsidP="00CC23D5">
            <w:pPr>
              <w:keepNext/>
              <w:keepLines/>
              <w:spacing w:before="120" w:after="120"/>
              <w:rPr>
                <w:rFonts w:ascii="Calibri" w:eastAsia="Times New Roman" w:hAnsi="Calibri" w:cs="Calibri"/>
                <w:color w:val="000000"/>
                <w:lang w:eastAsia="en-AU"/>
              </w:rPr>
            </w:pPr>
            <w:r>
              <w:rPr>
                <w:rFonts w:ascii="Calibri" w:eastAsia="Times New Roman" w:hAnsi="Calibri" w:cs="Calibri"/>
                <w:color w:val="000000"/>
                <w:lang w:eastAsia="en-AU"/>
              </w:rPr>
              <w:t>A</w:t>
            </w:r>
            <w:r w:rsidRPr="00A45141">
              <w:rPr>
                <w:rFonts w:ascii="Calibri" w:eastAsia="Times New Roman" w:hAnsi="Calibri" w:cs="Calibri"/>
                <w:color w:val="000000"/>
                <w:lang w:eastAsia="en-AU"/>
              </w:rPr>
              <w:t>US</w:t>
            </w:r>
            <w:r>
              <w:rPr>
                <w:rFonts w:ascii="Calibri" w:eastAsia="Times New Roman" w:hAnsi="Calibri" w:cs="Calibri"/>
                <w:color w:val="000000"/>
                <w:lang w:eastAsia="en-AU"/>
              </w:rPr>
              <w:t>-</w:t>
            </w:r>
            <w:r w:rsidRPr="00A45141">
              <w:rPr>
                <w:rFonts w:ascii="Calibri" w:eastAsia="Times New Roman" w:hAnsi="Calibri" w:cs="Calibri"/>
                <w:color w:val="000000"/>
                <w:lang w:eastAsia="en-AU"/>
              </w:rPr>
              <w:t>MEAT marble score at slaughter</w:t>
            </w:r>
            <w:r>
              <w:rPr>
                <w:rFonts w:ascii="Calibri" w:eastAsia="Times New Roman" w:hAnsi="Calibri" w:cs="Calibri"/>
                <w:color w:val="000000"/>
                <w:lang w:eastAsia="en-AU"/>
              </w:rPr>
              <w:t xml:space="preserve"> (score)</w:t>
            </w:r>
          </w:p>
        </w:tc>
        <w:tc>
          <w:tcPr>
            <w:tcW w:w="1134" w:type="dxa"/>
            <w:tcBorders>
              <w:top w:val="nil"/>
              <w:left w:val="nil"/>
              <w:right w:val="nil"/>
            </w:tcBorders>
            <w:shd w:val="clear" w:color="auto" w:fill="auto"/>
            <w:noWrap/>
            <w:vAlign w:val="center"/>
            <w:hideMark/>
          </w:tcPr>
          <w:p w14:paraId="531CACD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7.5</w:t>
            </w:r>
          </w:p>
        </w:tc>
        <w:tc>
          <w:tcPr>
            <w:tcW w:w="1134" w:type="dxa"/>
            <w:tcBorders>
              <w:top w:val="nil"/>
              <w:left w:val="nil"/>
              <w:right w:val="nil"/>
            </w:tcBorders>
            <w:shd w:val="clear" w:color="auto" w:fill="auto"/>
            <w:noWrap/>
            <w:vAlign w:val="center"/>
            <w:hideMark/>
          </w:tcPr>
          <w:p w14:paraId="0E1F3323"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0.52</w:t>
            </w:r>
          </w:p>
        </w:tc>
        <w:tc>
          <w:tcPr>
            <w:tcW w:w="1134" w:type="dxa"/>
            <w:tcBorders>
              <w:top w:val="nil"/>
              <w:left w:val="nil"/>
              <w:right w:val="nil"/>
            </w:tcBorders>
            <w:shd w:val="clear" w:color="auto" w:fill="auto"/>
            <w:noWrap/>
            <w:vAlign w:val="center"/>
            <w:hideMark/>
          </w:tcPr>
          <w:p w14:paraId="5DF96B5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$0.67</w:t>
            </w:r>
          </w:p>
        </w:tc>
        <w:tc>
          <w:tcPr>
            <w:tcW w:w="851" w:type="dxa"/>
            <w:tcBorders>
              <w:top w:val="nil"/>
              <w:left w:val="nil"/>
              <w:right w:val="nil"/>
            </w:tcBorders>
            <w:shd w:val="clear" w:color="auto" w:fill="auto"/>
            <w:noWrap/>
            <w:vAlign w:val="center"/>
            <w:hideMark/>
          </w:tcPr>
          <w:p w14:paraId="44975666" w14:textId="77777777" w:rsidR="00CA4FF6" w:rsidRPr="00A45141" w:rsidRDefault="00CA4FF6" w:rsidP="00CC23D5">
            <w:pPr>
              <w:keepNext/>
              <w:keepLines/>
              <w:jc w:val="center"/>
              <w:rPr>
                <w:rFonts w:ascii="Calibri" w:eastAsia="Times New Roman" w:hAnsi="Calibri" w:cs="Calibri"/>
                <w:color w:val="000000"/>
                <w:lang w:eastAsia="en-AU"/>
              </w:rPr>
            </w:pPr>
          </w:p>
        </w:tc>
        <w:tc>
          <w:tcPr>
            <w:tcW w:w="1134" w:type="dxa"/>
            <w:tcBorders>
              <w:top w:val="nil"/>
              <w:left w:val="nil"/>
              <w:right w:val="nil"/>
            </w:tcBorders>
            <w:shd w:val="clear" w:color="auto" w:fill="auto"/>
            <w:noWrap/>
            <w:vAlign w:val="center"/>
            <w:hideMark/>
          </w:tcPr>
          <w:p w14:paraId="7CDA5B92"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1134" w:type="dxa"/>
            <w:tcBorders>
              <w:top w:val="nil"/>
              <w:left w:val="nil"/>
              <w:right w:val="nil"/>
            </w:tcBorders>
            <w:shd w:val="clear" w:color="auto" w:fill="auto"/>
            <w:noWrap/>
            <w:vAlign w:val="center"/>
            <w:hideMark/>
          </w:tcPr>
          <w:p w14:paraId="5FF7EC0B"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r>
      <w:tr w:rsidR="00CA4FF6" w:rsidRPr="00A45141" w14:paraId="53B8166C" w14:textId="77777777" w:rsidTr="00CC23D5">
        <w:trPr>
          <w:trHeight w:val="290"/>
        </w:trPr>
        <w:tc>
          <w:tcPr>
            <w:tcW w:w="2835" w:type="dxa"/>
            <w:tcBorders>
              <w:top w:val="nil"/>
              <w:left w:val="nil"/>
              <w:bottom w:val="single" w:sz="4" w:space="0" w:color="auto"/>
              <w:right w:val="nil"/>
            </w:tcBorders>
            <w:shd w:val="clear" w:color="auto" w:fill="auto"/>
            <w:noWrap/>
            <w:vAlign w:val="bottom"/>
            <w:hideMark/>
          </w:tcPr>
          <w:p w14:paraId="10BBA98D" w14:textId="77777777" w:rsidR="00CA4FF6" w:rsidRPr="005331E6" w:rsidRDefault="00CA4FF6" w:rsidP="00CC23D5">
            <w:pPr>
              <w:spacing w:before="120" w:after="120"/>
              <w:rPr>
                <w:rFonts w:ascii="Calibri" w:eastAsia="Times New Roman" w:hAnsi="Calibri" w:cs="Calibri"/>
                <w:color w:val="000000"/>
                <w:lang w:eastAsia="en-AU"/>
              </w:rPr>
            </w:pPr>
            <w:r w:rsidRPr="005331E6">
              <w:rPr>
                <w:rFonts w:ascii="Calibri" w:eastAsia="Times New Roman" w:hAnsi="Calibri" w:cs="Calibri"/>
                <w:color w:val="000000"/>
                <w:lang w:eastAsia="en-AU"/>
              </w:rPr>
              <w:t>Feed intake (kg/day)</w:t>
            </w:r>
          </w:p>
        </w:tc>
        <w:tc>
          <w:tcPr>
            <w:tcW w:w="1134" w:type="dxa"/>
            <w:tcBorders>
              <w:top w:val="nil"/>
              <w:left w:val="nil"/>
              <w:bottom w:val="single" w:sz="4" w:space="0" w:color="auto"/>
              <w:right w:val="nil"/>
            </w:tcBorders>
            <w:shd w:val="clear" w:color="auto" w:fill="auto"/>
            <w:noWrap/>
            <w:vAlign w:val="center"/>
            <w:hideMark/>
          </w:tcPr>
          <w:p w14:paraId="0A643B5A" w14:textId="77777777" w:rsidR="00CA4FF6" w:rsidRPr="005331E6" w:rsidRDefault="00CA4FF6" w:rsidP="00CC23D5">
            <w:pPr>
              <w:jc w:val="center"/>
              <w:rPr>
                <w:rFonts w:ascii="Calibri" w:eastAsia="Times New Roman" w:hAnsi="Calibri" w:cs="Calibri"/>
                <w:color w:val="000000"/>
                <w:lang w:eastAsia="en-AU"/>
              </w:rPr>
            </w:pPr>
            <w:r w:rsidRPr="005331E6">
              <w:rPr>
                <w:rFonts w:ascii="Calibri" w:eastAsia="Times New Roman" w:hAnsi="Calibri" w:cs="Calibri"/>
                <w:color w:val="000000"/>
                <w:lang w:eastAsia="en-AU"/>
              </w:rPr>
              <w:t>12.6</w:t>
            </w:r>
          </w:p>
        </w:tc>
        <w:tc>
          <w:tcPr>
            <w:tcW w:w="1134" w:type="dxa"/>
            <w:tcBorders>
              <w:top w:val="nil"/>
              <w:left w:val="nil"/>
              <w:bottom w:val="single" w:sz="4" w:space="0" w:color="auto"/>
              <w:right w:val="nil"/>
            </w:tcBorders>
            <w:shd w:val="clear" w:color="auto" w:fill="auto"/>
            <w:noWrap/>
            <w:vAlign w:val="center"/>
            <w:hideMark/>
          </w:tcPr>
          <w:p w14:paraId="424596DB" w14:textId="77777777" w:rsidR="00CA4FF6" w:rsidRPr="005331E6" w:rsidRDefault="00CA4FF6" w:rsidP="00CC23D5">
            <w:pPr>
              <w:jc w:val="center"/>
              <w:rPr>
                <w:rFonts w:ascii="Calibri" w:eastAsia="Times New Roman" w:hAnsi="Calibri" w:cs="Calibri"/>
                <w:color w:val="000000"/>
                <w:lang w:eastAsia="en-AU"/>
              </w:rPr>
            </w:pPr>
            <w:r w:rsidRPr="005331E6">
              <w:rPr>
                <w:rFonts w:ascii="Calibri" w:eastAsia="Times New Roman" w:hAnsi="Calibri" w:cs="Calibri"/>
                <w:color w:val="000000"/>
                <w:lang w:eastAsia="en-AU"/>
              </w:rPr>
              <w:t>0.70</w:t>
            </w:r>
          </w:p>
        </w:tc>
        <w:tc>
          <w:tcPr>
            <w:tcW w:w="1134" w:type="dxa"/>
            <w:tcBorders>
              <w:top w:val="nil"/>
              <w:left w:val="nil"/>
              <w:bottom w:val="single" w:sz="4" w:space="0" w:color="auto"/>
              <w:right w:val="nil"/>
            </w:tcBorders>
            <w:shd w:val="clear" w:color="auto" w:fill="auto"/>
            <w:noWrap/>
            <w:vAlign w:val="center"/>
            <w:hideMark/>
          </w:tcPr>
          <w:p w14:paraId="02B91B04" w14:textId="77777777" w:rsidR="00CA4FF6" w:rsidRPr="005331E6" w:rsidRDefault="00CA4FF6" w:rsidP="00CC23D5">
            <w:pPr>
              <w:jc w:val="center"/>
              <w:rPr>
                <w:rFonts w:ascii="Calibri" w:eastAsia="Times New Roman" w:hAnsi="Calibri" w:cs="Calibri"/>
                <w:color w:val="000000"/>
                <w:lang w:eastAsia="en-AU"/>
              </w:rPr>
            </w:pPr>
            <w:r w:rsidRPr="005331E6">
              <w:rPr>
                <w:rFonts w:ascii="Calibri" w:eastAsia="Times New Roman" w:hAnsi="Calibri" w:cs="Calibri"/>
                <w:color w:val="000000"/>
                <w:lang w:eastAsia="en-AU"/>
              </w:rPr>
              <w:t>$0.35</w:t>
            </w:r>
          </w:p>
        </w:tc>
        <w:tc>
          <w:tcPr>
            <w:tcW w:w="851" w:type="dxa"/>
            <w:tcBorders>
              <w:top w:val="nil"/>
              <w:left w:val="nil"/>
              <w:bottom w:val="single" w:sz="4" w:space="0" w:color="auto"/>
              <w:right w:val="nil"/>
            </w:tcBorders>
            <w:shd w:val="clear" w:color="auto" w:fill="auto"/>
            <w:noWrap/>
            <w:vAlign w:val="center"/>
            <w:hideMark/>
          </w:tcPr>
          <w:p w14:paraId="124E188F" w14:textId="77777777" w:rsidR="00CA4FF6" w:rsidRPr="005331E6" w:rsidRDefault="00CA4FF6" w:rsidP="00CC23D5">
            <w:pPr>
              <w:jc w:val="center"/>
              <w:rPr>
                <w:rFonts w:ascii="Calibri" w:eastAsia="Times New Roman" w:hAnsi="Calibri" w:cs="Calibri"/>
                <w:color w:val="000000"/>
                <w:lang w:eastAsia="en-AU"/>
              </w:rPr>
            </w:pPr>
            <w:r w:rsidRPr="005331E6">
              <w:rPr>
                <w:rFonts w:ascii="Calibri" w:eastAsia="Times New Roman" w:hAnsi="Calibri" w:cs="Calibri"/>
                <w:color w:val="000000"/>
                <w:lang w:eastAsia="en-AU"/>
              </w:rPr>
              <w:t>400</w:t>
            </w:r>
          </w:p>
        </w:tc>
        <w:tc>
          <w:tcPr>
            <w:tcW w:w="1134" w:type="dxa"/>
            <w:tcBorders>
              <w:top w:val="nil"/>
              <w:left w:val="nil"/>
              <w:bottom w:val="single" w:sz="4" w:space="0" w:color="auto"/>
              <w:right w:val="nil"/>
            </w:tcBorders>
            <w:shd w:val="clear" w:color="auto" w:fill="auto"/>
            <w:noWrap/>
            <w:vAlign w:val="center"/>
            <w:hideMark/>
          </w:tcPr>
          <w:p w14:paraId="5910F0F4" w14:textId="77777777" w:rsidR="00CA4FF6" w:rsidRPr="005331E6" w:rsidRDefault="00CA4FF6" w:rsidP="00CC23D5">
            <w:pPr>
              <w:jc w:val="center"/>
              <w:rPr>
                <w:rFonts w:ascii="Calibri" w:eastAsia="Times New Roman" w:hAnsi="Calibri" w:cs="Calibri"/>
                <w:color w:val="000000"/>
                <w:lang w:eastAsia="en-AU"/>
              </w:rPr>
            </w:pPr>
            <w:r w:rsidRPr="005331E6">
              <w:rPr>
                <w:rFonts w:ascii="Calibri" w:eastAsia="Times New Roman" w:hAnsi="Calibri" w:cs="Calibri"/>
                <w:color w:val="000000"/>
                <w:lang w:eastAsia="en-AU"/>
              </w:rPr>
              <w:t>$1,764.00</w:t>
            </w:r>
          </w:p>
        </w:tc>
        <w:tc>
          <w:tcPr>
            <w:tcW w:w="1134" w:type="dxa"/>
            <w:tcBorders>
              <w:top w:val="nil"/>
              <w:left w:val="nil"/>
              <w:bottom w:val="single" w:sz="4" w:space="0" w:color="auto"/>
              <w:right w:val="nil"/>
            </w:tcBorders>
            <w:shd w:val="clear" w:color="auto" w:fill="auto"/>
            <w:noWrap/>
            <w:vAlign w:val="center"/>
            <w:hideMark/>
          </w:tcPr>
          <w:p w14:paraId="79F8AAA9" w14:textId="77777777" w:rsidR="00CA4FF6" w:rsidRPr="00A45141" w:rsidRDefault="00CA4FF6" w:rsidP="00CC23D5">
            <w:pPr>
              <w:jc w:val="center"/>
              <w:rPr>
                <w:rFonts w:ascii="Calibri" w:eastAsia="Times New Roman" w:hAnsi="Calibri" w:cs="Calibri"/>
                <w:color w:val="000000"/>
                <w:lang w:eastAsia="en-AU"/>
              </w:rPr>
            </w:pPr>
            <w:r w:rsidRPr="005331E6">
              <w:rPr>
                <w:rFonts w:ascii="Calibri" w:eastAsia="Times New Roman" w:hAnsi="Calibri" w:cs="Calibri"/>
                <w:color w:val="000000"/>
                <w:lang w:eastAsia="en-AU"/>
              </w:rPr>
              <w:t>$97.64</w:t>
            </w:r>
          </w:p>
        </w:tc>
      </w:tr>
    </w:tbl>
    <w:p w14:paraId="5840FEFB" w14:textId="77777777" w:rsidR="00CA4FF6" w:rsidRDefault="00CA4FF6" w:rsidP="00CA4FF6"/>
    <w:p w14:paraId="5082C38A" w14:textId="77777777" w:rsidR="00CA4FF6" w:rsidRDefault="00CA4FF6" w:rsidP="00CA4FF6">
      <w:pPr>
        <w:spacing w:after="160" w:line="259" w:lineRule="auto"/>
        <w:ind w:left="66"/>
      </w:pPr>
      <w:r>
        <w:t xml:space="preserve">The basic principle is that knowing the genetic standard deviation for each trait makes it easy to define the expected performance of (for example) the top and bottom half of the cohort for each trait, and if there are 3 </w:t>
      </w:r>
      <w:r w:rsidRPr="0000236D">
        <w:t>uncorrelated traits</w:t>
      </w:r>
      <w:r>
        <w:t xml:space="preserve"> we are focussed on, that means we can define the expected performance of each 1/8</w:t>
      </w:r>
      <w:r w:rsidRPr="00112ACB">
        <w:rPr>
          <w:vertAlign w:val="superscript"/>
        </w:rPr>
        <w:t>th</w:t>
      </w:r>
      <w:r>
        <w:t xml:space="preserve"> of the cohort.</w:t>
      </w:r>
    </w:p>
    <w:p w14:paraId="4394759A" w14:textId="2E03D8BB" w:rsidR="00CA4FF6" w:rsidRDefault="00CA4FF6" w:rsidP="00CA4FF6">
      <w:pPr>
        <w:pStyle w:val="ListParagraph"/>
        <w:ind w:left="66"/>
      </w:pPr>
      <w:r>
        <w:t xml:space="preserve">For this </w:t>
      </w:r>
      <w:proofErr w:type="gramStart"/>
      <w:r>
        <w:t>example</w:t>
      </w:r>
      <w:proofErr w:type="gramEnd"/>
      <w:r>
        <w:t xml:space="preserve"> the performance levels of each 1/8</w:t>
      </w:r>
      <w:r w:rsidRPr="00A45141">
        <w:rPr>
          <w:vertAlign w:val="superscript"/>
        </w:rPr>
        <w:t>th</w:t>
      </w:r>
      <w:r>
        <w:t xml:space="preserve"> of a cohort are as shown in Table </w:t>
      </w:r>
      <w:r w:rsidR="00D346BA">
        <w:t>A4.2</w:t>
      </w:r>
      <w:r>
        <w:t xml:space="preserve">. </w:t>
      </w:r>
      <w:r w:rsidR="00F47C2D">
        <w:t xml:space="preserve"> </w:t>
      </w:r>
      <w:r>
        <w:t xml:space="preserve">From this, if we assume that we will cull the bottom quarter (the two rows shaded), we can predict the merit of the remaining ¾ and hence their difference from the overall average. In this case that difference is + $64. Accordingly, if we want 100 animals to enter this production system, we should </w:t>
      </w:r>
      <w:proofErr w:type="spellStart"/>
      <w:r>
        <w:t>genomically</w:t>
      </w:r>
      <w:proofErr w:type="spellEnd"/>
      <w:r>
        <w:t xml:space="preserve"> test 133, and cull the bottom 33</w:t>
      </w:r>
      <w:r w:rsidR="0055716A">
        <w:t xml:space="preserve"> (Table A4.2</w:t>
      </w:r>
      <w:r>
        <w:t>).</w:t>
      </w:r>
    </w:p>
    <w:p w14:paraId="31706113" w14:textId="77777777" w:rsidR="00CA4FF6" w:rsidRDefault="00CA4FF6" w:rsidP="00CA4FF6">
      <w:pPr>
        <w:pStyle w:val="ListParagraph"/>
        <w:ind w:left="426"/>
      </w:pPr>
    </w:p>
    <w:p w14:paraId="3F48DE5C" w14:textId="4060D8B3" w:rsidR="00CA4FF6" w:rsidRDefault="00CA4FF6" w:rsidP="00475E28">
      <w:pPr>
        <w:pStyle w:val="Caption"/>
      </w:pPr>
      <w:bookmarkStart w:id="215" w:name="_Ref87904849"/>
      <w:r>
        <w:lastRenderedPageBreak/>
        <w:t xml:space="preserve">Table </w:t>
      </w:r>
      <w:bookmarkEnd w:id="215"/>
      <w:r w:rsidR="0055716A">
        <w:t>A4.2</w:t>
      </w:r>
      <w:r>
        <w:t xml:space="preserve">.  </w:t>
      </w:r>
      <w:bookmarkStart w:id="216" w:name="_Toc88592904"/>
      <w:r>
        <w:t>Example of calculated performance of long-fed steers, by 1/8</w:t>
      </w:r>
      <w:r w:rsidRPr="006E70B6">
        <w:rPr>
          <w:vertAlign w:val="superscript"/>
        </w:rPr>
        <w:t>th</w:t>
      </w:r>
      <w:r>
        <w:t xml:space="preserve"> of the cohort</w:t>
      </w:r>
      <w:bookmarkEnd w:id="216"/>
      <w:r>
        <w:t>.</w:t>
      </w:r>
    </w:p>
    <w:p w14:paraId="69873BB2" w14:textId="77777777" w:rsidR="00CA4FF6" w:rsidRDefault="00CA4FF6" w:rsidP="00CA4FF6">
      <w:pPr>
        <w:pStyle w:val="ListParagraph"/>
        <w:keepNext/>
        <w:keepLines/>
        <w:ind w:left="0"/>
      </w:pPr>
    </w:p>
    <w:tbl>
      <w:tblPr>
        <w:tblW w:w="0" w:type="auto"/>
        <w:tblLook w:val="04A0" w:firstRow="1" w:lastRow="0" w:firstColumn="1" w:lastColumn="0" w:noHBand="0" w:noVBand="1"/>
      </w:tblPr>
      <w:tblGrid>
        <w:gridCol w:w="967"/>
        <w:gridCol w:w="1195"/>
        <w:gridCol w:w="967"/>
        <w:gridCol w:w="573"/>
        <w:gridCol w:w="932"/>
        <w:gridCol w:w="867"/>
        <w:gridCol w:w="919"/>
        <w:gridCol w:w="1437"/>
        <w:gridCol w:w="1169"/>
      </w:tblGrid>
      <w:tr w:rsidR="00CA4FF6" w:rsidRPr="006E70B6" w14:paraId="336D4CCF" w14:textId="77777777" w:rsidTr="00CC23D5">
        <w:trPr>
          <w:trHeight w:val="435"/>
        </w:trPr>
        <w:tc>
          <w:tcPr>
            <w:tcW w:w="0" w:type="auto"/>
            <w:vMerge w:val="restart"/>
            <w:tcBorders>
              <w:top w:val="nil"/>
              <w:left w:val="nil"/>
              <w:right w:val="nil"/>
            </w:tcBorders>
            <w:shd w:val="clear" w:color="auto" w:fill="auto"/>
            <w:vAlign w:val="center"/>
            <w:hideMark/>
          </w:tcPr>
          <w:p w14:paraId="040A186C" w14:textId="77777777" w:rsidR="00CA4FF6"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Carcase</w:t>
            </w:r>
          </w:p>
          <w:p w14:paraId="1257AB46" w14:textId="77777777" w:rsidR="00CA4FF6" w:rsidRPr="00A45141" w:rsidRDefault="00CA4FF6" w:rsidP="00CC23D5">
            <w:pPr>
              <w:keepNext/>
              <w:keepLines/>
              <w:jc w:val="center"/>
              <w:rPr>
                <w:rFonts w:ascii="Calibri" w:eastAsia="Times New Roman" w:hAnsi="Calibri" w:cs="Calibri"/>
                <w:b/>
                <w:color w:val="000000"/>
                <w:lang w:eastAsia="en-AU"/>
              </w:rPr>
            </w:pPr>
            <w:r>
              <w:rPr>
                <w:rFonts w:ascii="Calibri" w:eastAsia="Times New Roman" w:hAnsi="Calibri" w:cs="Calibri"/>
                <w:b/>
                <w:color w:val="000000"/>
                <w:lang w:eastAsia="en-AU"/>
              </w:rPr>
              <w:t>weight</w:t>
            </w:r>
          </w:p>
        </w:tc>
        <w:tc>
          <w:tcPr>
            <w:tcW w:w="0" w:type="auto"/>
            <w:vMerge w:val="restart"/>
            <w:tcBorders>
              <w:top w:val="nil"/>
              <w:left w:val="nil"/>
              <w:right w:val="nil"/>
            </w:tcBorders>
            <w:shd w:val="clear" w:color="auto" w:fill="auto"/>
            <w:vAlign w:val="center"/>
            <w:hideMark/>
          </w:tcPr>
          <w:p w14:paraId="48524D35" w14:textId="77777777" w:rsidR="00CA4FF6"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AUS</w:t>
            </w:r>
            <w:r>
              <w:rPr>
                <w:rFonts w:ascii="Calibri" w:eastAsia="Times New Roman" w:hAnsi="Calibri" w:cs="Calibri"/>
                <w:b/>
                <w:color w:val="000000"/>
                <w:lang w:eastAsia="en-AU"/>
              </w:rPr>
              <w:t>-</w:t>
            </w:r>
            <w:r w:rsidRPr="00A45141">
              <w:rPr>
                <w:rFonts w:ascii="Calibri" w:eastAsia="Times New Roman" w:hAnsi="Calibri" w:cs="Calibri"/>
                <w:b/>
                <w:color w:val="000000"/>
                <w:lang w:eastAsia="en-AU"/>
              </w:rPr>
              <w:t>MEAT</w:t>
            </w:r>
          </w:p>
          <w:p w14:paraId="1868CD9D"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MS</w:t>
            </w:r>
          </w:p>
        </w:tc>
        <w:tc>
          <w:tcPr>
            <w:tcW w:w="0" w:type="auto"/>
            <w:vMerge w:val="restart"/>
            <w:tcBorders>
              <w:top w:val="nil"/>
              <w:left w:val="nil"/>
              <w:right w:val="nil"/>
            </w:tcBorders>
            <w:shd w:val="clear" w:color="auto" w:fill="auto"/>
            <w:vAlign w:val="center"/>
            <w:hideMark/>
          </w:tcPr>
          <w:p w14:paraId="07A4ADF8" w14:textId="77777777" w:rsidR="00CA4FF6"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Feed</w:t>
            </w:r>
          </w:p>
          <w:p w14:paraId="53B2C3D5"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intake</w:t>
            </w:r>
          </w:p>
        </w:tc>
        <w:tc>
          <w:tcPr>
            <w:tcW w:w="0" w:type="auto"/>
            <w:gridSpan w:val="3"/>
            <w:tcBorders>
              <w:top w:val="nil"/>
              <w:left w:val="nil"/>
              <w:right w:val="nil"/>
            </w:tcBorders>
            <w:shd w:val="clear" w:color="auto" w:fill="auto"/>
            <w:vAlign w:val="center"/>
            <w:hideMark/>
          </w:tcPr>
          <w:p w14:paraId="0C0F99D3"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Average</w:t>
            </w:r>
          </w:p>
        </w:tc>
        <w:tc>
          <w:tcPr>
            <w:tcW w:w="0" w:type="auto"/>
            <w:vMerge w:val="restart"/>
            <w:tcBorders>
              <w:top w:val="nil"/>
              <w:left w:val="nil"/>
              <w:right w:val="nil"/>
            </w:tcBorders>
            <w:shd w:val="clear" w:color="auto" w:fill="auto"/>
            <w:vAlign w:val="center"/>
            <w:hideMark/>
          </w:tcPr>
          <w:p w14:paraId="4D8CE627" w14:textId="77777777" w:rsidR="00CA4FF6"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Carcase</w:t>
            </w:r>
          </w:p>
          <w:p w14:paraId="31665058"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Value</w:t>
            </w:r>
          </w:p>
        </w:tc>
        <w:tc>
          <w:tcPr>
            <w:tcW w:w="0" w:type="auto"/>
            <w:vMerge w:val="restart"/>
            <w:tcBorders>
              <w:top w:val="nil"/>
              <w:left w:val="nil"/>
              <w:right w:val="nil"/>
            </w:tcBorders>
            <w:shd w:val="clear" w:color="auto" w:fill="auto"/>
            <w:vAlign w:val="center"/>
            <w:hideMark/>
          </w:tcPr>
          <w:p w14:paraId="3D250235" w14:textId="77777777" w:rsidR="00CA4FF6"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Carcase value</w:t>
            </w:r>
          </w:p>
          <w:p w14:paraId="4FD2749C" w14:textId="77777777" w:rsidR="00CA4FF6" w:rsidRDefault="00CA4FF6" w:rsidP="00CC23D5">
            <w:pPr>
              <w:keepNext/>
              <w:keepLines/>
              <w:jc w:val="center"/>
              <w:rPr>
                <w:rFonts w:ascii="Calibri" w:eastAsia="Times New Roman" w:hAnsi="Calibri" w:cs="Calibri"/>
                <w:b/>
                <w:color w:val="000000"/>
                <w:lang w:eastAsia="en-AU"/>
              </w:rPr>
            </w:pPr>
            <w:r>
              <w:rPr>
                <w:rFonts w:ascii="Calibri" w:eastAsia="Times New Roman" w:hAnsi="Calibri" w:cs="Calibri"/>
                <w:b/>
                <w:color w:val="000000"/>
                <w:lang w:eastAsia="en-AU"/>
              </w:rPr>
              <w:t>less</w:t>
            </w:r>
          </w:p>
          <w:p w14:paraId="57D057D7"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feed cost</w:t>
            </w:r>
          </w:p>
        </w:tc>
        <w:tc>
          <w:tcPr>
            <w:tcW w:w="0" w:type="auto"/>
            <w:vMerge w:val="restart"/>
            <w:tcBorders>
              <w:top w:val="nil"/>
              <w:left w:val="nil"/>
              <w:right w:val="nil"/>
            </w:tcBorders>
            <w:shd w:val="clear" w:color="auto" w:fill="auto"/>
            <w:noWrap/>
            <w:vAlign w:val="center"/>
            <w:hideMark/>
          </w:tcPr>
          <w:p w14:paraId="6EC6C4C5" w14:textId="77777777" w:rsidR="00CA4FF6"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Difference</w:t>
            </w:r>
          </w:p>
          <w:p w14:paraId="5A77A876" w14:textId="77777777" w:rsidR="00CA4FF6"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from</w:t>
            </w:r>
          </w:p>
          <w:p w14:paraId="3B868A1D"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average</w:t>
            </w:r>
          </w:p>
        </w:tc>
      </w:tr>
      <w:tr w:rsidR="00CA4FF6" w:rsidRPr="006E70B6" w14:paraId="5F989AEA" w14:textId="77777777" w:rsidTr="00CC23D5">
        <w:trPr>
          <w:trHeight w:val="435"/>
        </w:trPr>
        <w:tc>
          <w:tcPr>
            <w:tcW w:w="0" w:type="auto"/>
            <w:vMerge/>
            <w:tcBorders>
              <w:left w:val="nil"/>
              <w:right w:val="nil"/>
            </w:tcBorders>
            <w:shd w:val="clear" w:color="auto" w:fill="auto"/>
            <w:vAlign w:val="center"/>
          </w:tcPr>
          <w:p w14:paraId="0328659D" w14:textId="77777777" w:rsidR="00CA4FF6" w:rsidRPr="00A45141" w:rsidRDefault="00CA4FF6" w:rsidP="00CC23D5">
            <w:pPr>
              <w:keepNext/>
              <w:keepLines/>
              <w:jc w:val="center"/>
              <w:rPr>
                <w:rFonts w:ascii="Calibri" w:eastAsia="Times New Roman" w:hAnsi="Calibri" w:cs="Calibri"/>
                <w:b/>
                <w:color w:val="000000"/>
                <w:lang w:eastAsia="en-AU"/>
              </w:rPr>
            </w:pPr>
          </w:p>
        </w:tc>
        <w:tc>
          <w:tcPr>
            <w:tcW w:w="0" w:type="auto"/>
            <w:vMerge/>
            <w:tcBorders>
              <w:left w:val="nil"/>
              <w:right w:val="nil"/>
            </w:tcBorders>
            <w:shd w:val="clear" w:color="auto" w:fill="auto"/>
            <w:vAlign w:val="center"/>
          </w:tcPr>
          <w:p w14:paraId="3FCEE54B" w14:textId="77777777" w:rsidR="00CA4FF6" w:rsidRPr="00A45141" w:rsidRDefault="00CA4FF6" w:rsidP="00CC23D5">
            <w:pPr>
              <w:keepNext/>
              <w:keepLines/>
              <w:jc w:val="center"/>
              <w:rPr>
                <w:rFonts w:ascii="Calibri" w:eastAsia="Times New Roman" w:hAnsi="Calibri" w:cs="Calibri"/>
                <w:b/>
                <w:color w:val="000000"/>
                <w:lang w:eastAsia="en-AU"/>
              </w:rPr>
            </w:pPr>
          </w:p>
        </w:tc>
        <w:tc>
          <w:tcPr>
            <w:tcW w:w="0" w:type="auto"/>
            <w:vMerge/>
            <w:tcBorders>
              <w:left w:val="nil"/>
              <w:right w:val="nil"/>
            </w:tcBorders>
            <w:shd w:val="clear" w:color="auto" w:fill="auto"/>
            <w:vAlign w:val="center"/>
          </w:tcPr>
          <w:p w14:paraId="7F3F3CFF" w14:textId="77777777" w:rsidR="00CA4FF6" w:rsidRPr="00A45141" w:rsidRDefault="00CA4FF6" w:rsidP="00CC23D5">
            <w:pPr>
              <w:keepNext/>
              <w:keepLines/>
              <w:jc w:val="center"/>
              <w:rPr>
                <w:rFonts w:ascii="Calibri" w:eastAsia="Times New Roman" w:hAnsi="Calibri" w:cs="Calibri"/>
                <w:b/>
                <w:color w:val="000000"/>
                <w:lang w:eastAsia="en-AU"/>
              </w:rPr>
            </w:pPr>
          </w:p>
        </w:tc>
        <w:tc>
          <w:tcPr>
            <w:tcW w:w="0" w:type="auto"/>
            <w:tcBorders>
              <w:top w:val="nil"/>
              <w:left w:val="nil"/>
              <w:right w:val="nil"/>
            </w:tcBorders>
            <w:shd w:val="clear" w:color="auto" w:fill="auto"/>
          </w:tcPr>
          <w:p w14:paraId="3813EFCF" w14:textId="77777777" w:rsidR="00CA4FF6" w:rsidRPr="00A45141" w:rsidRDefault="00CA4FF6" w:rsidP="00CC23D5">
            <w:pPr>
              <w:keepNext/>
              <w:keepLines/>
              <w:jc w:val="center"/>
              <w:rPr>
                <w:rFonts w:ascii="Calibri" w:eastAsia="Times New Roman" w:hAnsi="Calibri" w:cs="Calibri"/>
                <w:b/>
                <w:color w:val="000000"/>
                <w:lang w:eastAsia="en-AU"/>
              </w:rPr>
            </w:pPr>
            <w:r w:rsidRPr="006E70B6">
              <w:rPr>
                <w:rFonts w:ascii="Calibri" w:eastAsia="Times New Roman" w:hAnsi="Calibri" w:cs="Calibri"/>
                <w:b/>
                <w:color w:val="000000"/>
                <w:lang w:eastAsia="en-AU"/>
              </w:rPr>
              <w:t>C</w:t>
            </w:r>
            <w:r w:rsidRPr="00A45141">
              <w:rPr>
                <w:rFonts w:ascii="Calibri" w:eastAsia="Times New Roman" w:hAnsi="Calibri" w:cs="Calibri"/>
                <w:b/>
                <w:color w:val="000000"/>
                <w:lang w:eastAsia="en-AU"/>
              </w:rPr>
              <w:t>wt</w:t>
            </w:r>
          </w:p>
        </w:tc>
        <w:tc>
          <w:tcPr>
            <w:tcW w:w="0" w:type="auto"/>
            <w:tcBorders>
              <w:top w:val="nil"/>
              <w:left w:val="nil"/>
              <w:right w:val="nil"/>
            </w:tcBorders>
            <w:shd w:val="clear" w:color="auto" w:fill="auto"/>
          </w:tcPr>
          <w:p w14:paraId="6FE3A4B3" w14:textId="77777777" w:rsidR="00CA4FF6" w:rsidRPr="00A45141" w:rsidRDefault="00CA4FF6" w:rsidP="00CC23D5">
            <w:pPr>
              <w:keepNext/>
              <w:keepLines/>
              <w:jc w:val="center"/>
              <w:rPr>
                <w:rFonts w:ascii="Calibri" w:eastAsia="Times New Roman" w:hAnsi="Calibri" w:cs="Calibri"/>
                <w:b/>
                <w:color w:val="000000"/>
                <w:lang w:eastAsia="en-AU"/>
              </w:rPr>
            </w:pPr>
            <w:r w:rsidRPr="00A45141">
              <w:rPr>
                <w:rFonts w:ascii="Calibri" w:eastAsia="Times New Roman" w:hAnsi="Calibri" w:cs="Calibri"/>
                <w:b/>
                <w:color w:val="000000"/>
                <w:lang w:eastAsia="en-AU"/>
              </w:rPr>
              <w:t>AUS MS</w:t>
            </w:r>
          </w:p>
        </w:tc>
        <w:tc>
          <w:tcPr>
            <w:tcW w:w="0" w:type="auto"/>
            <w:tcBorders>
              <w:top w:val="nil"/>
              <w:left w:val="nil"/>
              <w:right w:val="nil"/>
            </w:tcBorders>
            <w:shd w:val="clear" w:color="auto" w:fill="auto"/>
          </w:tcPr>
          <w:p w14:paraId="0B325254" w14:textId="77777777" w:rsidR="00CA4FF6" w:rsidRPr="00A45141" w:rsidRDefault="00CA4FF6" w:rsidP="00CC23D5">
            <w:pPr>
              <w:keepNext/>
              <w:keepLines/>
              <w:jc w:val="center"/>
              <w:rPr>
                <w:rFonts w:ascii="Calibri" w:eastAsia="Times New Roman" w:hAnsi="Calibri" w:cs="Calibri"/>
                <w:b/>
                <w:color w:val="000000"/>
                <w:lang w:eastAsia="en-AU"/>
              </w:rPr>
            </w:pPr>
            <w:r>
              <w:rPr>
                <w:rFonts w:ascii="Calibri" w:eastAsia="Times New Roman" w:hAnsi="Calibri" w:cs="Calibri"/>
                <w:b/>
                <w:color w:val="000000"/>
                <w:lang w:eastAsia="en-AU"/>
              </w:rPr>
              <w:t>FI</w:t>
            </w:r>
          </w:p>
        </w:tc>
        <w:tc>
          <w:tcPr>
            <w:tcW w:w="0" w:type="auto"/>
            <w:vMerge/>
            <w:tcBorders>
              <w:left w:val="nil"/>
              <w:right w:val="nil"/>
            </w:tcBorders>
            <w:shd w:val="clear" w:color="auto" w:fill="auto"/>
            <w:vAlign w:val="center"/>
          </w:tcPr>
          <w:p w14:paraId="248D1830" w14:textId="77777777" w:rsidR="00CA4FF6" w:rsidRPr="00A45141" w:rsidRDefault="00CA4FF6" w:rsidP="00CC23D5">
            <w:pPr>
              <w:keepNext/>
              <w:keepLines/>
              <w:jc w:val="center"/>
              <w:rPr>
                <w:rFonts w:ascii="Calibri" w:eastAsia="Times New Roman" w:hAnsi="Calibri" w:cs="Calibri"/>
                <w:b/>
                <w:color w:val="000000"/>
                <w:lang w:eastAsia="en-AU"/>
              </w:rPr>
            </w:pPr>
          </w:p>
        </w:tc>
        <w:tc>
          <w:tcPr>
            <w:tcW w:w="0" w:type="auto"/>
            <w:vMerge/>
            <w:tcBorders>
              <w:left w:val="nil"/>
              <w:right w:val="nil"/>
            </w:tcBorders>
            <w:shd w:val="clear" w:color="auto" w:fill="auto"/>
            <w:vAlign w:val="center"/>
          </w:tcPr>
          <w:p w14:paraId="53E5C1B4" w14:textId="77777777" w:rsidR="00CA4FF6" w:rsidRPr="00A45141" w:rsidRDefault="00CA4FF6" w:rsidP="00CC23D5">
            <w:pPr>
              <w:keepNext/>
              <w:keepLines/>
              <w:jc w:val="center"/>
              <w:rPr>
                <w:rFonts w:ascii="Calibri" w:eastAsia="Times New Roman" w:hAnsi="Calibri" w:cs="Calibri"/>
                <w:b/>
                <w:color w:val="000000"/>
                <w:lang w:eastAsia="en-AU"/>
              </w:rPr>
            </w:pPr>
          </w:p>
        </w:tc>
        <w:tc>
          <w:tcPr>
            <w:tcW w:w="0" w:type="auto"/>
            <w:vMerge/>
            <w:tcBorders>
              <w:left w:val="nil"/>
              <w:right w:val="nil"/>
            </w:tcBorders>
            <w:shd w:val="clear" w:color="auto" w:fill="auto"/>
            <w:noWrap/>
            <w:vAlign w:val="center"/>
          </w:tcPr>
          <w:p w14:paraId="3044EF2F" w14:textId="77777777" w:rsidR="00CA4FF6" w:rsidRPr="00A45141" w:rsidRDefault="00CA4FF6" w:rsidP="00CC23D5">
            <w:pPr>
              <w:keepNext/>
              <w:keepLines/>
              <w:jc w:val="center"/>
              <w:rPr>
                <w:rFonts w:ascii="Calibri" w:eastAsia="Times New Roman" w:hAnsi="Calibri" w:cs="Calibri"/>
                <w:b/>
                <w:color w:val="000000"/>
                <w:lang w:eastAsia="en-AU"/>
              </w:rPr>
            </w:pPr>
          </w:p>
        </w:tc>
      </w:tr>
      <w:tr w:rsidR="00CA4FF6" w:rsidRPr="00A45141" w14:paraId="59416A88" w14:textId="77777777" w:rsidTr="00CC23D5">
        <w:trPr>
          <w:trHeight w:val="290"/>
        </w:trPr>
        <w:tc>
          <w:tcPr>
            <w:tcW w:w="0" w:type="auto"/>
            <w:gridSpan w:val="3"/>
            <w:tcBorders>
              <w:top w:val="nil"/>
              <w:left w:val="nil"/>
              <w:bottom w:val="single" w:sz="4" w:space="0" w:color="auto"/>
              <w:right w:val="nil"/>
            </w:tcBorders>
            <w:shd w:val="clear" w:color="auto" w:fill="auto"/>
            <w:noWrap/>
            <w:vAlign w:val="bottom"/>
            <w:hideMark/>
          </w:tcPr>
          <w:p w14:paraId="7C7BEFBA" w14:textId="77777777" w:rsidR="00CA4FF6" w:rsidRPr="001B608A" w:rsidRDefault="00CA4FF6" w:rsidP="00CC23D5">
            <w:pPr>
              <w:keepNext/>
              <w:keepLines/>
              <w:jc w:val="center"/>
              <w:rPr>
                <w:rFonts w:ascii="Times New Roman" w:eastAsia="Times New Roman" w:hAnsi="Times New Roman" w:cs="Times New Roman"/>
                <w:b/>
                <w:bCs/>
                <w:sz w:val="20"/>
                <w:szCs w:val="20"/>
                <w:lang w:eastAsia="en-AU"/>
              </w:rPr>
            </w:pPr>
            <w:r w:rsidRPr="001B608A">
              <w:rPr>
                <w:rFonts w:ascii="Calibri" w:eastAsia="Times New Roman" w:hAnsi="Calibri" w:cs="Calibri"/>
                <w:b/>
                <w:bCs/>
                <w:color w:val="000000"/>
                <w:lang w:eastAsia="en-AU"/>
              </w:rPr>
              <w:t>Relative to average</w:t>
            </w:r>
          </w:p>
        </w:tc>
        <w:tc>
          <w:tcPr>
            <w:tcW w:w="0" w:type="auto"/>
            <w:tcBorders>
              <w:top w:val="nil"/>
              <w:left w:val="nil"/>
              <w:bottom w:val="single" w:sz="4" w:space="0" w:color="auto"/>
              <w:right w:val="nil"/>
            </w:tcBorders>
            <w:shd w:val="clear" w:color="auto" w:fill="auto"/>
            <w:hideMark/>
          </w:tcPr>
          <w:p w14:paraId="39A8A1EA" w14:textId="77777777" w:rsidR="00CA4FF6" w:rsidRPr="00A45141" w:rsidRDefault="00CA4FF6" w:rsidP="00CC23D5">
            <w:pPr>
              <w:keepNext/>
              <w:keepLines/>
              <w:jc w:val="center"/>
              <w:rPr>
                <w:rFonts w:ascii="Calibri" w:eastAsia="Times New Roman" w:hAnsi="Calibri" w:cs="Calibri"/>
                <w:b/>
                <w:color w:val="000000"/>
                <w:lang w:eastAsia="en-AU"/>
              </w:rPr>
            </w:pPr>
            <w:r>
              <w:rPr>
                <w:rFonts w:ascii="Calibri" w:eastAsia="Times New Roman" w:hAnsi="Calibri" w:cs="Calibri"/>
                <w:b/>
                <w:color w:val="000000"/>
                <w:lang w:eastAsia="en-AU"/>
              </w:rPr>
              <w:t>kg</w:t>
            </w:r>
          </w:p>
        </w:tc>
        <w:tc>
          <w:tcPr>
            <w:tcW w:w="0" w:type="auto"/>
            <w:tcBorders>
              <w:top w:val="nil"/>
              <w:left w:val="nil"/>
              <w:bottom w:val="single" w:sz="4" w:space="0" w:color="auto"/>
              <w:right w:val="nil"/>
            </w:tcBorders>
            <w:shd w:val="clear" w:color="auto" w:fill="auto"/>
            <w:hideMark/>
          </w:tcPr>
          <w:p w14:paraId="155864DA" w14:textId="77777777" w:rsidR="00CA4FF6" w:rsidRPr="00A45141" w:rsidRDefault="00CA4FF6" w:rsidP="00CC23D5">
            <w:pPr>
              <w:keepNext/>
              <w:keepLines/>
              <w:jc w:val="center"/>
              <w:rPr>
                <w:rFonts w:ascii="Calibri" w:eastAsia="Times New Roman" w:hAnsi="Calibri" w:cs="Calibri"/>
                <w:b/>
                <w:color w:val="000000"/>
                <w:lang w:eastAsia="en-AU"/>
              </w:rPr>
            </w:pPr>
            <w:r>
              <w:rPr>
                <w:rFonts w:ascii="Calibri" w:eastAsia="Times New Roman" w:hAnsi="Calibri" w:cs="Calibri"/>
                <w:b/>
                <w:color w:val="000000"/>
                <w:lang w:eastAsia="en-AU"/>
              </w:rPr>
              <w:t>Score</w:t>
            </w:r>
          </w:p>
        </w:tc>
        <w:tc>
          <w:tcPr>
            <w:tcW w:w="0" w:type="auto"/>
            <w:tcBorders>
              <w:top w:val="nil"/>
              <w:left w:val="nil"/>
              <w:bottom w:val="single" w:sz="4" w:space="0" w:color="auto"/>
              <w:right w:val="nil"/>
            </w:tcBorders>
            <w:shd w:val="clear" w:color="auto" w:fill="auto"/>
            <w:hideMark/>
          </w:tcPr>
          <w:p w14:paraId="7B21C6AC" w14:textId="77777777" w:rsidR="00CA4FF6" w:rsidRPr="00972A19" w:rsidRDefault="00CA4FF6" w:rsidP="00CC23D5">
            <w:pPr>
              <w:keepNext/>
              <w:keepLines/>
              <w:jc w:val="center"/>
              <w:rPr>
                <w:rFonts w:ascii="Calibri" w:eastAsia="Times New Roman" w:hAnsi="Calibri" w:cs="Calibri"/>
                <w:b/>
                <w:color w:val="000000"/>
                <w:lang w:eastAsia="en-AU"/>
              </w:rPr>
            </w:pPr>
            <w:r w:rsidRPr="00972A19">
              <w:rPr>
                <w:rFonts w:ascii="Calibri" w:eastAsia="Times New Roman" w:hAnsi="Calibri" w:cs="Calibri"/>
                <w:b/>
                <w:color w:val="000000"/>
                <w:lang w:eastAsia="en-AU"/>
              </w:rPr>
              <w:t>Kg/day</w:t>
            </w:r>
          </w:p>
        </w:tc>
        <w:tc>
          <w:tcPr>
            <w:tcW w:w="0" w:type="auto"/>
            <w:vMerge/>
            <w:tcBorders>
              <w:left w:val="nil"/>
              <w:bottom w:val="single" w:sz="4" w:space="0" w:color="auto"/>
              <w:right w:val="nil"/>
            </w:tcBorders>
            <w:shd w:val="clear" w:color="auto" w:fill="auto"/>
            <w:hideMark/>
          </w:tcPr>
          <w:p w14:paraId="59CFBFA0" w14:textId="77777777" w:rsidR="00CA4FF6" w:rsidRPr="00A45141" w:rsidRDefault="00CA4FF6" w:rsidP="00CC23D5">
            <w:pPr>
              <w:keepNext/>
              <w:keepLines/>
              <w:jc w:val="center"/>
              <w:rPr>
                <w:rFonts w:ascii="Calibri" w:eastAsia="Times New Roman" w:hAnsi="Calibri" w:cs="Calibri"/>
                <w:color w:val="000000"/>
                <w:lang w:eastAsia="en-AU"/>
              </w:rPr>
            </w:pPr>
          </w:p>
        </w:tc>
        <w:tc>
          <w:tcPr>
            <w:tcW w:w="0" w:type="auto"/>
            <w:vMerge/>
            <w:tcBorders>
              <w:left w:val="nil"/>
              <w:bottom w:val="single" w:sz="4" w:space="0" w:color="auto"/>
              <w:right w:val="nil"/>
            </w:tcBorders>
            <w:shd w:val="clear" w:color="auto" w:fill="auto"/>
            <w:hideMark/>
          </w:tcPr>
          <w:p w14:paraId="11F742CE"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0" w:type="auto"/>
            <w:vMerge/>
            <w:tcBorders>
              <w:left w:val="nil"/>
              <w:bottom w:val="single" w:sz="4" w:space="0" w:color="auto"/>
              <w:right w:val="nil"/>
            </w:tcBorders>
            <w:shd w:val="clear" w:color="auto" w:fill="auto"/>
            <w:noWrap/>
            <w:hideMark/>
          </w:tcPr>
          <w:p w14:paraId="55CA9EF8"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r>
      <w:tr w:rsidR="00CA4FF6" w:rsidRPr="00A45141" w14:paraId="0BD4B31F" w14:textId="77777777" w:rsidTr="00CC23D5">
        <w:trPr>
          <w:trHeight w:val="397"/>
        </w:trPr>
        <w:tc>
          <w:tcPr>
            <w:tcW w:w="0" w:type="auto"/>
            <w:tcBorders>
              <w:top w:val="single" w:sz="4" w:space="0" w:color="auto"/>
              <w:left w:val="nil"/>
              <w:bottom w:val="nil"/>
              <w:right w:val="nil"/>
            </w:tcBorders>
            <w:shd w:val="clear" w:color="auto" w:fill="auto"/>
            <w:vAlign w:val="center"/>
            <w:hideMark/>
          </w:tcPr>
          <w:p w14:paraId="3DA0C676"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single" w:sz="4" w:space="0" w:color="auto"/>
              <w:left w:val="nil"/>
              <w:bottom w:val="nil"/>
              <w:right w:val="nil"/>
            </w:tcBorders>
            <w:shd w:val="clear" w:color="auto" w:fill="auto"/>
            <w:vAlign w:val="center"/>
            <w:hideMark/>
          </w:tcPr>
          <w:p w14:paraId="5BEA7BA6"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single" w:sz="4" w:space="0" w:color="auto"/>
              <w:left w:val="nil"/>
              <w:bottom w:val="nil"/>
              <w:right w:val="nil"/>
            </w:tcBorders>
            <w:shd w:val="clear" w:color="auto" w:fill="auto"/>
            <w:vAlign w:val="center"/>
            <w:hideMark/>
          </w:tcPr>
          <w:p w14:paraId="4D9686E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single" w:sz="4" w:space="0" w:color="auto"/>
              <w:left w:val="nil"/>
              <w:bottom w:val="nil"/>
              <w:right w:val="nil"/>
            </w:tcBorders>
            <w:shd w:val="clear" w:color="auto" w:fill="auto"/>
            <w:noWrap/>
            <w:vAlign w:val="center"/>
            <w:hideMark/>
          </w:tcPr>
          <w:p w14:paraId="22C1AEC6"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442</w:t>
            </w:r>
          </w:p>
        </w:tc>
        <w:tc>
          <w:tcPr>
            <w:tcW w:w="0" w:type="auto"/>
            <w:tcBorders>
              <w:top w:val="single" w:sz="4" w:space="0" w:color="auto"/>
              <w:left w:val="nil"/>
              <w:bottom w:val="nil"/>
              <w:right w:val="nil"/>
            </w:tcBorders>
            <w:shd w:val="clear" w:color="auto" w:fill="auto"/>
            <w:noWrap/>
            <w:vAlign w:val="center"/>
            <w:hideMark/>
          </w:tcPr>
          <w:p w14:paraId="7B5AA28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8.02</w:t>
            </w:r>
          </w:p>
        </w:tc>
        <w:tc>
          <w:tcPr>
            <w:tcW w:w="0" w:type="auto"/>
            <w:tcBorders>
              <w:top w:val="single" w:sz="4" w:space="0" w:color="auto"/>
              <w:left w:val="nil"/>
              <w:bottom w:val="nil"/>
              <w:right w:val="nil"/>
            </w:tcBorders>
            <w:shd w:val="clear" w:color="auto" w:fill="auto"/>
            <w:noWrap/>
            <w:vAlign w:val="center"/>
            <w:hideMark/>
          </w:tcPr>
          <w:p w14:paraId="5F1991D2"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11.90</w:t>
            </w:r>
          </w:p>
        </w:tc>
        <w:tc>
          <w:tcPr>
            <w:tcW w:w="0" w:type="auto"/>
            <w:tcBorders>
              <w:top w:val="single" w:sz="4" w:space="0" w:color="auto"/>
              <w:left w:val="nil"/>
              <w:bottom w:val="nil"/>
              <w:right w:val="nil"/>
            </w:tcBorders>
            <w:shd w:val="clear" w:color="auto" w:fill="auto"/>
            <w:noWrap/>
            <w:vAlign w:val="center"/>
            <w:hideMark/>
          </w:tcPr>
          <w:p w14:paraId="72FC0678"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$2,629</w:t>
            </w:r>
          </w:p>
        </w:tc>
        <w:tc>
          <w:tcPr>
            <w:tcW w:w="0" w:type="auto"/>
            <w:tcBorders>
              <w:top w:val="single" w:sz="4" w:space="0" w:color="auto"/>
              <w:left w:val="nil"/>
              <w:bottom w:val="nil"/>
              <w:right w:val="nil"/>
            </w:tcBorders>
            <w:shd w:val="clear" w:color="auto" w:fill="auto"/>
            <w:noWrap/>
            <w:vAlign w:val="center"/>
            <w:hideMark/>
          </w:tcPr>
          <w:p w14:paraId="499119FC"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$963</w:t>
            </w:r>
          </w:p>
        </w:tc>
        <w:tc>
          <w:tcPr>
            <w:tcW w:w="0" w:type="auto"/>
            <w:tcBorders>
              <w:top w:val="single" w:sz="4" w:space="0" w:color="auto"/>
              <w:left w:val="nil"/>
              <w:bottom w:val="nil"/>
              <w:right w:val="nil"/>
            </w:tcBorders>
            <w:shd w:val="clear" w:color="auto" w:fill="auto"/>
            <w:noWrap/>
            <w:vAlign w:val="center"/>
            <w:hideMark/>
          </w:tcPr>
          <w:p w14:paraId="5E9EC411"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$347</w:t>
            </w:r>
          </w:p>
        </w:tc>
      </w:tr>
      <w:tr w:rsidR="00CA4FF6" w:rsidRPr="00A45141" w14:paraId="1F99BB89" w14:textId="77777777" w:rsidTr="00CC23D5">
        <w:trPr>
          <w:trHeight w:val="397"/>
        </w:trPr>
        <w:tc>
          <w:tcPr>
            <w:tcW w:w="0" w:type="auto"/>
            <w:tcBorders>
              <w:top w:val="nil"/>
              <w:left w:val="nil"/>
              <w:bottom w:val="nil"/>
              <w:right w:val="nil"/>
            </w:tcBorders>
            <w:shd w:val="clear" w:color="auto" w:fill="auto"/>
            <w:noWrap/>
            <w:vAlign w:val="center"/>
            <w:hideMark/>
          </w:tcPr>
          <w:p w14:paraId="79E851CC"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uto"/>
            <w:noWrap/>
            <w:vAlign w:val="center"/>
            <w:hideMark/>
          </w:tcPr>
          <w:p w14:paraId="6096FF63"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vAlign w:val="center"/>
            <w:hideMark/>
          </w:tcPr>
          <w:p w14:paraId="1BD0519C"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noWrap/>
            <w:vAlign w:val="center"/>
            <w:hideMark/>
          </w:tcPr>
          <w:p w14:paraId="21D77C9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442</w:t>
            </w:r>
          </w:p>
        </w:tc>
        <w:tc>
          <w:tcPr>
            <w:tcW w:w="0" w:type="auto"/>
            <w:tcBorders>
              <w:top w:val="nil"/>
              <w:left w:val="nil"/>
              <w:bottom w:val="nil"/>
              <w:right w:val="nil"/>
            </w:tcBorders>
            <w:shd w:val="clear" w:color="auto" w:fill="auto"/>
            <w:noWrap/>
            <w:vAlign w:val="center"/>
            <w:hideMark/>
          </w:tcPr>
          <w:p w14:paraId="62D3085D"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6.98</w:t>
            </w:r>
          </w:p>
        </w:tc>
        <w:tc>
          <w:tcPr>
            <w:tcW w:w="0" w:type="auto"/>
            <w:tcBorders>
              <w:top w:val="nil"/>
              <w:left w:val="nil"/>
              <w:bottom w:val="nil"/>
              <w:right w:val="nil"/>
            </w:tcBorders>
            <w:shd w:val="clear" w:color="auto" w:fill="auto"/>
            <w:noWrap/>
            <w:vAlign w:val="center"/>
            <w:hideMark/>
          </w:tcPr>
          <w:p w14:paraId="54F4C661"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11.90</w:t>
            </w:r>
          </w:p>
        </w:tc>
        <w:tc>
          <w:tcPr>
            <w:tcW w:w="0" w:type="auto"/>
            <w:tcBorders>
              <w:top w:val="nil"/>
              <w:left w:val="nil"/>
              <w:bottom w:val="nil"/>
              <w:right w:val="nil"/>
            </w:tcBorders>
            <w:shd w:val="clear" w:color="auto" w:fill="auto"/>
            <w:noWrap/>
            <w:vAlign w:val="center"/>
            <w:hideMark/>
          </w:tcPr>
          <w:p w14:paraId="4D6B54F9"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$2,321</w:t>
            </w:r>
          </w:p>
        </w:tc>
        <w:tc>
          <w:tcPr>
            <w:tcW w:w="0" w:type="auto"/>
            <w:tcBorders>
              <w:top w:val="nil"/>
              <w:left w:val="nil"/>
              <w:bottom w:val="nil"/>
              <w:right w:val="nil"/>
            </w:tcBorders>
            <w:shd w:val="clear" w:color="auto" w:fill="auto"/>
            <w:noWrap/>
            <w:vAlign w:val="center"/>
            <w:hideMark/>
          </w:tcPr>
          <w:p w14:paraId="29A7B737"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$655</w:t>
            </w:r>
          </w:p>
        </w:tc>
        <w:tc>
          <w:tcPr>
            <w:tcW w:w="0" w:type="auto"/>
            <w:tcBorders>
              <w:top w:val="nil"/>
              <w:left w:val="nil"/>
              <w:bottom w:val="nil"/>
              <w:right w:val="nil"/>
            </w:tcBorders>
            <w:shd w:val="clear" w:color="auto" w:fill="auto"/>
            <w:noWrap/>
            <w:vAlign w:val="center"/>
            <w:hideMark/>
          </w:tcPr>
          <w:p w14:paraId="222C7BE5"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$39</w:t>
            </w:r>
          </w:p>
        </w:tc>
      </w:tr>
      <w:tr w:rsidR="00CA4FF6" w:rsidRPr="00A45141" w14:paraId="36D0CE9E" w14:textId="77777777" w:rsidTr="00CC23D5">
        <w:trPr>
          <w:trHeight w:val="397"/>
        </w:trPr>
        <w:tc>
          <w:tcPr>
            <w:tcW w:w="0" w:type="auto"/>
            <w:tcBorders>
              <w:top w:val="nil"/>
              <w:left w:val="nil"/>
              <w:bottom w:val="nil"/>
              <w:right w:val="nil"/>
            </w:tcBorders>
            <w:shd w:val="clear" w:color="auto" w:fill="auto"/>
            <w:vAlign w:val="center"/>
            <w:hideMark/>
          </w:tcPr>
          <w:p w14:paraId="67BC4B36"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uto"/>
            <w:vAlign w:val="center"/>
            <w:hideMark/>
          </w:tcPr>
          <w:p w14:paraId="3D9E4BA8"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uto"/>
            <w:vAlign w:val="center"/>
            <w:hideMark/>
          </w:tcPr>
          <w:p w14:paraId="7CC93B3A"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uto"/>
            <w:noWrap/>
            <w:vAlign w:val="center"/>
            <w:hideMark/>
          </w:tcPr>
          <w:p w14:paraId="4EF2200C"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442</w:t>
            </w:r>
          </w:p>
        </w:tc>
        <w:tc>
          <w:tcPr>
            <w:tcW w:w="0" w:type="auto"/>
            <w:tcBorders>
              <w:top w:val="nil"/>
              <w:left w:val="nil"/>
              <w:bottom w:val="nil"/>
              <w:right w:val="nil"/>
            </w:tcBorders>
            <w:shd w:val="clear" w:color="auto" w:fill="auto"/>
            <w:noWrap/>
            <w:vAlign w:val="center"/>
            <w:hideMark/>
          </w:tcPr>
          <w:p w14:paraId="39C44F7D"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8.02</w:t>
            </w:r>
          </w:p>
        </w:tc>
        <w:tc>
          <w:tcPr>
            <w:tcW w:w="0" w:type="auto"/>
            <w:tcBorders>
              <w:top w:val="nil"/>
              <w:left w:val="nil"/>
              <w:bottom w:val="nil"/>
              <w:right w:val="nil"/>
            </w:tcBorders>
            <w:shd w:val="clear" w:color="auto" w:fill="auto"/>
            <w:noWrap/>
            <w:vAlign w:val="center"/>
            <w:hideMark/>
          </w:tcPr>
          <w:p w14:paraId="3B2A542A"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13.30</w:t>
            </w:r>
          </w:p>
        </w:tc>
        <w:tc>
          <w:tcPr>
            <w:tcW w:w="0" w:type="auto"/>
            <w:tcBorders>
              <w:top w:val="nil"/>
              <w:left w:val="nil"/>
              <w:bottom w:val="nil"/>
              <w:right w:val="nil"/>
            </w:tcBorders>
            <w:shd w:val="clear" w:color="auto" w:fill="auto"/>
            <w:noWrap/>
            <w:vAlign w:val="center"/>
            <w:hideMark/>
          </w:tcPr>
          <w:p w14:paraId="61EB9C5B"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$2,629</w:t>
            </w:r>
          </w:p>
        </w:tc>
        <w:tc>
          <w:tcPr>
            <w:tcW w:w="0" w:type="auto"/>
            <w:tcBorders>
              <w:top w:val="nil"/>
              <w:left w:val="nil"/>
              <w:bottom w:val="nil"/>
              <w:right w:val="nil"/>
            </w:tcBorders>
            <w:shd w:val="clear" w:color="auto" w:fill="auto"/>
            <w:noWrap/>
            <w:vAlign w:val="center"/>
            <w:hideMark/>
          </w:tcPr>
          <w:p w14:paraId="26DA4BBE"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$768</w:t>
            </w:r>
          </w:p>
        </w:tc>
        <w:tc>
          <w:tcPr>
            <w:tcW w:w="0" w:type="auto"/>
            <w:tcBorders>
              <w:top w:val="nil"/>
              <w:left w:val="nil"/>
              <w:bottom w:val="nil"/>
              <w:right w:val="nil"/>
            </w:tcBorders>
            <w:shd w:val="clear" w:color="auto" w:fill="auto"/>
            <w:noWrap/>
            <w:vAlign w:val="center"/>
            <w:hideMark/>
          </w:tcPr>
          <w:p w14:paraId="1F987518"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$152</w:t>
            </w:r>
          </w:p>
        </w:tc>
      </w:tr>
      <w:tr w:rsidR="00CA4FF6" w:rsidRPr="00A45141" w14:paraId="07934535" w14:textId="77777777" w:rsidTr="00CC23D5">
        <w:trPr>
          <w:trHeight w:val="397"/>
        </w:trPr>
        <w:tc>
          <w:tcPr>
            <w:tcW w:w="0" w:type="auto"/>
            <w:tcBorders>
              <w:top w:val="nil"/>
              <w:left w:val="nil"/>
              <w:bottom w:val="nil"/>
              <w:right w:val="nil"/>
            </w:tcBorders>
            <w:shd w:val="clear" w:color="auto" w:fill="auto"/>
            <w:noWrap/>
            <w:vAlign w:val="center"/>
            <w:hideMark/>
          </w:tcPr>
          <w:p w14:paraId="03936662"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noWrap/>
            <w:vAlign w:val="center"/>
            <w:hideMark/>
          </w:tcPr>
          <w:p w14:paraId="48CB6F0E"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uto"/>
            <w:vAlign w:val="center"/>
            <w:hideMark/>
          </w:tcPr>
          <w:p w14:paraId="3F70416E"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noWrap/>
            <w:vAlign w:val="center"/>
            <w:hideMark/>
          </w:tcPr>
          <w:p w14:paraId="508AEE87"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408</w:t>
            </w:r>
          </w:p>
        </w:tc>
        <w:tc>
          <w:tcPr>
            <w:tcW w:w="0" w:type="auto"/>
            <w:tcBorders>
              <w:top w:val="nil"/>
              <w:left w:val="nil"/>
              <w:bottom w:val="nil"/>
              <w:right w:val="nil"/>
            </w:tcBorders>
            <w:shd w:val="clear" w:color="auto" w:fill="auto"/>
            <w:noWrap/>
            <w:vAlign w:val="center"/>
            <w:hideMark/>
          </w:tcPr>
          <w:p w14:paraId="7CED9B83"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8.02</w:t>
            </w:r>
          </w:p>
        </w:tc>
        <w:tc>
          <w:tcPr>
            <w:tcW w:w="0" w:type="auto"/>
            <w:tcBorders>
              <w:top w:val="nil"/>
              <w:left w:val="nil"/>
              <w:bottom w:val="nil"/>
              <w:right w:val="nil"/>
            </w:tcBorders>
            <w:shd w:val="clear" w:color="auto" w:fill="auto"/>
            <w:noWrap/>
            <w:vAlign w:val="center"/>
            <w:hideMark/>
          </w:tcPr>
          <w:p w14:paraId="4273F510"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11.90</w:t>
            </w:r>
          </w:p>
        </w:tc>
        <w:tc>
          <w:tcPr>
            <w:tcW w:w="0" w:type="auto"/>
            <w:tcBorders>
              <w:top w:val="nil"/>
              <w:left w:val="nil"/>
              <w:bottom w:val="nil"/>
              <w:right w:val="nil"/>
            </w:tcBorders>
            <w:shd w:val="clear" w:color="auto" w:fill="auto"/>
            <w:noWrap/>
            <w:vAlign w:val="center"/>
            <w:hideMark/>
          </w:tcPr>
          <w:p w14:paraId="758D460B"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$2,427</w:t>
            </w:r>
          </w:p>
        </w:tc>
        <w:tc>
          <w:tcPr>
            <w:tcW w:w="0" w:type="auto"/>
            <w:tcBorders>
              <w:top w:val="nil"/>
              <w:left w:val="nil"/>
              <w:bottom w:val="nil"/>
              <w:right w:val="nil"/>
            </w:tcBorders>
            <w:shd w:val="clear" w:color="auto" w:fill="auto"/>
            <w:noWrap/>
            <w:vAlign w:val="center"/>
            <w:hideMark/>
          </w:tcPr>
          <w:p w14:paraId="47C50F07"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$761</w:t>
            </w:r>
          </w:p>
        </w:tc>
        <w:tc>
          <w:tcPr>
            <w:tcW w:w="0" w:type="auto"/>
            <w:tcBorders>
              <w:top w:val="nil"/>
              <w:left w:val="nil"/>
              <w:bottom w:val="nil"/>
              <w:right w:val="nil"/>
            </w:tcBorders>
            <w:shd w:val="clear" w:color="auto" w:fill="auto"/>
            <w:noWrap/>
            <w:vAlign w:val="center"/>
            <w:hideMark/>
          </w:tcPr>
          <w:p w14:paraId="6DDE6345"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$145</w:t>
            </w:r>
          </w:p>
        </w:tc>
      </w:tr>
      <w:tr w:rsidR="00CA4FF6" w:rsidRPr="00A45141" w14:paraId="57C46B58" w14:textId="77777777" w:rsidTr="00CC23D5">
        <w:trPr>
          <w:trHeight w:val="397"/>
        </w:trPr>
        <w:tc>
          <w:tcPr>
            <w:tcW w:w="0" w:type="auto"/>
            <w:tcBorders>
              <w:top w:val="nil"/>
              <w:left w:val="nil"/>
              <w:bottom w:val="nil"/>
              <w:right w:val="nil"/>
            </w:tcBorders>
            <w:shd w:val="clear" w:color="auto" w:fill="auto"/>
            <w:vAlign w:val="center"/>
            <w:hideMark/>
          </w:tcPr>
          <w:p w14:paraId="37D2AE8A"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uto"/>
            <w:vAlign w:val="center"/>
            <w:hideMark/>
          </w:tcPr>
          <w:p w14:paraId="287EA506"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vAlign w:val="center"/>
            <w:hideMark/>
          </w:tcPr>
          <w:p w14:paraId="1D8D9632"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uto"/>
            <w:noWrap/>
            <w:vAlign w:val="center"/>
            <w:hideMark/>
          </w:tcPr>
          <w:p w14:paraId="5BC7CCC9"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442</w:t>
            </w:r>
          </w:p>
        </w:tc>
        <w:tc>
          <w:tcPr>
            <w:tcW w:w="0" w:type="auto"/>
            <w:tcBorders>
              <w:top w:val="nil"/>
              <w:left w:val="nil"/>
              <w:bottom w:val="nil"/>
              <w:right w:val="nil"/>
            </w:tcBorders>
            <w:shd w:val="clear" w:color="auto" w:fill="auto"/>
            <w:noWrap/>
            <w:vAlign w:val="center"/>
            <w:hideMark/>
          </w:tcPr>
          <w:p w14:paraId="1B0825F2"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6.98</w:t>
            </w:r>
          </w:p>
        </w:tc>
        <w:tc>
          <w:tcPr>
            <w:tcW w:w="0" w:type="auto"/>
            <w:tcBorders>
              <w:top w:val="nil"/>
              <w:left w:val="nil"/>
              <w:bottom w:val="nil"/>
              <w:right w:val="nil"/>
            </w:tcBorders>
            <w:shd w:val="clear" w:color="auto" w:fill="auto"/>
            <w:noWrap/>
            <w:vAlign w:val="center"/>
            <w:hideMark/>
          </w:tcPr>
          <w:p w14:paraId="22A4701C"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13.30</w:t>
            </w:r>
          </w:p>
        </w:tc>
        <w:tc>
          <w:tcPr>
            <w:tcW w:w="0" w:type="auto"/>
            <w:tcBorders>
              <w:top w:val="nil"/>
              <w:left w:val="nil"/>
              <w:bottom w:val="nil"/>
              <w:right w:val="nil"/>
            </w:tcBorders>
            <w:shd w:val="clear" w:color="auto" w:fill="auto"/>
            <w:noWrap/>
            <w:vAlign w:val="center"/>
            <w:hideMark/>
          </w:tcPr>
          <w:p w14:paraId="196DA8AF"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$2,321</w:t>
            </w:r>
          </w:p>
        </w:tc>
        <w:tc>
          <w:tcPr>
            <w:tcW w:w="0" w:type="auto"/>
            <w:tcBorders>
              <w:top w:val="nil"/>
              <w:left w:val="nil"/>
              <w:bottom w:val="nil"/>
              <w:right w:val="nil"/>
            </w:tcBorders>
            <w:shd w:val="clear" w:color="auto" w:fill="auto"/>
            <w:noWrap/>
            <w:vAlign w:val="center"/>
            <w:hideMark/>
          </w:tcPr>
          <w:p w14:paraId="1EECF221"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$460</w:t>
            </w:r>
          </w:p>
        </w:tc>
        <w:tc>
          <w:tcPr>
            <w:tcW w:w="0" w:type="auto"/>
            <w:tcBorders>
              <w:top w:val="nil"/>
              <w:left w:val="nil"/>
              <w:bottom w:val="nil"/>
              <w:right w:val="nil"/>
            </w:tcBorders>
            <w:shd w:val="clear" w:color="auto" w:fill="auto"/>
            <w:noWrap/>
            <w:vAlign w:val="center"/>
            <w:hideMark/>
          </w:tcPr>
          <w:p w14:paraId="0311AA71"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-$156</w:t>
            </w:r>
          </w:p>
        </w:tc>
      </w:tr>
      <w:tr w:rsidR="00CA4FF6" w:rsidRPr="00A45141" w14:paraId="1F6CE2B4" w14:textId="77777777" w:rsidTr="00CC23D5">
        <w:trPr>
          <w:trHeight w:val="397"/>
        </w:trPr>
        <w:tc>
          <w:tcPr>
            <w:tcW w:w="0" w:type="auto"/>
            <w:tcBorders>
              <w:top w:val="nil"/>
              <w:left w:val="nil"/>
              <w:bottom w:val="nil"/>
              <w:right w:val="nil"/>
            </w:tcBorders>
            <w:shd w:val="clear" w:color="auto" w:fill="auto"/>
            <w:noWrap/>
            <w:vAlign w:val="center"/>
            <w:hideMark/>
          </w:tcPr>
          <w:p w14:paraId="2556F4F3"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noWrap/>
            <w:vAlign w:val="center"/>
            <w:hideMark/>
          </w:tcPr>
          <w:p w14:paraId="13FFE0ED"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vAlign w:val="center"/>
            <w:hideMark/>
          </w:tcPr>
          <w:p w14:paraId="5A64A4FC"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uto"/>
            <w:noWrap/>
            <w:vAlign w:val="center"/>
            <w:hideMark/>
          </w:tcPr>
          <w:p w14:paraId="621A3CEC"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408</w:t>
            </w:r>
          </w:p>
        </w:tc>
        <w:tc>
          <w:tcPr>
            <w:tcW w:w="0" w:type="auto"/>
            <w:tcBorders>
              <w:top w:val="nil"/>
              <w:left w:val="nil"/>
              <w:bottom w:val="nil"/>
              <w:right w:val="nil"/>
            </w:tcBorders>
            <w:shd w:val="clear" w:color="auto" w:fill="auto"/>
            <w:noWrap/>
            <w:vAlign w:val="center"/>
            <w:hideMark/>
          </w:tcPr>
          <w:p w14:paraId="23A020B9"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6.98</w:t>
            </w:r>
          </w:p>
        </w:tc>
        <w:tc>
          <w:tcPr>
            <w:tcW w:w="0" w:type="auto"/>
            <w:tcBorders>
              <w:top w:val="nil"/>
              <w:left w:val="nil"/>
              <w:bottom w:val="nil"/>
              <w:right w:val="nil"/>
            </w:tcBorders>
            <w:shd w:val="clear" w:color="auto" w:fill="auto"/>
            <w:noWrap/>
            <w:vAlign w:val="center"/>
            <w:hideMark/>
          </w:tcPr>
          <w:p w14:paraId="51141DC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11.90</w:t>
            </w:r>
          </w:p>
        </w:tc>
        <w:tc>
          <w:tcPr>
            <w:tcW w:w="0" w:type="auto"/>
            <w:tcBorders>
              <w:top w:val="nil"/>
              <w:left w:val="nil"/>
              <w:bottom w:val="nil"/>
              <w:right w:val="nil"/>
            </w:tcBorders>
            <w:shd w:val="clear" w:color="auto" w:fill="auto"/>
            <w:noWrap/>
            <w:vAlign w:val="center"/>
            <w:hideMark/>
          </w:tcPr>
          <w:p w14:paraId="0BC6C9C3"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$2,143</w:t>
            </w:r>
          </w:p>
        </w:tc>
        <w:tc>
          <w:tcPr>
            <w:tcW w:w="0" w:type="auto"/>
            <w:tcBorders>
              <w:top w:val="nil"/>
              <w:left w:val="nil"/>
              <w:bottom w:val="nil"/>
              <w:right w:val="nil"/>
            </w:tcBorders>
            <w:shd w:val="clear" w:color="auto" w:fill="auto"/>
            <w:noWrap/>
            <w:vAlign w:val="center"/>
            <w:hideMark/>
          </w:tcPr>
          <w:p w14:paraId="64370458"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$476</w:t>
            </w:r>
          </w:p>
        </w:tc>
        <w:tc>
          <w:tcPr>
            <w:tcW w:w="0" w:type="auto"/>
            <w:tcBorders>
              <w:top w:val="nil"/>
              <w:left w:val="nil"/>
              <w:bottom w:val="nil"/>
              <w:right w:val="nil"/>
            </w:tcBorders>
            <w:shd w:val="clear" w:color="auto" w:fill="auto"/>
            <w:noWrap/>
            <w:vAlign w:val="center"/>
            <w:hideMark/>
          </w:tcPr>
          <w:p w14:paraId="2DAEA140"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-$140</w:t>
            </w:r>
          </w:p>
        </w:tc>
      </w:tr>
      <w:tr w:rsidR="00CA4FF6" w:rsidRPr="00A45141" w14:paraId="2E7BEE57" w14:textId="77777777" w:rsidTr="00CC23D5">
        <w:trPr>
          <w:trHeight w:val="397"/>
        </w:trPr>
        <w:tc>
          <w:tcPr>
            <w:tcW w:w="0" w:type="auto"/>
            <w:tcBorders>
              <w:top w:val="nil"/>
              <w:left w:val="nil"/>
              <w:bottom w:val="nil"/>
              <w:right w:val="nil"/>
            </w:tcBorders>
            <w:shd w:val="clear" w:color="auto" w:fill="A9DA97" w:themeFill="accent2" w:themeFillTint="66"/>
            <w:vAlign w:val="center"/>
            <w:hideMark/>
          </w:tcPr>
          <w:p w14:paraId="2F41CDB0"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bottom w:val="nil"/>
              <w:right w:val="nil"/>
            </w:tcBorders>
            <w:shd w:val="clear" w:color="auto" w:fill="A9DA97" w:themeFill="accent2" w:themeFillTint="66"/>
            <w:vAlign w:val="center"/>
            <w:hideMark/>
          </w:tcPr>
          <w:p w14:paraId="0A7C988E"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9DA97" w:themeFill="accent2" w:themeFillTint="66"/>
            <w:vAlign w:val="center"/>
            <w:hideMark/>
          </w:tcPr>
          <w:p w14:paraId="68F53B3A"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bottom w:val="nil"/>
              <w:right w:val="nil"/>
            </w:tcBorders>
            <w:shd w:val="clear" w:color="auto" w:fill="A9DA97" w:themeFill="accent2" w:themeFillTint="66"/>
            <w:noWrap/>
            <w:vAlign w:val="center"/>
            <w:hideMark/>
          </w:tcPr>
          <w:p w14:paraId="22EE106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408</w:t>
            </w:r>
          </w:p>
        </w:tc>
        <w:tc>
          <w:tcPr>
            <w:tcW w:w="0" w:type="auto"/>
            <w:tcBorders>
              <w:top w:val="nil"/>
              <w:left w:val="nil"/>
              <w:bottom w:val="nil"/>
              <w:right w:val="nil"/>
            </w:tcBorders>
            <w:shd w:val="clear" w:color="auto" w:fill="A9DA97" w:themeFill="accent2" w:themeFillTint="66"/>
            <w:noWrap/>
            <w:vAlign w:val="center"/>
            <w:hideMark/>
          </w:tcPr>
          <w:p w14:paraId="21F78A85"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8.02</w:t>
            </w:r>
          </w:p>
        </w:tc>
        <w:tc>
          <w:tcPr>
            <w:tcW w:w="0" w:type="auto"/>
            <w:tcBorders>
              <w:top w:val="nil"/>
              <w:left w:val="nil"/>
              <w:bottom w:val="nil"/>
              <w:right w:val="nil"/>
            </w:tcBorders>
            <w:shd w:val="clear" w:color="auto" w:fill="A9DA97" w:themeFill="accent2" w:themeFillTint="66"/>
            <w:noWrap/>
            <w:vAlign w:val="center"/>
            <w:hideMark/>
          </w:tcPr>
          <w:p w14:paraId="3089E104"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13.30</w:t>
            </w:r>
          </w:p>
        </w:tc>
        <w:tc>
          <w:tcPr>
            <w:tcW w:w="0" w:type="auto"/>
            <w:tcBorders>
              <w:top w:val="nil"/>
              <w:left w:val="nil"/>
              <w:bottom w:val="nil"/>
              <w:right w:val="nil"/>
            </w:tcBorders>
            <w:shd w:val="clear" w:color="auto" w:fill="A9DA97" w:themeFill="accent2" w:themeFillTint="66"/>
            <w:noWrap/>
            <w:vAlign w:val="center"/>
            <w:hideMark/>
          </w:tcPr>
          <w:p w14:paraId="348A21FB"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$2,427</w:t>
            </w:r>
          </w:p>
        </w:tc>
        <w:tc>
          <w:tcPr>
            <w:tcW w:w="0" w:type="auto"/>
            <w:tcBorders>
              <w:top w:val="nil"/>
              <w:left w:val="nil"/>
              <w:bottom w:val="nil"/>
              <w:right w:val="nil"/>
            </w:tcBorders>
            <w:shd w:val="clear" w:color="auto" w:fill="A9DA97" w:themeFill="accent2" w:themeFillTint="66"/>
            <w:noWrap/>
            <w:vAlign w:val="center"/>
            <w:hideMark/>
          </w:tcPr>
          <w:p w14:paraId="3246779F"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$565</w:t>
            </w:r>
          </w:p>
        </w:tc>
        <w:tc>
          <w:tcPr>
            <w:tcW w:w="0" w:type="auto"/>
            <w:tcBorders>
              <w:top w:val="nil"/>
              <w:left w:val="nil"/>
              <w:bottom w:val="nil"/>
              <w:right w:val="nil"/>
            </w:tcBorders>
            <w:shd w:val="clear" w:color="auto" w:fill="A9DA97" w:themeFill="accent2" w:themeFillTint="66"/>
            <w:noWrap/>
            <w:vAlign w:val="center"/>
            <w:hideMark/>
          </w:tcPr>
          <w:p w14:paraId="5467D5A5"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-$51</w:t>
            </w:r>
          </w:p>
        </w:tc>
      </w:tr>
      <w:tr w:rsidR="00CA4FF6" w:rsidRPr="00A45141" w14:paraId="3A54A257" w14:textId="77777777" w:rsidTr="00CC23D5">
        <w:trPr>
          <w:trHeight w:val="397"/>
        </w:trPr>
        <w:tc>
          <w:tcPr>
            <w:tcW w:w="0" w:type="auto"/>
            <w:tcBorders>
              <w:top w:val="nil"/>
              <w:left w:val="nil"/>
              <w:right w:val="nil"/>
            </w:tcBorders>
            <w:shd w:val="clear" w:color="auto" w:fill="A9DA97" w:themeFill="accent2" w:themeFillTint="66"/>
            <w:vAlign w:val="center"/>
            <w:hideMark/>
          </w:tcPr>
          <w:p w14:paraId="63733973"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right w:val="nil"/>
            </w:tcBorders>
            <w:shd w:val="clear" w:color="auto" w:fill="A9DA97" w:themeFill="accent2" w:themeFillTint="66"/>
            <w:vAlign w:val="center"/>
            <w:hideMark/>
          </w:tcPr>
          <w:p w14:paraId="566FD34F"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Below</w:t>
            </w:r>
          </w:p>
        </w:tc>
        <w:tc>
          <w:tcPr>
            <w:tcW w:w="0" w:type="auto"/>
            <w:tcBorders>
              <w:top w:val="nil"/>
              <w:left w:val="nil"/>
              <w:right w:val="nil"/>
            </w:tcBorders>
            <w:shd w:val="clear" w:color="auto" w:fill="A9DA97" w:themeFill="accent2" w:themeFillTint="66"/>
            <w:vAlign w:val="center"/>
            <w:hideMark/>
          </w:tcPr>
          <w:p w14:paraId="1B0A5212"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Above</w:t>
            </w:r>
          </w:p>
        </w:tc>
        <w:tc>
          <w:tcPr>
            <w:tcW w:w="0" w:type="auto"/>
            <w:tcBorders>
              <w:top w:val="nil"/>
              <w:left w:val="nil"/>
              <w:right w:val="nil"/>
            </w:tcBorders>
            <w:shd w:val="clear" w:color="auto" w:fill="A9DA97" w:themeFill="accent2" w:themeFillTint="66"/>
            <w:noWrap/>
            <w:vAlign w:val="center"/>
            <w:hideMark/>
          </w:tcPr>
          <w:p w14:paraId="75FB443E"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408</w:t>
            </w:r>
          </w:p>
        </w:tc>
        <w:tc>
          <w:tcPr>
            <w:tcW w:w="0" w:type="auto"/>
            <w:tcBorders>
              <w:top w:val="nil"/>
              <w:left w:val="nil"/>
              <w:right w:val="nil"/>
            </w:tcBorders>
            <w:shd w:val="clear" w:color="auto" w:fill="A9DA97" w:themeFill="accent2" w:themeFillTint="66"/>
            <w:noWrap/>
            <w:vAlign w:val="center"/>
            <w:hideMark/>
          </w:tcPr>
          <w:p w14:paraId="4375F835"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6.98</w:t>
            </w:r>
          </w:p>
        </w:tc>
        <w:tc>
          <w:tcPr>
            <w:tcW w:w="0" w:type="auto"/>
            <w:tcBorders>
              <w:top w:val="nil"/>
              <w:left w:val="nil"/>
              <w:right w:val="nil"/>
            </w:tcBorders>
            <w:shd w:val="clear" w:color="auto" w:fill="A9DA97" w:themeFill="accent2" w:themeFillTint="66"/>
            <w:noWrap/>
            <w:vAlign w:val="center"/>
            <w:hideMark/>
          </w:tcPr>
          <w:p w14:paraId="1FBFE27F"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13.30</w:t>
            </w:r>
          </w:p>
        </w:tc>
        <w:tc>
          <w:tcPr>
            <w:tcW w:w="0" w:type="auto"/>
            <w:tcBorders>
              <w:top w:val="nil"/>
              <w:left w:val="nil"/>
              <w:right w:val="nil"/>
            </w:tcBorders>
            <w:shd w:val="clear" w:color="auto" w:fill="A9DA97" w:themeFill="accent2" w:themeFillTint="66"/>
            <w:noWrap/>
            <w:vAlign w:val="center"/>
            <w:hideMark/>
          </w:tcPr>
          <w:p w14:paraId="1F60E26D"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$2,143</w:t>
            </w:r>
          </w:p>
        </w:tc>
        <w:tc>
          <w:tcPr>
            <w:tcW w:w="0" w:type="auto"/>
            <w:tcBorders>
              <w:top w:val="nil"/>
              <w:left w:val="nil"/>
              <w:right w:val="nil"/>
            </w:tcBorders>
            <w:shd w:val="clear" w:color="auto" w:fill="A9DA97" w:themeFill="accent2" w:themeFillTint="66"/>
            <w:noWrap/>
            <w:vAlign w:val="center"/>
            <w:hideMark/>
          </w:tcPr>
          <w:p w14:paraId="62DB4397"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$281</w:t>
            </w:r>
          </w:p>
        </w:tc>
        <w:tc>
          <w:tcPr>
            <w:tcW w:w="0" w:type="auto"/>
            <w:tcBorders>
              <w:top w:val="nil"/>
              <w:left w:val="nil"/>
              <w:right w:val="nil"/>
            </w:tcBorders>
            <w:shd w:val="clear" w:color="auto" w:fill="A9DA97" w:themeFill="accent2" w:themeFillTint="66"/>
            <w:noWrap/>
            <w:vAlign w:val="center"/>
            <w:hideMark/>
          </w:tcPr>
          <w:p w14:paraId="10BCE973" w14:textId="77777777" w:rsidR="00CA4FF6" w:rsidRPr="00A45141" w:rsidRDefault="00CA4FF6" w:rsidP="00CC23D5">
            <w:pPr>
              <w:keepNext/>
              <w:keepLines/>
              <w:jc w:val="center"/>
              <w:rPr>
                <w:rFonts w:ascii="Calibri" w:eastAsia="Times New Roman" w:hAnsi="Calibri" w:cs="Calibri"/>
                <w:color w:val="000000"/>
                <w:lang w:eastAsia="en-AU"/>
              </w:rPr>
            </w:pPr>
            <w:r w:rsidRPr="00A45141">
              <w:rPr>
                <w:rFonts w:ascii="Calibri" w:eastAsia="Times New Roman" w:hAnsi="Calibri" w:cs="Calibri"/>
                <w:color w:val="000000"/>
                <w:lang w:eastAsia="en-AU"/>
              </w:rPr>
              <w:t>-$335</w:t>
            </w:r>
          </w:p>
        </w:tc>
      </w:tr>
      <w:tr w:rsidR="00CA4FF6" w:rsidRPr="00A45141" w14:paraId="5CA779DA" w14:textId="77777777" w:rsidTr="00CC23D5">
        <w:trPr>
          <w:trHeight w:val="290"/>
        </w:trPr>
        <w:tc>
          <w:tcPr>
            <w:tcW w:w="0" w:type="auto"/>
            <w:tcBorders>
              <w:top w:val="nil"/>
              <w:left w:val="nil"/>
              <w:bottom w:val="single" w:sz="4" w:space="0" w:color="auto"/>
              <w:right w:val="nil"/>
            </w:tcBorders>
            <w:shd w:val="clear" w:color="auto" w:fill="auto"/>
            <w:vAlign w:val="bottom"/>
            <w:hideMark/>
          </w:tcPr>
          <w:p w14:paraId="5BE4BAF8" w14:textId="77777777" w:rsidR="00CA4FF6" w:rsidRPr="00A45141" w:rsidRDefault="00CA4FF6" w:rsidP="00CC23D5">
            <w:pPr>
              <w:keepNext/>
              <w:keepLines/>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vAlign w:val="bottom"/>
            <w:hideMark/>
          </w:tcPr>
          <w:p w14:paraId="70E5B45A" w14:textId="77777777" w:rsidR="00CA4FF6" w:rsidRPr="00A45141" w:rsidRDefault="00CA4FF6" w:rsidP="00CC23D5">
            <w:pPr>
              <w:keepNext/>
              <w:keepLines/>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vAlign w:val="bottom"/>
            <w:hideMark/>
          </w:tcPr>
          <w:p w14:paraId="3744CEFE" w14:textId="77777777" w:rsidR="00CA4FF6" w:rsidRPr="00A45141" w:rsidRDefault="00CA4FF6" w:rsidP="00CC23D5">
            <w:pPr>
              <w:keepNext/>
              <w:keepLines/>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noWrap/>
            <w:hideMark/>
          </w:tcPr>
          <w:p w14:paraId="65C5A822"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noWrap/>
            <w:hideMark/>
          </w:tcPr>
          <w:p w14:paraId="6AD01397"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noWrap/>
            <w:hideMark/>
          </w:tcPr>
          <w:p w14:paraId="4B8C6FA1"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noWrap/>
            <w:hideMark/>
          </w:tcPr>
          <w:p w14:paraId="65A3635B"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noWrap/>
            <w:hideMark/>
          </w:tcPr>
          <w:p w14:paraId="48277B2A"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c>
          <w:tcPr>
            <w:tcW w:w="0" w:type="auto"/>
            <w:tcBorders>
              <w:top w:val="nil"/>
              <w:left w:val="nil"/>
              <w:bottom w:val="single" w:sz="4" w:space="0" w:color="auto"/>
              <w:right w:val="nil"/>
            </w:tcBorders>
            <w:shd w:val="clear" w:color="auto" w:fill="auto"/>
            <w:noWrap/>
            <w:hideMark/>
          </w:tcPr>
          <w:p w14:paraId="2DACE3AF" w14:textId="77777777" w:rsidR="00CA4FF6" w:rsidRPr="00A45141" w:rsidRDefault="00CA4FF6" w:rsidP="00CC23D5">
            <w:pPr>
              <w:keepNext/>
              <w:keepLines/>
              <w:jc w:val="center"/>
              <w:rPr>
                <w:rFonts w:ascii="Times New Roman" w:eastAsia="Times New Roman" w:hAnsi="Times New Roman" w:cs="Times New Roman"/>
                <w:sz w:val="20"/>
                <w:szCs w:val="20"/>
                <w:lang w:eastAsia="en-AU"/>
              </w:rPr>
            </w:pPr>
          </w:p>
        </w:tc>
      </w:tr>
      <w:tr w:rsidR="00CA4FF6" w:rsidRPr="00C20C70" w14:paraId="7E6E981B" w14:textId="77777777" w:rsidTr="00CC23D5">
        <w:trPr>
          <w:trHeight w:val="290"/>
        </w:trPr>
        <w:tc>
          <w:tcPr>
            <w:tcW w:w="0" w:type="auto"/>
            <w:tcBorders>
              <w:top w:val="single" w:sz="4" w:space="0" w:color="auto"/>
              <w:left w:val="nil"/>
              <w:bottom w:val="nil"/>
              <w:right w:val="nil"/>
            </w:tcBorders>
            <w:shd w:val="clear" w:color="auto" w:fill="auto"/>
            <w:noWrap/>
            <w:vAlign w:val="bottom"/>
            <w:hideMark/>
          </w:tcPr>
          <w:p w14:paraId="1FFA92C3" w14:textId="77777777" w:rsidR="00CA4FF6" w:rsidRPr="001B608A" w:rsidRDefault="00CA4FF6" w:rsidP="00CC23D5">
            <w:pP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Average</w:t>
            </w:r>
          </w:p>
        </w:tc>
        <w:tc>
          <w:tcPr>
            <w:tcW w:w="0" w:type="auto"/>
            <w:tcBorders>
              <w:top w:val="single" w:sz="4" w:space="0" w:color="auto"/>
              <w:left w:val="nil"/>
              <w:bottom w:val="nil"/>
              <w:right w:val="nil"/>
            </w:tcBorders>
            <w:shd w:val="clear" w:color="auto" w:fill="auto"/>
            <w:noWrap/>
            <w:vAlign w:val="bottom"/>
            <w:hideMark/>
          </w:tcPr>
          <w:p w14:paraId="6ADD1243" w14:textId="77777777" w:rsidR="00CA4FF6" w:rsidRPr="001B608A" w:rsidRDefault="00CA4FF6" w:rsidP="00CC23D5">
            <w:pP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Average</w:t>
            </w:r>
          </w:p>
        </w:tc>
        <w:tc>
          <w:tcPr>
            <w:tcW w:w="0" w:type="auto"/>
            <w:tcBorders>
              <w:top w:val="single" w:sz="4" w:space="0" w:color="auto"/>
              <w:left w:val="nil"/>
              <w:bottom w:val="nil"/>
              <w:right w:val="nil"/>
            </w:tcBorders>
            <w:shd w:val="clear" w:color="auto" w:fill="auto"/>
            <w:noWrap/>
            <w:vAlign w:val="bottom"/>
            <w:hideMark/>
          </w:tcPr>
          <w:p w14:paraId="3E1282DC" w14:textId="77777777" w:rsidR="00CA4FF6" w:rsidRPr="001B608A" w:rsidRDefault="00CA4FF6" w:rsidP="00CC23D5">
            <w:pP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Average</w:t>
            </w:r>
          </w:p>
        </w:tc>
        <w:tc>
          <w:tcPr>
            <w:tcW w:w="0" w:type="auto"/>
            <w:tcBorders>
              <w:top w:val="single" w:sz="4" w:space="0" w:color="auto"/>
              <w:left w:val="nil"/>
              <w:bottom w:val="nil"/>
              <w:right w:val="nil"/>
            </w:tcBorders>
            <w:shd w:val="clear" w:color="auto" w:fill="auto"/>
            <w:noWrap/>
            <w:hideMark/>
          </w:tcPr>
          <w:p w14:paraId="673308C3" w14:textId="77777777" w:rsidR="00CA4FF6" w:rsidRPr="001B608A" w:rsidRDefault="00CA4FF6" w:rsidP="00CC23D5">
            <w:pPr>
              <w:jc w:val="cente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425</w:t>
            </w:r>
          </w:p>
        </w:tc>
        <w:tc>
          <w:tcPr>
            <w:tcW w:w="0" w:type="auto"/>
            <w:tcBorders>
              <w:top w:val="single" w:sz="4" w:space="0" w:color="auto"/>
              <w:left w:val="nil"/>
              <w:bottom w:val="nil"/>
              <w:right w:val="nil"/>
            </w:tcBorders>
            <w:shd w:val="clear" w:color="auto" w:fill="auto"/>
            <w:noWrap/>
            <w:hideMark/>
          </w:tcPr>
          <w:p w14:paraId="2BE40EB0" w14:textId="77777777" w:rsidR="00CA4FF6" w:rsidRPr="001B608A" w:rsidRDefault="00CA4FF6" w:rsidP="00CC23D5">
            <w:pPr>
              <w:jc w:val="cente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7.5</w:t>
            </w:r>
          </w:p>
        </w:tc>
        <w:tc>
          <w:tcPr>
            <w:tcW w:w="0" w:type="auto"/>
            <w:tcBorders>
              <w:top w:val="single" w:sz="4" w:space="0" w:color="auto"/>
              <w:left w:val="nil"/>
              <w:bottom w:val="nil"/>
              <w:right w:val="nil"/>
            </w:tcBorders>
            <w:shd w:val="clear" w:color="auto" w:fill="auto"/>
            <w:noWrap/>
            <w:hideMark/>
          </w:tcPr>
          <w:p w14:paraId="6714345A" w14:textId="77777777" w:rsidR="00CA4FF6" w:rsidRPr="001B608A" w:rsidRDefault="00CA4FF6" w:rsidP="00CC23D5">
            <w:pPr>
              <w:jc w:val="cente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12.6</w:t>
            </w:r>
          </w:p>
        </w:tc>
        <w:tc>
          <w:tcPr>
            <w:tcW w:w="0" w:type="auto"/>
            <w:tcBorders>
              <w:top w:val="single" w:sz="4" w:space="0" w:color="auto"/>
              <w:left w:val="nil"/>
              <w:bottom w:val="nil"/>
              <w:right w:val="nil"/>
            </w:tcBorders>
            <w:shd w:val="clear" w:color="auto" w:fill="auto"/>
            <w:noWrap/>
            <w:hideMark/>
          </w:tcPr>
          <w:p w14:paraId="0D29464D" w14:textId="77777777" w:rsidR="00CA4FF6" w:rsidRPr="001B608A" w:rsidRDefault="00CA4FF6" w:rsidP="00CC23D5">
            <w:pPr>
              <w:jc w:val="cente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$2,380</w:t>
            </w:r>
          </w:p>
        </w:tc>
        <w:tc>
          <w:tcPr>
            <w:tcW w:w="0" w:type="auto"/>
            <w:tcBorders>
              <w:top w:val="single" w:sz="4" w:space="0" w:color="auto"/>
              <w:left w:val="nil"/>
              <w:bottom w:val="nil"/>
              <w:right w:val="nil"/>
            </w:tcBorders>
            <w:shd w:val="clear" w:color="auto" w:fill="auto"/>
            <w:noWrap/>
            <w:hideMark/>
          </w:tcPr>
          <w:p w14:paraId="037AB724" w14:textId="77777777" w:rsidR="00CA4FF6" w:rsidRPr="001B608A" w:rsidRDefault="00CA4FF6" w:rsidP="00CC23D5">
            <w:pPr>
              <w:jc w:val="cente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$616</w:t>
            </w:r>
          </w:p>
        </w:tc>
        <w:tc>
          <w:tcPr>
            <w:tcW w:w="0" w:type="auto"/>
            <w:tcBorders>
              <w:top w:val="single" w:sz="4" w:space="0" w:color="auto"/>
              <w:left w:val="nil"/>
              <w:bottom w:val="nil"/>
              <w:right w:val="nil"/>
            </w:tcBorders>
            <w:shd w:val="clear" w:color="auto" w:fill="auto"/>
            <w:noWrap/>
            <w:hideMark/>
          </w:tcPr>
          <w:p w14:paraId="15D09847" w14:textId="77777777" w:rsidR="00CA4FF6" w:rsidRPr="001B608A" w:rsidRDefault="00CA4FF6" w:rsidP="00CC23D5">
            <w:pPr>
              <w:jc w:val="center"/>
              <w:rPr>
                <w:rFonts w:ascii="Calibri" w:eastAsia="Times New Roman" w:hAnsi="Calibri" w:cs="Calibri"/>
                <w:b/>
                <w:bCs/>
                <w:color w:val="000000"/>
                <w:lang w:eastAsia="en-AU"/>
              </w:rPr>
            </w:pPr>
            <w:r w:rsidRPr="001B608A">
              <w:rPr>
                <w:rFonts w:ascii="Calibri" w:eastAsia="Times New Roman" w:hAnsi="Calibri" w:cs="Calibri"/>
                <w:b/>
                <w:bCs/>
                <w:color w:val="000000"/>
                <w:lang w:eastAsia="en-AU"/>
              </w:rPr>
              <w:t>$0</w:t>
            </w:r>
          </w:p>
        </w:tc>
      </w:tr>
    </w:tbl>
    <w:p w14:paraId="73CE4C7A" w14:textId="77777777" w:rsidR="00CA4FF6" w:rsidRDefault="00CA4FF6" w:rsidP="00CA4FF6"/>
    <w:p w14:paraId="4C58CA26" w14:textId="77777777" w:rsidR="00CA4FF6" w:rsidRDefault="00CA4FF6" w:rsidP="00CA4FF6">
      <w:r>
        <w:t>In most cases (including this example), the traits will not be uncorrelated and there will not be an expectation of equal numbers in each cell.  This, however, does not affect the differential between each level.</w:t>
      </w:r>
    </w:p>
    <w:p w14:paraId="054FE7F4" w14:textId="77777777" w:rsidR="00CA4FF6" w:rsidRDefault="00CA4FF6" w:rsidP="00CA4FF6"/>
    <w:p w14:paraId="65822E71" w14:textId="1F126AC7" w:rsidR="00CA4FF6" w:rsidRDefault="00CA4FF6" w:rsidP="00CA4FF6">
      <w:r>
        <w:t>The final value of the selection/culling decision depends on the accuracy of the genomic test used. For example, if the test has an accuracy of 50% for the 3 traits included here, then the predicted economic gain is $64 x 50% = $32.</w:t>
      </w:r>
    </w:p>
    <w:p w14:paraId="20971542" w14:textId="6C39AEF2" w:rsidR="00B52C43" w:rsidRDefault="00B52C43" w:rsidP="00CA4FF6"/>
    <w:p w14:paraId="7F2C5F21" w14:textId="77777777" w:rsidR="0037308D" w:rsidRDefault="00CB3D74" w:rsidP="00CA4FF6">
      <w:r>
        <w:t xml:space="preserve">The procedure used for estimating the benefits of using genomic information </w:t>
      </w:r>
      <w:r w:rsidR="0037308D">
        <w:t>to aid culling decisions as follows:</w:t>
      </w:r>
    </w:p>
    <w:p w14:paraId="1CD4E458" w14:textId="0343D5E0" w:rsidR="00115DC2" w:rsidRDefault="00B52C43" w:rsidP="0037308D">
      <w:pPr>
        <w:pStyle w:val="ListParagraph"/>
        <w:numPr>
          <w:ilvl w:val="0"/>
          <w:numId w:val="42"/>
        </w:numPr>
      </w:pPr>
      <w:r>
        <w:t>Th</w:t>
      </w:r>
      <w:r w:rsidR="0037308D">
        <w:t>e</w:t>
      </w:r>
      <w:r>
        <w:t xml:space="preserve"> principle </w:t>
      </w:r>
      <w:r w:rsidR="0037308D">
        <w:t xml:space="preserve">outlined above </w:t>
      </w:r>
      <w:r>
        <w:t xml:space="preserve">was applied across three </w:t>
      </w:r>
      <w:r w:rsidR="00833706">
        <w:t>potential applications</w:t>
      </w:r>
      <w:r>
        <w:t xml:space="preserve"> –</w:t>
      </w:r>
      <w:r w:rsidR="00833706">
        <w:t xml:space="preserve">culling </w:t>
      </w:r>
      <w:r>
        <w:t xml:space="preserve">short-fed steers, long-fed steers </w:t>
      </w:r>
      <w:r w:rsidR="00E77EAB">
        <w:t>(</w:t>
      </w:r>
      <w:proofErr w:type="spellStart"/>
      <w:r w:rsidR="00E77EAB">
        <w:t>Waygu</w:t>
      </w:r>
      <w:proofErr w:type="spellEnd"/>
      <w:r w:rsidR="00E77EAB">
        <w:t xml:space="preserve">) </w:t>
      </w:r>
      <w:r>
        <w:t>and heifers</w:t>
      </w:r>
      <w:r w:rsidR="00496D84">
        <w:t xml:space="preserve">.  </w:t>
      </w:r>
    </w:p>
    <w:p w14:paraId="2ADE5179" w14:textId="77777777" w:rsidR="00115DC2" w:rsidRDefault="00496D84" w:rsidP="0037308D">
      <w:pPr>
        <w:pStyle w:val="ListParagraph"/>
        <w:numPr>
          <w:ilvl w:val="0"/>
          <w:numId w:val="42"/>
        </w:numPr>
      </w:pPr>
      <w:r>
        <w:t>For heifers, the three traits involved were carcase weight, marble score</w:t>
      </w:r>
      <w:r w:rsidR="00DB76E7">
        <w:t xml:space="preserve"> and weaning rate.  E</w:t>
      </w:r>
      <w:r w:rsidR="00DB76E7" w:rsidRPr="00DB76E7">
        <w:t xml:space="preserve">ach </w:t>
      </w:r>
      <w:r w:rsidR="000125B0">
        <w:t xml:space="preserve">of these three had </w:t>
      </w:r>
      <w:r w:rsidR="003953F9">
        <w:t xml:space="preserve">a </w:t>
      </w:r>
      <w:r w:rsidR="00DB76E7" w:rsidRPr="00DB76E7">
        <w:t>different base value</w:t>
      </w:r>
      <w:r w:rsidR="000125B0">
        <w:t xml:space="preserve"> (or </w:t>
      </w:r>
      <w:r w:rsidR="007F7783">
        <w:t>cohort</w:t>
      </w:r>
      <w:r w:rsidR="000125B0">
        <w:t xml:space="preserve"> average merit)</w:t>
      </w:r>
      <w:r w:rsidR="00DB76E7" w:rsidRPr="00DB76E7">
        <w:t xml:space="preserve">, being $1230, </w:t>
      </w:r>
      <w:proofErr w:type="gramStart"/>
      <w:r w:rsidR="00DB76E7" w:rsidRPr="00DB76E7">
        <w:t>$2002</w:t>
      </w:r>
      <w:proofErr w:type="gramEnd"/>
      <w:r w:rsidR="00DB76E7" w:rsidRPr="00DB76E7">
        <w:t xml:space="preserve"> and $5,520, respectively</w:t>
      </w:r>
      <w:r w:rsidR="000125B0">
        <w:t xml:space="preserve">; and </w:t>
      </w:r>
    </w:p>
    <w:p w14:paraId="465F2861" w14:textId="77777777" w:rsidR="00115DC2" w:rsidRDefault="000125B0" w:rsidP="0037308D">
      <w:pPr>
        <w:pStyle w:val="ListParagraph"/>
        <w:numPr>
          <w:ilvl w:val="0"/>
          <w:numId w:val="42"/>
        </w:numPr>
      </w:pPr>
      <w:r>
        <w:t xml:space="preserve">respective standard deviations of </w:t>
      </w:r>
      <w:r w:rsidR="007F7783">
        <w:t>profitability</w:t>
      </w:r>
      <w:r>
        <w:t xml:space="preserve"> indices of </w:t>
      </w:r>
      <w:r w:rsidR="003953F9">
        <w:t xml:space="preserve">$134, </w:t>
      </w:r>
      <w:proofErr w:type="gramStart"/>
      <w:r w:rsidR="003953F9">
        <w:t>$258</w:t>
      </w:r>
      <w:proofErr w:type="gramEnd"/>
      <w:r w:rsidR="003953F9">
        <w:t xml:space="preserve"> and $356</w:t>
      </w:r>
      <w:r>
        <w:t xml:space="preserve">.  </w:t>
      </w:r>
    </w:p>
    <w:p w14:paraId="6AC010E8" w14:textId="77777777" w:rsidR="00115DC2" w:rsidRDefault="00183560" w:rsidP="0037308D">
      <w:pPr>
        <w:pStyle w:val="ListParagraph"/>
        <w:numPr>
          <w:ilvl w:val="0"/>
          <w:numId w:val="42"/>
        </w:numPr>
      </w:pPr>
      <w:r>
        <w:t>For steers, assumed culling rates</w:t>
      </w:r>
      <w:r w:rsidR="008B5F76">
        <w:t xml:space="preserve"> based on genomic predictions were 25% and for heifers were 50%.</w:t>
      </w:r>
      <w:r w:rsidR="004E61CA">
        <w:t xml:space="preserve">  </w:t>
      </w:r>
    </w:p>
    <w:p w14:paraId="616BCAF5" w14:textId="77777777" w:rsidR="00CB3D74" w:rsidRDefault="00263EE4" w:rsidP="0037308D">
      <w:pPr>
        <w:pStyle w:val="ListParagraph"/>
        <w:numPr>
          <w:ilvl w:val="0"/>
          <w:numId w:val="42"/>
        </w:numPr>
      </w:pPr>
      <w:r>
        <w:t xml:space="preserve">The resulting values were then discounted </w:t>
      </w:r>
      <w:r w:rsidR="003077DA">
        <w:t xml:space="preserve">in proportion to (1-prediction accuracy), leading to greater profitability when prediction accuracy is 60%, compared with </w:t>
      </w:r>
      <w:r w:rsidR="005C50B7">
        <w:t>45%</w:t>
      </w:r>
      <w:r w:rsidR="000E283F">
        <w:t>; or in the case of no additional genomic information, 20%</w:t>
      </w:r>
      <w:r w:rsidR="00191596">
        <w:t>.</w:t>
      </w:r>
      <w:r w:rsidR="000E283F">
        <w:t xml:space="preserve"> </w:t>
      </w:r>
      <w:r w:rsidR="00191596">
        <w:t xml:space="preserve"> </w:t>
      </w:r>
    </w:p>
    <w:p w14:paraId="7BF957F2" w14:textId="755819F7" w:rsidR="00B52C43" w:rsidRDefault="00191596" w:rsidP="0037308D">
      <w:pPr>
        <w:pStyle w:val="ListParagraph"/>
        <w:numPr>
          <w:ilvl w:val="0"/>
          <w:numId w:val="42"/>
        </w:numPr>
      </w:pPr>
      <w:r>
        <w:t xml:space="preserve">This provided an estimate of the per head benefits, which were then </w:t>
      </w:r>
      <w:r w:rsidR="008641DA">
        <w:t xml:space="preserve">scaled to a national benefit by </w:t>
      </w:r>
      <w:r w:rsidR="00712EDA">
        <w:t xml:space="preserve">applying them to the total number of animals tested, which was set at 33.3% of the potential maximum </w:t>
      </w:r>
      <w:r w:rsidR="00ED69A9">
        <w:t>(</w:t>
      </w:r>
      <w:r w:rsidR="000B0DAA">
        <w:t xml:space="preserve">this means </w:t>
      </w:r>
      <w:r w:rsidR="000A580B">
        <w:t xml:space="preserve">approx. </w:t>
      </w:r>
      <w:r w:rsidR="000929CE">
        <w:t>55</w:t>
      </w:r>
      <w:r w:rsidR="000A580B">
        <w:t xml:space="preserve">0k </w:t>
      </w:r>
      <w:r w:rsidR="000929CE">
        <w:t xml:space="preserve">animals </w:t>
      </w:r>
      <w:r w:rsidR="000A580B">
        <w:t xml:space="preserve">when half the herd is genotyped </w:t>
      </w:r>
      <w:r w:rsidR="000929CE">
        <w:t>and 1.1m animals when all animals are genotyped</w:t>
      </w:r>
      <w:r w:rsidR="00ED69A9">
        <w:t>).</w:t>
      </w:r>
    </w:p>
    <w:p w14:paraId="15AD60C6" w14:textId="305BEB4D" w:rsidR="00C46815" w:rsidRDefault="00C46815">
      <w:r>
        <w:br w:type="page"/>
      </w:r>
    </w:p>
    <w:p w14:paraId="3850DAAC" w14:textId="3794E92F" w:rsidR="00C46815" w:rsidRDefault="00C46815" w:rsidP="00C46815">
      <w:pPr>
        <w:pStyle w:val="Heading1"/>
        <w:numPr>
          <w:ilvl w:val="0"/>
          <w:numId w:val="0"/>
        </w:numPr>
        <w:ind w:right="-46"/>
      </w:pPr>
      <w:bookmarkStart w:id="217" w:name="_Toc95983442"/>
      <w:r w:rsidRPr="00EF1B1E">
        <w:lastRenderedPageBreak/>
        <w:t xml:space="preserve">Appendix </w:t>
      </w:r>
      <w:r>
        <w:t>5</w:t>
      </w:r>
      <w:r w:rsidRPr="00EF1B1E">
        <w:t xml:space="preserve">. </w:t>
      </w:r>
      <w:r>
        <w:t>A possible framework for using Flock Profiling for traceability</w:t>
      </w:r>
      <w:bookmarkEnd w:id="217"/>
      <w:r>
        <w:t xml:space="preserve"> </w:t>
      </w:r>
    </w:p>
    <w:p w14:paraId="10E1BC26" w14:textId="77777777" w:rsidR="00C46815" w:rsidRDefault="00C46815" w:rsidP="00C46815">
      <w:pPr>
        <w:spacing w:after="160" w:line="259" w:lineRule="auto"/>
      </w:pPr>
    </w:p>
    <w:p w14:paraId="3EFBB21B" w14:textId="77777777" w:rsidR="00C46815" w:rsidRDefault="00C46815" w:rsidP="00C46815">
      <w:pPr>
        <w:pStyle w:val="ListParagraph"/>
        <w:numPr>
          <w:ilvl w:val="0"/>
          <w:numId w:val="41"/>
        </w:numPr>
        <w:spacing w:after="160" w:line="259" w:lineRule="auto"/>
      </w:pPr>
      <w:r>
        <w:t xml:space="preserve">If an unknown animal or mob is found, it would be genotyped, and the genotype submitted to a sheep </w:t>
      </w:r>
      <w:bookmarkStart w:id="218" w:name="_Hlk92199471"/>
      <w:r>
        <w:t>genomic traceability database</w:t>
      </w:r>
      <w:bookmarkEnd w:id="218"/>
    </w:p>
    <w:p w14:paraId="58EC8768" w14:textId="77777777" w:rsidR="00C46815" w:rsidRDefault="00C46815" w:rsidP="00C46815">
      <w:pPr>
        <w:pStyle w:val="ListParagraph"/>
        <w:numPr>
          <w:ilvl w:val="0"/>
          <w:numId w:val="41"/>
        </w:numPr>
        <w:spacing w:after="160" w:line="259" w:lineRule="auto"/>
      </w:pPr>
      <w:r>
        <w:t>This database would then be used to calculate the genomic relationship of that sample to all other genotypes currently held</w:t>
      </w:r>
    </w:p>
    <w:p w14:paraId="05137335" w14:textId="77777777" w:rsidR="00C46815" w:rsidRDefault="00C46815" w:rsidP="00C46815">
      <w:pPr>
        <w:pStyle w:val="ListParagraph"/>
        <w:numPr>
          <w:ilvl w:val="0"/>
          <w:numId w:val="41"/>
        </w:numPr>
        <w:spacing w:after="160" w:line="259" w:lineRule="auto"/>
      </w:pPr>
      <w:r>
        <w:t xml:space="preserve">The sample would have highest relationship (or similarity) to animals or samples previously taken from that flock. </w:t>
      </w:r>
    </w:p>
    <w:p w14:paraId="5637643C" w14:textId="77777777" w:rsidR="00C46815" w:rsidRPr="00741A47" w:rsidRDefault="00C46815" w:rsidP="00C46815">
      <w:pPr>
        <w:pStyle w:val="ListParagraph"/>
        <w:numPr>
          <w:ilvl w:val="0"/>
          <w:numId w:val="41"/>
        </w:numPr>
        <w:spacing w:after="160" w:line="259" w:lineRule="auto"/>
      </w:pPr>
      <w:r w:rsidRPr="00741A47">
        <w:t xml:space="preserve">The relationship would not be </w:t>
      </w:r>
      <w:r>
        <w:t>unity</w:t>
      </w:r>
      <w:r w:rsidRPr="00741A47">
        <w:t xml:space="preserve"> (</w:t>
      </w:r>
      <w:proofErr w:type="gramStart"/>
      <w:r w:rsidRPr="004E7A0B">
        <w:rPr>
          <w:i/>
          <w:iCs/>
        </w:rPr>
        <w:t>i.e.</w:t>
      </w:r>
      <w:proofErr w:type="gramEnd"/>
      <w:r w:rsidRPr="00741A47">
        <w:t xml:space="preserve"> 100%), but </w:t>
      </w:r>
      <w:r>
        <w:t xml:space="preserve">the parameters for the probability of an animal coming from a flock based on its genomic relationship to a flock profile would need to be established.  It </w:t>
      </w:r>
      <w:r w:rsidRPr="00741A47">
        <w:t xml:space="preserve">would be expected to be a </w:t>
      </w:r>
      <w:r>
        <w:t xml:space="preserve">high number (close to, but less than unity unless that </w:t>
      </w:r>
      <w:proofErr w:type="gramStart"/>
      <w:r>
        <w:t>particular animal</w:t>
      </w:r>
      <w:proofErr w:type="gramEnd"/>
      <w:r>
        <w:t xml:space="preserve"> was itself included in the genomic traceability database)</w:t>
      </w:r>
    </w:p>
    <w:p w14:paraId="260D438A" w14:textId="77777777" w:rsidR="00C46815" w:rsidRPr="00741A47" w:rsidRDefault="00C46815" w:rsidP="00C46815">
      <w:pPr>
        <w:pStyle w:val="ListParagraph"/>
        <w:numPr>
          <w:ilvl w:val="0"/>
          <w:numId w:val="41"/>
        </w:numPr>
        <w:spacing w:after="160" w:line="259" w:lineRule="auto"/>
      </w:pPr>
      <w:r w:rsidRPr="00741A47">
        <w:t xml:space="preserve">The distribution of such values could be investigated using the existing sheep genomic information (such as the Sheep Genetics database) – for example by simulating animals from a particular flock profile and determining the calculated relationship. </w:t>
      </w:r>
    </w:p>
    <w:p w14:paraId="65E4D4A1" w14:textId="77777777" w:rsidR="00C46815" w:rsidRPr="00741A47" w:rsidRDefault="00C46815" w:rsidP="00C46815">
      <w:pPr>
        <w:pStyle w:val="ListParagraph"/>
        <w:numPr>
          <w:ilvl w:val="0"/>
          <w:numId w:val="41"/>
        </w:numPr>
        <w:spacing w:after="160" w:line="259" w:lineRule="auto"/>
      </w:pPr>
      <w:r w:rsidRPr="00741A47">
        <w:t xml:space="preserve">This R&amp;D would establish “confidence bands” for the values </w:t>
      </w:r>
      <w:r>
        <w:t>that</w:t>
      </w:r>
      <w:r w:rsidRPr="00741A47">
        <w:t xml:space="preserve"> would be expected – basically to assist in identifying the level of relationship which would be accepted as indicating that an animal was likely to be from a particular flock, with a known precision.</w:t>
      </w:r>
    </w:p>
    <w:p w14:paraId="16BE19FB" w14:textId="77777777" w:rsidR="00C46815" w:rsidRDefault="00C46815" w:rsidP="00C46815">
      <w:pPr>
        <w:pStyle w:val="ListParagraph"/>
        <w:numPr>
          <w:ilvl w:val="0"/>
          <w:numId w:val="41"/>
        </w:numPr>
        <w:spacing w:after="160" w:line="259" w:lineRule="auto"/>
      </w:pPr>
      <w:r>
        <w:t>The “traceability accuracy” of this approach would be defined by the structure of genetic relationships among flocks in the industry, which as discussed above, could be defined by R&amp;D using the existing Sheep Genetics database.</w:t>
      </w:r>
    </w:p>
    <w:p w14:paraId="15F75E78" w14:textId="77777777" w:rsidR="00C46815" w:rsidRDefault="00C46815" w:rsidP="00C46815"/>
    <w:p w14:paraId="4DEFE27B" w14:textId="77777777" w:rsidR="00C46815" w:rsidRPr="00FD7ACC" w:rsidRDefault="00C46815" w:rsidP="00C46815">
      <w:pPr>
        <w:spacing w:after="160" w:line="259" w:lineRule="auto"/>
        <w:rPr>
          <w:color w:val="FF0000"/>
        </w:rPr>
      </w:pPr>
      <w:r w:rsidRPr="00741A47">
        <w:t xml:space="preserve">The amount of work required to establish this approach – how many flocks would be needed to sample, can be determined from the current level of testing for Flock Profile. However, in the worst case, we could assume that </w:t>
      </w:r>
      <w:r>
        <w:t>ev</w:t>
      </w:r>
      <w:r w:rsidRPr="00741A47">
        <w:t>ery flock would need to be sampled –</w:t>
      </w:r>
      <w:r>
        <w:t xml:space="preserve"> assuming 5</w:t>
      </w:r>
      <w:r w:rsidRPr="00741A47">
        <w:t>0,000 flocks</w:t>
      </w:r>
      <w:r>
        <w:rPr>
          <w:rStyle w:val="FootnoteReference"/>
        </w:rPr>
        <w:footnoteReference w:id="72"/>
      </w:r>
      <w:r w:rsidRPr="00741A47">
        <w:t xml:space="preserve">, and $700 per flock as the genotyping cost, that would be an implementation cost of 50,000 x $700 = $35m </w:t>
      </w:r>
      <w:r>
        <w:t>p.a.</w:t>
      </w:r>
      <w:r w:rsidRPr="00741A47">
        <w:t xml:space="preserve"> (</w:t>
      </w:r>
      <w:r>
        <w:t>This</w:t>
      </w:r>
      <w:r w:rsidRPr="00741A47">
        <w:t xml:space="preserve"> is of similar magnitude to the estimated implementation cost of EID-NLIS in cattle).  </w:t>
      </w:r>
    </w:p>
    <w:p w14:paraId="06D06E11" w14:textId="77777777" w:rsidR="00C46815" w:rsidRDefault="00C46815" w:rsidP="00C46815"/>
    <w:p w14:paraId="515EAE48" w14:textId="77777777" w:rsidR="00191596" w:rsidRDefault="00191596" w:rsidP="00CA4FF6"/>
    <w:p w14:paraId="30238CDF" w14:textId="77777777" w:rsidR="00191596" w:rsidRDefault="00191596" w:rsidP="00CA4FF6"/>
    <w:p w14:paraId="566CB304" w14:textId="43408A46" w:rsidR="004E61CA" w:rsidRDefault="004E61CA" w:rsidP="00CA4FF6"/>
    <w:p w14:paraId="1E057E71" w14:textId="77777777" w:rsidR="004E61CA" w:rsidRDefault="004E61CA" w:rsidP="00CA4FF6"/>
    <w:p w14:paraId="6588ACFE" w14:textId="3D921772" w:rsidR="00733B00" w:rsidRDefault="00733B00" w:rsidP="00733B00">
      <w:pPr>
        <w:pStyle w:val="Heading1"/>
        <w:numPr>
          <w:ilvl w:val="0"/>
          <w:numId w:val="0"/>
        </w:numPr>
        <w:ind w:right="-46"/>
      </w:pPr>
      <w:bookmarkStart w:id="219" w:name="_Ref88571465"/>
      <w:bookmarkStart w:id="220" w:name="_Toc95983443"/>
      <w:r w:rsidRPr="00EF1B1E">
        <w:lastRenderedPageBreak/>
        <w:t xml:space="preserve">Appendix </w:t>
      </w:r>
      <w:r w:rsidR="00C46815">
        <w:t>6</w:t>
      </w:r>
      <w:r w:rsidRPr="00EF1B1E">
        <w:t xml:space="preserve">. </w:t>
      </w:r>
      <w:r>
        <w:t>Making use of genomic information in the Irish cattle industry</w:t>
      </w:r>
      <w:bookmarkEnd w:id="219"/>
      <w:bookmarkEnd w:id="220"/>
      <w:r>
        <w:t xml:space="preserve"> </w:t>
      </w:r>
    </w:p>
    <w:p w14:paraId="476177A5" w14:textId="77777777" w:rsidR="00733B00" w:rsidRDefault="00733B00" w:rsidP="00733B00"/>
    <w:p w14:paraId="0137D9F3" w14:textId="09436F65" w:rsidR="00733B00" w:rsidRDefault="00733B00" w:rsidP="00733B00">
      <w:r>
        <w:t xml:space="preserve">The following </w:t>
      </w:r>
      <w:r w:rsidR="00326D91">
        <w:t xml:space="preserve">notes were recorded during an interview </w:t>
      </w:r>
      <w:r w:rsidR="004A2D94">
        <w:t xml:space="preserve">with </w:t>
      </w:r>
      <w:r w:rsidR="00FB5111">
        <w:t>colleagues</w:t>
      </w:r>
      <w:r w:rsidR="004A2D94">
        <w:t xml:space="preserve"> in Ireland</w:t>
      </w:r>
      <w:r w:rsidR="00D01EFB">
        <w:t xml:space="preserve">. </w:t>
      </w:r>
      <w:r w:rsidR="000E2F69">
        <w:t xml:space="preserve">They </w:t>
      </w:r>
      <w:r w:rsidR="00D01EFB">
        <w:t xml:space="preserve">illustrate that </w:t>
      </w:r>
      <w:r w:rsidR="00D01EFB" w:rsidRPr="00540834">
        <w:t>ICBF is essentially building</w:t>
      </w:r>
      <w:r w:rsidR="00540834">
        <w:t xml:space="preserve"> (</w:t>
      </w:r>
      <w:r w:rsidR="00D01EFB" w:rsidRPr="00540834">
        <w:t xml:space="preserve">or already delivering) the functions identified </w:t>
      </w:r>
      <w:r w:rsidR="00540834">
        <w:t xml:space="preserve">in </w:t>
      </w:r>
      <w:r w:rsidR="000E2F69">
        <w:t>our</w:t>
      </w:r>
      <w:r w:rsidR="00540834">
        <w:t xml:space="preserve"> report </w:t>
      </w:r>
      <w:r w:rsidR="00D01EFB" w:rsidRPr="00540834">
        <w:t>as “ancillary benefits”, with the reasonable expectation that as these benefits become more apparent</w:t>
      </w:r>
      <w:r w:rsidR="001A4ED9">
        <w:t>,</w:t>
      </w:r>
      <w:r w:rsidR="00D01EFB" w:rsidRPr="00540834">
        <w:t xml:space="preserve"> </w:t>
      </w:r>
      <w:r w:rsidR="000E2F69">
        <w:t xml:space="preserve">then </w:t>
      </w:r>
      <w:r w:rsidR="00D01EFB" w:rsidRPr="00540834">
        <w:t xml:space="preserve">100% genotyping </w:t>
      </w:r>
      <w:r w:rsidR="00540834">
        <w:t>(</w:t>
      </w:r>
      <w:r w:rsidR="00D01EFB" w:rsidRPr="00540834">
        <w:t>or close to it</w:t>
      </w:r>
      <w:r w:rsidR="00540834">
        <w:t>)</w:t>
      </w:r>
      <w:r w:rsidR="00D01EFB" w:rsidRPr="00540834">
        <w:t xml:space="preserve">, will be achieved almost by default. </w:t>
      </w:r>
      <w:r w:rsidR="007513FC">
        <w:t xml:space="preserve">The accompanying </w:t>
      </w:r>
      <w:r>
        <w:t xml:space="preserve">presentation (pp </w:t>
      </w:r>
      <w:r>
        <w:fldChar w:fldCharType="begin"/>
      </w:r>
      <w:r>
        <w:instrText xml:space="preserve"> PAGEREF _Ref88571465 \h </w:instrText>
      </w:r>
      <w:r>
        <w:fldChar w:fldCharType="separate"/>
      </w:r>
      <w:r w:rsidR="008D0D42">
        <w:rPr>
          <w:noProof/>
        </w:rPr>
        <w:t>98</w:t>
      </w:r>
      <w:r>
        <w:fldChar w:fldCharType="end"/>
      </w:r>
      <w:r>
        <w:t>-</w:t>
      </w:r>
      <w:r>
        <w:fldChar w:fldCharType="begin"/>
      </w:r>
      <w:r>
        <w:instrText xml:space="preserve"> PAGEREF End_Cromie \h </w:instrText>
      </w:r>
      <w:r>
        <w:fldChar w:fldCharType="separate"/>
      </w:r>
      <w:r w:rsidR="008D0D42">
        <w:rPr>
          <w:noProof/>
        </w:rPr>
        <w:t>101</w:t>
      </w:r>
      <w:r>
        <w:fldChar w:fldCharType="end"/>
      </w:r>
      <w:r>
        <w:t>)</w:t>
      </w:r>
      <w:r w:rsidR="007513FC">
        <w:t xml:space="preserve"> was</w:t>
      </w:r>
      <w:r>
        <w:t xml:space="preserve"> kindly provided by Dr A </w:t>
      </w:r>
      <w:proofErr w:type="spellStart"/>
      <w:r>
        <w:t>Cromie</w:t>
      </w:r>
      <w:proofErr w:type="spellEnd"/>
      <w:r w:rsidR="007513FC">
        <w:t xml:space="preserve">. It </w:t>
      </w:r>
      <w:r w:rsidR="008B4CA9">
        <w:t xml:space="preserve">illustrates </w:t>
      </w:r>
      <w:r>
        <w:t xml:space="preserve">how the Irish </w:t>
      </w:r>
      <w:r w:rsidRPr="00C74408">
        <w:t>use ID and DNA databases in conjunction with other forms of data to provide information services</w:t>
      </w:r>
      <w:r>
        <w:t>.</w:t>
      </w:r>
    </w:p>
    <w:p w14:paraId="40AC4AFF" w14:textId="77777777" w:rsidR="00FB5111" w:rsidRPr="00E979F5" w:rsidRDefault="00FB5111" w:rsidP="00733B00">
      <w:pPr>
        <w:rPr>
          <w:sz w:val="16"/>
          <w:szCs w:val="16"/>
        </w:rPr>
      </w:pPr>
    </w:p>
    <w:tbl>
      <w:tblPr>
        <w:tblStyle w:val="TableGrid"/>
        <w:tblW w:w="0" w:type="auto"/>
        <w:tblLook w:val="04A0" w:firstRow="1" w:lastRow="0" w:firstColumn="1" w:lastColumn="0" w:noHBand="0" w:noVBand="1"/>
      </w:tblPr>
      <w:tblGrid>
        <w:gridCol w:w="9016"/>
      </w:tblGrid>
      <w:tr w:rsidR="00FB5111" w14:paraId="564A9342" w14:textId="77777777" w:rsidTr="00FB5111">
        <w:tc>
          <w:tcPr>
            <w:tcW w:w="9242" w:type="dxa"/>
          </w:tcPr>
          <w:p w14:paraId="4461EE1B" w14:textId="77777777" w:rsidR="00FB5111" w:rsidRPr="00985F72" w:rsidRDefault="00FB5111" w:rsidP="00FB5111">
            <w:pPr>
              <w:rPr>
                <w:b/>
                <w:bCs/>
                <w:sz w:val="18"/>
                <w:szCs w:val="18"/>
              </w:rPr>
            </w:pPr>
            <w:r w:rsidRPr="00985F72">
              <w:rPr>
                <w:b/>
                <w:bCs/>
                <w:sz w:val="18"/>
                <w:szCs w:val="18"/>
              </w:rPr>
              <w:t>Overview</w:t>
            </w:r>
          </w:p>
          <w:p w14:paraId="7BF85128" w14:textId="77777777" w:rsidR="00FB5111" w:rsidRPr="00985F72" w:rsidRDefault="00FB5111" w:rsidP="00FB5111">
            <w:pPr>
              <w:rPr>
                <w:sz w:val="18"/>
                <w:szCs w:val="18"/>
              </w:rPr>
            </w:pPr>
            <w:r w:rsidRPr="00985F72">
              <w:rPr>
                <w:sz w:val="18"/>
                <w:szCs w:val="18"/>
              </w:rPr>
              <w:t> Total of c. 2.5m cows, or cattle:</w:t>
            </w:r>
          </w:p>
          <w:p w14:paraId="004E5316"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900,000 beef (suckler) cows</w:t>
            </w:r>
          </w:p>
          <w:p w14:paraId="57D627AA"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1.6m dairy cows</w:t>
            </w:r>
          </w:p>
          <w:p w14:paraId="574E05BA" w14:textId="77777777" w:rsidR="00FB5111" w:rsidRPr="00985F72" w:rsidRDefault="00FB5111" w:rsidP="00FB5111">
            <w:pPr>
              <w:rPr>
                <w:b/>
                <w:bCs/>
                <w:sz w:val="18"/>
                <w:szCs w:val="18"/>
              </w:rPr>
            </w:pPr>
            <w:r w:rsidRPr="00985F72">
              <w:rPr>
                <w:b/>
                <w:bCs/>
                <w:sz w:val="18"/>
                <w:szCs w:val="18"/>
              </w:rPr>
              <w:t>Genotyping</w:t>
            </w:r>
          </w:p>
          <w:p w14:paraId="673EA65B"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C. 600,000 beef cows enrolled in the ICBF Genomics program, which means c. 300,000 female beef cows genotyped per year (the herds are referred to as suckler herds)</w:t>
            </w:r>
          </w:p>
          <w:p w14:paraId="6980DF93"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Much lower rate of female genotyping in dairy – about 10,000 male calves genotyped per year, to identify c. 150 candidates</w:t>
            </w:r>
          </w:p>
          <w:p w14:paraId="100E0789"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About 500 dairy herds doing some genotyping – a total of about 70,000 females per year</w:t>
            </w:r>
          </w:p>
          <w:p w14:paraId="0543D349"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The focus for R&amp;D funding around genotyping is on production – would struggle to get funding solely for climate-related issues:</w:t>
            </w:r>
          </w:p>
          <w:p w14:paraId="160D5A0F"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 xml:space="preserve">The focus of policy has moved to mitigation – Ireland </w:t>
            </w:r>
            <w:proofErr w:type="gramStart"/>
            <w:r w:rsidRPr="00985F72">
              <w:rPr>
                <w:sz w:val="18"/>
                <w:szCs w:val="18"/>
              </w:rPr>
              <w:t>has to</w:t>
            </w:r>
            <w:proofErr w:type="gramEnd"/>
            <w:r w:rsidRPr="00985F72">
              <w:rPr>
                <w:sz w:val="18"/>
                <w:szCs w:val="18"/>
              </w:rPr>
              <w:t xml:space="preserve"> reduce methane output by 25%, and genetic improvement can contribute. </w:t>
            </w:r>
            <w:proofErr w:type="gramStart"/>
            <w:r w:rsidRPr="00985F72">
              <w:rPr>
                <w:sz w:val="18"/>
                <w:szCs w:val="18"/>
              </w:rPr>
              <w:t>So</w:t>
            </w:r>
            <w:proofErr w:type="gramEnd"/>
            <w:r w:rsidRPr="00985F72">
              <w:rPr>
                <w:sz w:val="18"/>
                <w:szCs w:val="18"/>
              </w:rPr>
              <w:t xml:space="preserve"> it’s not just increase production and slow methane – its reduce methane</w:t>
            </w:r>
          </w:p>
          <w:p w14:paraId="1944B051"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Genotyping in beef started out as focussed on increasing accuracy – c. 20% lift – but is now being used increasingly for characterising animals at a young age (stimulated by increasing focus on dairy-beef pathways):</w:t>
            </w:r>
          </w:p>
          <w:p w14:paraId="7B2CD61C"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ICBF delivers the tools for this early age screening – straight out of routine genetic evaluations</w:t>
            </w:r>
          </w:p>
          <w:p w14:paraId="021EE357" w14:textId="32ED581B" w:rsidR="00FB5111" w:rsidRPr="00985F72" w:rsidRDefault="00FB5111" w:rsidP="00FB5111">
            <w:pPr>
              <w:pStyle w:val="ListParagraph"/>
              <w:numPr>
                <w:ilvl w:val="1"/>
                <w:numId w:val="45"/>
              </w:numPr>
              <w:ind w:left="709"/>
              <w:contextualSpacing w:val="0"/>
              <w:rPr>
                <w:sz w:val="18"/>
                <w:szCs w:val="18"/>
              </w:rPr>
            </w:pPr>
            <w:r w:rsidRPr="00985F72">
              <w:rPr>
                <w:sz w:val="18"/>
                <w:szCs w:val="18"/>
              </w:rPr>
              <w:t xml:space="preserve">Increasing push from government, processors, milk co-ops, around carbon footprint, aiming to reduce age at slaughter (currently </w:t>
            </w:r>
            <w:r w:rsidR="0026200F">
              <w:rPr>
                <w:sz w:val="18"/>
                <w:szCs w:val="18"/>
              </w:rPr>
              <w:t>26-28</w:t>
            </w:r>
            <w:r w:rsidRPr="00985F72">
              <w:rPr>
                <w:sz w:val="18"/>
                <w:szCs w:val="18"/>
              </w:rPr>
              <w:t xml:space="preserve"> months), and increasing use of contracts from processors or co-ops for calves, backed by assistance with feeding for contracted calves</w:t>
            </w:r>
          </w:p>
          <w:p w14:paraId="76043B1F"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Still a challenge getting phenotypic data, esp. more than weaning weights, alongside genotyping</w:t>
            </w:r>
          </w:p>
          <w:p w14:paraId="5C1AEB29" w14:textId="77777777" w:rsidR="00FB5111" w:rsidRPr="00985F72" w:rsidRDefault="00FB5111" w:rsidP="00FB5111">
            <w:pPr>
              <w:rPr>
                <w:b/>
                <w:bCs/>
                <w:sz w:val="18"/>
                <w:szCs w:val="18"/>
              </w:rPr>
            </w:pPr>
            <w:r w:rsidRPr="00985F72">
              <w:rPr>
                <w:sz w:val="18"/>
                <w:szCs w:val="18"/>
              </w:rPr>
              <w:t> </w:t>
            </w:r>
            <w:r w:rsidRPr="00985F72">
              <w:rPr>
                <w:b/>
                <w:bCs/>
                <w:sz w:val="18"/>
                <w:szCs w:val="18"/>
              </w:rPr>
              <w:t>Databases, governance etc</w:t>
            </w:r>
          </w:p>
          <w:p w14:paraId="0FBC733E"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 xml:space="preserve">Databases in use have developed and grown over last 10 years </w:t>
            </w:r>
            <w:proofErr w:type="spellStart"/>
            <w:proofErr w:type="gramStart"/>
            <w:r w:rsidRPr="00985F72">
              <w:rPr>
                <w:sz w:val="18"/>
                <w:szCs w:val="18"/>
              </w:rPr>
              <w:t>ie</w:t>
            </w:r>
            <w:proofErr w:type="spellEnd"/>
            <w:proofErr w:type="gramEnd"/>
            <w:r w:rsidRPr="00985F72">
              <w:rPr>
                <w:sz w:val="18"/>
                <w:szCs w:val="18"/>
              </w:rPr>
              <w:t xml:space="preserve"> didn’t get designed in one big step</w:t>
            </w:r>
          </w:p>
          <w:p w14:paraId="4B9DC1DA"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Strong links between ICBF database (for breeding, so contains ID, pedigree, phenotype, and more recently genotype), and Dept. of Ag database, which is for legislative purpose including calf registration, animal movements, health testing (</w:t>
            </w:r>
            <w:proofErr w:type="spellStart"/>
            <w:proofErr w:type="gramStart"/>
            <w:r w:rsidRPr="00985F72">
              <w:rPr>
                <w:sz w:val="18"/>
                <w:szCs w:val="18"/>
              </w:rPr>
              <w:t>eg</w:t>
            </w:r>
            <w:proofErr w:type="spellEnd"/>
            <w:proofErr w:type="gramEnd"/>
            <w:r w:rsidRPr="00985F72">
              <w:rPr>
                <w:sz w:val="18"/>
                <w:szCs w:val="18"/>
              </w:rPr>
              <w:t xml:space="preserve"> compulsory BBD testing every calf) – so this holds 100% of calves.</w:t>
            </w:r>
          </w:p>
          <w:p w14:paraId="7E22A81A"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Dept of Ag database starting to make use of ICBF database, but they are managed and funded separately – Dept of Ag have a seat on the ICBF Board. ICBF database adds functionality accessible to the Dept of Ag database: comment at this point that at least some of the functionality and linkage has grown via individual projects, as stakeholders (government, industry, research etc) have seen opportunities</w:t>
            </w:r>
          </w:p>
          <w:p w14:paraId="1297DA78"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The genetic evaluation service delivered by ICBF, which includes genotyping, is costing €18 per animal, and is for a 50k genotype</w:t>
            </w:r>
          </w:p>
          <w:p w14:paraId="66A4EC28"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Animals getting genotyped via ICBF programs and services still need two tags – “NLIS” (</w:t>
            </w:r>
            <w:proofErr w:type="spellStart"/>
            <w:proofErr w:type="gramStart"/>
            <w:r w:rsidRPr="00985F72">
              <w:rPr>
                <w:sz w:val="18"/>
                <w:szCs w:val="18"/>
              </w:rPr>
              <w:t>ie</w:t>
            </w:r>
            <w:proofErr w:type="spellEnd"/>
            <w:proofErr w:type="gramEnd"/>
            <w:r w:rsidRPr="00985F72">
              <w:rPr>
                <w:sz w:val="18"/>
                <w:szCs w:val="18"/>
              </w:rPr>
              <w:t xml:space="preserve"> via Dept of Ag) and “genotype” tag</w:t>
            </w:r>
          </w:p>
          <w:p w14:paraId="6004AE12"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 xml:space="preserve">ICBF (but this may be a gov’t-ICBF shared goal) aiming to get cost down to €15 per animal, with €5 from each of farmer, </w:t>
            </w:r>
            <w:proofErr w:type="gramStart"/>
            <w:r w:rsidRPr="00985F72">
              <w:rPr>
                <w:sz w:val="18"/>
                <w:szCs w:val="18"/>
              </w:rPr>
              <w:t>gov’t</w:t>
            </w:r>
            <w:proofErr w:type="gramEnd"/>
            <w:r w:rsidRPr="00985F72">
              <w:rPr>
                <w:sz w:val="18"/>
                <w:szCs w:val="18"/>
              </w:rPr>
              <w:t xml:space="preserve"> and industry – this is focussed on the national methane mitigation goal</w:t>
            </w:r>
          </w:p>
          <w:p w14:paraId="2E96C5D4"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Breeds (</w:t>
            </w:r>
            <w:proofErr w:type="spellStart"/>
            <w:proofErr w:type="gramStart"/>
            <w:r w:rsidRPr="00985F72">
              <w:rPr>
                <w:sz w:val="18"/>
                <w:szCs w:val="18"/>
              </w:rPr>
              <w:t>ie</w:t>
            </w:r>
            <w:proofErr w:type="spellEnd"/>
            <w:proofErr w:type="gramEnd"/>
            <w:r w:rsidRPr="00985F72">
              <w:rPr>
                <w:sz w:val="18"/>
                <w:szCs w:val="18"/>
              </w:rPr>
              <w:t xml:space="preserve"> societies) are shareholders in ICBF, but this does not mean that every is completely smooth – breeds are reported to 2-3 times per year, each breed seeking best service possible</w:t>
            </w:r>
          </w:p>
          <w:p w14:paraId="69300EF5" w14:textId="77777777" w:rsidR="00FB5111" w:rsidRPr="00985F72" w:rsidRDefault="00FB5111" w:rsidP="00FB5111">
            <w:pPr>
              <w:pStyle w:val="ListParagraph"/>
              <w:numPr>
                <w:ilvl w:val="1"/>
                <w:numId w:val="45"/>
              </w:numPr>
              <w:ind w:left="709"/>
              <w:contextualSpacing w:val="0"/>
              <w:rPr>
                <w:sz w:val="18"/>
                <w:szCs w:val="18"/>
              </w:rPr>
            </w:pPr>
            <w:r w:rsidRPr="00985F72">
              <w:rPr>
                <w:sz w:val="18"/>
                <w:szCs w:val="18"/>
              </w:rPr>
              <w:t>This “</w:t>
            </w:r>
            <w:proofErr w:type="spellStart"/>
            <w:r w:rsidRPr="00985F72">
              <w:rPr>
                <w:sz w:val="18"/>
                <w:szCs w:val="18"/>
              </w:rPr>
              <w:t>herdbook</w:t>
            </w:r>
            <w:proofErr w:type="spellEnd"/>
            <w:r w:rsidRPr="00985F72">
              <w:rPr>
                <w:sz w:val="18"/>
                <w:szCs w:val="18"/>
              </w:rPr>
              <w:t>-based” model (</w:t>
            </w:r>
            <w:proofErr w:type="spellStart"/>
            <w:proofErr w:type="gramStart"/>
            <w:r w:rsidRPr="00985F72">
              <w:rPr>
                <w:sz w:val="18"/>
                <w:szCs w:val="18"/>
              </w:rPr>
              <w:t>ie</w:t>
            </w:r>
            <w:proofErr w:type="spellEnd"/>
            <w:proofErr w:type="gramEnd"/>
            <w:r w:rsidRPr="00985F72">
              <w:rPr>
                <w:sz w:val="18"/>
                <w:szCs w:val="18"/>
              </w:rPr>
              <w:t xml:space="preserve"> herd-book=breed society) is coming under increasing pressure as coops, genotyping companies, processors are moving to “control” or manage genetics better and better, so potentially including proprietary genetics</w:t>
            </w:r>
          </w:p>
          <w:p w14:paraId="0A7014D3" w14:textId="77777777" w:rsidR="00D27B51" w:rsidRPr="001A02B6" w:rsidRDefault="00D27B51" w:rsidP="00FB5111">
            <w:pPr>
              <w:rPr>
                <w:sz w:val="6"/>
                <w:szCs w:val="6"/>
              </w:rPr>
            </w:pPr>
          </w:p>
          <w:p w14:paraId="60A438D2" w14:textId="25E7C655" w:rsidR="00FB5111" w:rsidRPr="00985F72" w:rsidRDefault="00FB5111" w:rsidP="00FB5111">
            <w:pPr>
              <w:rPr>
                <w:sz w:val="18"/>
                <w:szCs w:val="18"/>
              </w:rPr>
            </w:pPr>
            <w:r w:rsidRPr="00985F72">
              <w:rPr>
                <w:sz w:val="18"/>
                <w:szCs w:val="18"/>
              </w:rPr>
              <w:t xml:space="preserve">Ireland is a </w:t>
            </w:r>
            <w:r w:rsidR="00C510DB">
              <w:rPr>
                <w:sz w:val="18"/>
                <w:szCs w:val="18"/>
              </w:rPr>
              <w:t xml:space="preserve">currently some </w:t>
            </w:r>
            <w:r w:rsidRPr="00985F72">
              <w:rPr>
                <w:sz w:val="18"/>
                <w:szCs w:val="18"/>
              </w:rPr>
              <w:t>distance from having universal genotyping, but they have:</w:t>
            </w:r>
          </w:p>
          <w:p w14:paraId="1724BA04" w14:textId="77777777" w:rsidR="00FB5111" w:rsidRPr="00985F72" w:rsidRDefault="00FB5111" w:rsidP="00FB5111">
            <w:pPr>
              <w:pStyle w:val="ListParagraph"/>
              <w:numPr>
                <w:ilvl w:val="0"/>
                <w:numId w:val="45"/>
              </w:numPr>
              <w:ind w:left="284"/>
              <w:contextualSpacing w:val="0"/>
              <w:rPr>
                <w:sz w:val="18"/>
                <w:szCs w:val="18"/>
              </w:rPr>
            </w:pPr>
            <w:r w:rsidRPr="00985F72">
              <w:rPr>
                <w:sz w:val="18"/>
                <w:szCs w:val="18"/>
              </w:rPr>
              <w:t>An integrated or central “coordination” body (ICBF) with strong working links with government</w:t>
            </w:r>
          </w:p>
          <w:p w14:paraId="7700EA3D" w14:textId="5659CA8A" w:rsidR="00FB5111" w:rsidRDefault="00FB5111" w:rsidP="00FB5111">
            <w:pPr>
              <w:pStyle w:val="ListParagraph"/>
              <w:numPr>
                <w:ilvl w:val="0"/>
                <w:numId w:val="45"/>
              </w:numPr>
              <w:ind w:left="284"/>
              <w:contextualSpacing w:val="0"/>
              <w:rPr>
                <w:sz w:val="18"/>
                <w:szCs w:val="18"/>
              </w:rPr>
            </w:pPr>
            <w:r w:rsidRPr="00985F72">
              <w:rPr>
                <w:sz w:val="18"/>
                <w:szCs w:val="18"/>
              </w:rPr>
              <w:t>Very strong push to tackle methane</w:t>
            </w:r>
          </w:p>
          <w:p w14:paraId="732E67A1" w14:textId="480E6E2B" w:rsidR="00FB5111" w:rsidRDefault="00C510DB" w:rsidP="00E44B8E">
            <w:pPr>
              <w:pStyle w:val="ListParagraph"/>
              <w:numPr>
                <w:ilvl w:val="0"/>
                <w:numId w:val="45"/>
              </w:numPr>
              <w:ind w:left="284"/>
              <w:contextualSpacing w:val="0"/>
            </w:pPr>
            <w:r>
              <w:rPr>
                <w:sz w:val="18"/>
                <w:szCs w:val="18"/>
              </w:rPr>
              <w:t>D</w:t>
            </w:r>
            <w:r w:rsidRPr="00C510DB">
              <w:rPr>
                <w:sz w:val="18"/>
                <w:szCs w:val="18"/>
              </w:rPr>
              <w:t xml:space="preserve">iscussions happening at the moment that could ensure that starts in 2023, with then a </w:t>
            </w:r>
            <w:proofErr w:type="gramStart"/>
            <w:r w:rsidRPr="00C510DB">
              <w:rPr>
                <w:sz w:val="18"/>
                <w:szCs w:val="18"/>
              </w:rPr>
              <w:t>3 year</w:t>
            </w:r>
            <w:proofErr w:type="gramEnd"/>
            <w:r w:rsidRPr="00C510DB">
              <w:rPr>
                <w:sz w:val="18"/>
                <w:szCs w:val="18"/>
              </w:rPr>
              <w:t xml:space="preserve"> roll-out plan to have it in place by 2026.</w:t>
            </w:r>
            <w:r w:rsidR="00980D57">
              <w:rPr>
                <w:sz w:val="18"/>
                <w:szCs w:val="18"/>
              </w:rPr>
              <w:t xml:space="preserve">  B</w:t>
            </w:r>
            <w:r w:rsidR="00980D57" w:rsidRPr="00980D57">
              <w:rPr>
                <w:sz w:val="18"/>
                <w:szCs w:val="18"/>
              </w:rPr>
              <w:t>road farmer, govt, industry support is key</w:t>
            </w:r>
            <w:r w:rsidR="00D27B51">
              <w:rPr>
                <w:sz w:val="18"/>
                <w:szCs w:val="18"/>
              </w:rPr>
              <w:t xml:space="preserve">, as they </w:t>
            </w:r>
            <w:r w:rsidR="00980D57" w:rsidRPr="00980D57">
              <w:rPr>
                <w:sz w:val="18"/>
                <w:szCs w:val="18"/>
              </w:rPr>
              <w:t>need to have the funding then committed on an annual basis thereafter (target €15/animal, all costs). Having a model that is now working on the ground (</w:t>
            </w:r>
            <w:proofErr w:type="gramStart"/>
            <w:r w:rsidR="00980D57" w:rsidRPr="00980D57">
              <w:rPr>
                <w:sz w:val="18"/>
                <w:szCs w:val="18"/>
              </w:rPr>
              <w:t>i.e.</w:t>
            </w:r>
            <w:proofErr w:type="gramEnd"/>
            <w:r w:rsidR="00980D57" w:rsidRPr="00980D57">
              <w:rPr>
                <w:sz w:val="18"/>
                <w:szCs w:val="18"/>
              </w:rPr>
              <w:t xml:space="preserve"> 500 herds &amp; 50k calves per year), which could be rapidly scaled up as/when required, is crucial to that.</w:t>
            </w:r>
          </w:p>
        </w:tc>
      </w:tr>
    </w:tbl>
    <w:p w14:paraId="6D6BBE2C" w14:textId="77777777" w:rsidR="00733B00" w:rsidRDefault="00733B00" w:rsidP="00733B00">
      <w:pPr>
        <w:jc w:val="center"/>
      </w:pPr>
      <w:r>
        <w:rPr>
          <w:noProof/>
        </w:rPr>
        <w:lastRenderedPageBreak/>
        <w:drawing>
          <wp:inline distT="0" distB="0" distL="0" distR="0" wp14:anchorId="2796AAEE" wp14:editId="5A282315">
            <wp:extent cx="4200525" cy="5381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00525" cy="5381625"/>
                    </a:xfrm>
                    <a:prstGeom prst="rect">
                      <a:avLst/>
                    </a:prstGeom>
                  </pic:spPr>
                </pic:pic>
              </a:graphicData>
            </a:graphic>
          </wp:inline>
        </w:drawing>
      </w:r>
    </w:p>
    <w:p w14:paraId="596B7E7E" w14:textId="77777777" w:rsidR="00733B00" w:rsidRDefault="00733B00" w:rsidP="00733B00">
      <w:pPr>
        <w:spacing w:line="360" w:lineRule="auto"/>
        <w:ind w:left="-709" w:right="-188"/>
        <w:jc w:val="center"/>
      </w:pPr>
      <w:r>
        <w:rPr>
          <w:noProof/>
        </w:rPr>
        <w:lastRenderedPageBreak/>
        <w:drawing>
          <wp:inline distT="0" distB="0" distL="0" distR="0" wp14:anchorId="50D6C66D" wp14:editId="5A872FB8">
            <wp:extent cx="4238625" cy="5181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38625" cy="5181600"/>
                    </a:xfrm>
                    <a:prstGeom prst="rect">
                      <a:avLst/>
                    </a:prstGeom>
                  </pic:spPr>
                </pic:pic>
              </a:graphicData>
            </a:graphic>
          </wp:inline>
        </w:drawing>
      </w:r>
    </w:p>
    <w:p w14:paraId="0BE07FD1" w14:textId="77777777" w:rsidR="00733B00" w:rsidRDefault="00733B00" w:rsidP="00733B00">
      <w:pPr>
        <w:spacing w:line="360" w:lineRule="auto"/>
        <w:ind w:left="-709" w:right="-188"/>
      </w:pPr>
    </w:p>
    <w:p w14:paraId="3E9438D0" w14:textId="77777777" w:rsidR="00733B00" w:rsidRDefault="00733B00" w:rsidP="00733B00">
      <w:pPr>
        <w:spacing w:line="360" w:lineRule="auto"/>
        <w:ind w:left="-709" w:right="-188"/>
      </w:pPr>
    </w:p>
    <w:p w14:paraId="57544CC4" w14:textId="77777777" w:rsidR="00733B00" w:rsidRDefault="00733B00" w:rsidP="00733B00">
      <w:pPr>
        <w:spacing w:line="360" w:lineRule="auto"/>
        <w:ind w:left="-709" w:right="-188"/>
        <w:jc w:val="center"/>
      </w:pPr>
      <w:r>
        <w:rPr>
          <w:noProof/>
        </w:rPr>
        <w:drawing>
          <wp:inline distT="0" distB="0" distL="0" distR="0" wp14:anchorId="0F3E83CF" wp14:editId="6C534721">
            <wp:extent cx="4143375" cy="2266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43375" cy="2266950"/>
                    </a:xfrm>
                    <a:prstGeom prst="rect">
                      <a:avLst/>
                    </a:prstGeom>
                  </pic:spPr>
                </pic:pic>
              </a:graphicData>
            </a:graphic>
          </wp:inline>
        </w:drawing>
      </w:r>
    </w:p>
    <w:p w14:paraId="5811E6CD" w14:textId="77777777" w:rsidR="00733B00" w:rsidRDefault="00733B00" w:rsidP="00733B00">
      <w:pPr>
        <w:spacing w:line="360" w:lineRule="auto"/>
        <w:ind w:left="-709" w:right="-188"/>
      </w:pPr>
    </w:p>
    <w:p w14:paraId="41D01A05" w14:textId="77777777" w:rsidR="00733B00" w:rsidRDefault="00733B00" w:rsidP="00733B00">
      <w:pPr>
        <w:spacing w:line="360" w:lineRule="auto"/>
        <w:ind w:left="-709" w:right="-188"/>
        <w:jc w:val="center"/>
      </w:pPr>
      <w:r>
        <w:rPr>
          <w:noProof/>
        </w:rPr>
        <w:lastRenderedPageBreak/>
        <w:drawing>
          <wp:inline distT="0" distB="0" distL="0" distR="0" wp14:anchorId="51DCC043" wp14:editId="1CC8AD2C">
            <wp:extent cx="4171950" cy="2190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71950" cy="2190750"/>
                    </a:xfrm>
                    <a:prstGeom prst="rect">
                      <a:avLst/>
                    </a:prstGeom>
                  </pic:spPr>
                </pic:pic>
              </a:graphicData>
            </a:graphic>
          </wp:inline>
        </w:drawing>
      </w:r>
    </w:p>
    <w:p w14:paraId="6782F998" w14:textId="77777777" w:rsidR="00733B00" w:rsidRDefault="00733B00" w:rsidP="00733B00">
      <w:pPr>
        <w:spacing w:line="360" w:lineRule="auto"/>
        <w:ind w:left="-709" w:right="-188"/>
      </w:pPr>
    </w:p>
    <w:p w14:paraId="26AE3CDF" w14:textId="77777777" w:rsidR="00733B00" w:rsidRDefault="00733B00" w:rsidP="00733B00">
      <w:pPr>
        <w:spacing w:line="360" w:lineRule="auto"/>
        <w:ind w:left="-709" w:right="-188"/>
        <w:jc w:val="center"/>
      </w:pPr>
      <w:r>
        <w:rPr>
          <w:noProof/>
        </w:rPr>
        <w:drawing>
          <wp:inline distT="0" distB="0" distL="0" distR="0" wp14:anchorId="59A83ADD" wp14:editId="25E70DDF">
            <wp:extent cx="4162425" cy="5153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62425" cy="5153025"/>
                    </a:xfrm>
                    <a:prstGeom prst="rect">
                      <a:avLst/>
                    </a:prstGeom>
                  </pic:spPr>
                </pic:pic>
              </a:graphicData>
            </a:graphic>
          </wp:inline>
        </w:drawing>
      </w:r>
      <w:bookmarkStart w:id="221" w:name="End_Cromie"/>
      <w:bookmarkEnd w:id="221"/>
    </w:p>
    <w:p w14:paraId="05620C22" w14:textId="77777777" w:rsidR="00733B00" w:rsidRPr="00C74408" w:rsidRDefault="00733B00" w:rsidP="00733B00"/>
    <w:p w14:paraId="1D783504" w14:textId="6460FE86" w:rsidR="00733B00" w:rsidRDefault="00733B00" w:rsidP="00733B00"/>
    <w:sectPr w:rsidR="00733B00" w:rsidSect="0059390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61BA" w14:textId="77777777" w:rsidR="009A5F60" w:rsidRDefault="009A5F60" w:rsidP="005F00BF">
      <w:r>
        <w:separator/>
      </w:r>
    </w:p>
  </w:endnote>
  <w:endnote w:type="continuationSeparator" w:id="0">
    <w:p w14:paraId="719BFD9C" w14:textId="77777777" w:rsidR="009A5F60" w:rsidRDefault="009A5F60" w:rsidP="005F00BF">
      <w:r>
        <w:continuationSeparator/>
      </w:r>
    </w:p>
  </w:endnote>
  <w:endnote w:type="continuationNotice" w:id="1">
    <w:p w14:paraId="7A9DAE16" w14:textId="77777777" w:rsidR="009A5F60" w:rsidRDefault="009A5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645458"/>
      <w:docPartObj>
        <w:docPartGallery w:val="Page Numbers (Bottom of Page)"/>
        <w:docPartUnique/>
      </w:docPartObj>
    </w:sdtPr>
    <w:sdtEndPr>
      <w:rPr>
        <w:noProof/>
      </w:rPr>
    </w:sdtEndPr>
    <w:sdtContent>
      <w:p w14:paraId="47AB5F75" w14:textId="2174A8C2" w:rsidR="00A31F19" w:rsidRDefault="00A31F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67B06F" w14:textId="77777777" w:rsidR="00A31F19" w:rsidRDefault="00A31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703332"/>
      <w:docPartObj>
        <w:docPartGallery w:val="Page Numbers (Bottom of Page)"/>
        <w:docPartUnique/>
      </w:docPartObj>
    </w:sdtPr>
    <w:sdtEndPr>
      <w:rPr>
        <w:noProof/>
      </w:rPr>
    </w:sdtEndPr>
    <w:sdtContent>
      <w:p w14:paraId="2D4726C0" w14:textId="1470CF69" w:rsidR="00A31F19" w:rsidRDefault="00A31F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1D6E0C" w14:textId="77777777" w:rsidR="00A31F19" w:rsidRDefault="00A31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F35A3" w14:textId="77777777" w:rsidR="009A5F60" w:rsidRDefault="009A5F60" w:rsidP="005F00BF">
      <w:r>
        <w:separator/>
      </w:r>
    </w:p>
  </w:footnote>
  <w:footnote w:type="continuationSeparator" w:id="0">
    <w:p w14:paraId="6BFBD558" w14:textId="77777777" w:rsidR="009A5F60" w:rsidRDefault="009A5F60" w:rsidP="005F00BF">
      <w:r>
        <w:continuationSeparator/>
      </w:r>
    </w:p>
  </w:footnote>
  <w:footnote w:type="continuationNotice" w:id="1">
    <w:p w14:paraId="71BB8FE4" w14:textId="77777777" w:rsidR="009A5F60" w:rsidRDefault="009A5F60"/>
  </w:footnote>
  <w:footnote w:id="2">
    <w:p w14:paraId="198102FD" w14:textId="77777777" w:rsidR="00A31F19" w:rsidRDefault="00A31F19" w:rsidP="008F6EB4">
      <w:pPr>
        <w:pStyle w:val="FootnoteText"/>
      </w:pPr>
      <w:r>
        <w:rPr>
          <w:rStyle w:val="FootnoteReference"/>
        </w:rPr>
        <w:footnoteRef/>
      </w:r>
      <w:r>
        <w:t xml:space="preserve"> </w:t>
      </w:r>
      <w:r w:rsidRPr="00DB46FF">
        <w:t>https://www.collinsdictionary.com/dictionary/english/scoping-study</w:t>
      </w:r>
    </w:p>
  </w:footnote>
  <w:footnote w:id="3">
    <w:p w14:paraId="4C9B695C" w14:textId="6C8D8260" w:rsidR="00A31F19" w:rsidRDefault="00A31F19">
      <w:pPr>
        <w:pStyle w:val="FootnoteText"/>
      </w:pPr>
      <w:r>
        <w:rPr>
          <w:rStyle w:val="FootnoteReference"/>
        </w:rPr>
        <w:footnoteRef/>
      </w:r>
      <w:r>
        <w:t xml:space="preserve"> </w:t>
      </w:r>
      <w:r w:rsidRPr="004A54DF">
        <w:t xml:space="preserve">MLA State of the Industry Report </w:t>
      </w:r>
      <w:r>
        <w:t>(</w:t>
      </w:r>
      <w:r w:rsidRPr="004A54DF">
        <w:t>2020</w:t>
      </w:r>
      <w:r>
        <w:t xml:space="preserve">) </w:t>
      </w:r>
      <w:r w:rsidRPr="00245B8E">
        <w:t>https://www.mla.com.au/globalassets/mla-corporate/prices--markets/documents/trends--analysis/</w:t>
      </w:r>
      <w:proofErr w:type="spellStart"/>
      <w:r w:rsidRPr="00245B8E">
        <w:t>soti</w:t>
      </w:r>
      <w:proofErr w:type="spellEnd"/>
      <w:r w:rsidRPr="00245B8E">
        <w:t>-report/mla-state-of-industry-report-2020.pdf</w:t>
      </w:r>
    </w:p>
  </w:footnote>
  <w:footnote w:id="4">
    <w:p w14:paraId="3A7A60E3" w14:textId="55CE3BDC" w:rsidR="00A31F19" w:rsidRDefault="00A31F19">
      <w:pPr>
        <w:pStyle w:val="FootnoteText"/>
      </w:pPr>
      <w:r>
        <w:rPr>
          <w:rStyle w:val="FootnoteReference"/>
        </w:rPr>
        <w:footnoteRef/>
      </w:r>
      <w:r>
        <w:t xml:space="preserve"> </w:t>
      </w:r>
      <w:r w:rsidRPr="00747DAE">
        <w:t>https://www.safemeat.com.au/</w:t>
      </w:r>
    </w:p>
  </w:footnote>
  <w:footnote w:id="5">
    <w:p w14:paraId="2718C2F9" w14:textId="5F1EB73F" w:rsidR="00A31F19" w:rsidRDefault="00A31F19">
      <w:pPr>
        <w:pStyle w:val="FootnoteText"/>
      </w:pPr>
      <w:r>
        <w:rPr>
          <w:rStyle w:val="FootnoteReference"/>
        </w:rPr>
        <w:footnoteRef/>
      </w:r>
      <w:r>
        <w:t xml:space="preserve"> </w:t>
      </w:r>
      <w:r w:rsidRPr="00C05885">
        <w:t>https://www.agriculture.gov.au/sites/default/files/sitecollectiondocuments/animal-plant/animal-health/livestock-movement/beef-movement-ead.pdf</w:t>
      </w:r>
    </w:p>
  </w:footnote>
  <w:footnote w:id="6">
    <w:p w14:paraId="4BB6E9E6" w14:textId="6B204F0E" w:rsidR="00A31F19" w:rsidRPr="00233632" w:rsidRDefault="00A31F19">
      <w:pPr>
        <w:pStyle w:val="FootnoteText"/>
      </w:pPr>
      <w:r>
        <w:rPr>
          <w:rStyle w:val="FootnoteReference"/>
        </w:rPr>
        <w:footnoteRef/>
      </w:r>
      <w:r>
        <w:t xml:space="preserve"> </w:t>
      </w:r>
      <w:r w:rsidRPr="00D24A69">
        <w:t xml:space="preserve">East, I. and Foreman, I. (2011), The structure, </w:t>
      </w:r>
      <w:proofErr w:type="gramStart"/>
      <w:r w:rsidRPr="00D24A69">
        <w:t>dynamics</w:t>
      </w:r>
      <w:proofErr w:type="gramEnd"/>
      <w:r w:rsidRPr="00D24A69">
        <w:t xml:space="preserve"> and movement patterns of the Australian sheep industry. Australian Veterinary Journal, 89: 477-489</w:t>
      </w:r>
      <w:r w:rsidRPr="00233632">
        <w:t xml:space="preserve">. </w:t>
      </w:r>
      <w:hyperlink r:id="rId1" w:history="1">
        <w:r w:rsidRPr="00233632">
          <w:rPr>
            <w:rStyle w:val="Hyperlink"/>
            <w:color w:val="auto"/>
            <w:u w:val="none"/>
          </w:rPr>
          <w:t>https://doi.org/10.1111/j.1751-0813.2011.00852.x</w:t>
        </w:r>
      </w:hyperlink>
    </w:p>
  </w:footnote>
  <w:footnote w:id="7">
    <w:p w14:paraId="0CCF0658" w14:textId="6A2270DF" w:rsidR="00A31F19" w:rsidRDefault="00A31F19">
      <w:pPr>
        <w:pStyle w:val="FootnoteText"/>
      </w:pPr>
      <w:r>
        <w:rPr>
          <w:rStyle w:val="FootnoteReference"/>
        </w:rPr>
        <w:footnoteRef/>
      </w:r>
      <w:r>
        <w:t xml:space="preserve"> </w:t>
      </w:r>
      <w:r w:rsidRPr="005E6F0E">
        <w:t>Perrett, E. (2015). Are we killing the golden sheep? The changing size and composition of the Australian sheep flock: Implications for production and profitability</w:t>
      </w:r>
      <w:r>
        <w:t>. Australasian Business Perspective Paper 101</w:t>
      </w:r>
      <w:r w:rsidRPr="005E6F0E">
        <w:t>(No. 398-2016-24420).</w:t>
      </w:r>
      <w:r w:rsidRPr="00BD00FF">
        <w:t xml:space="preserve"> </w:t>
      </w:r>
      <w:r>
        <w:t xml:space="preserve"> </w:t>
      </w:r>
      <w:r w:rsidRPr="00BD00FF">
        <w:t>https://ageconsearch.umn.edu/record/234412/</w:t>
      </w:r>
    </w:p>
  </w:footnote>
  <w:footnote w:id="8">
    <w:p w14:paraId="11986445" w14:textId="2080C980" w:rsidR="00A31F19" w:rsidRDefault="00A31F19">
      <w:pPr>
        <w:pStyle w:val="FootnoteText"/>
      </w:pPr>
      <w:r>
        <w:rPr>
          <w:rStyle w:val="FootnoteReference"/>
        </w:rPr>
        <w:footnoteRef/>
      </w:r>
      <w:r>
        <w:t xml:space="preserve"> </w:t>
      </w:r>
      <w:r w:rsidRPr="00732B07">
        <w:t>http://arcba.une.edu.au/reports-downloads/registration-statistics/</w:t>
      </w:r>
    </w:p>
  </w:footnote>
  <w:footnote w:id="9">
    <w:p w14:paraId="59C82327" w14:textId="77777777" w:rsidR="00A31F19" w:rsidRPr="00F93D84" w:rsidRDefault="00A31F19" w:rsidP="00DE1A1E">
      <w:pPr>
        <w:pStyle w:val="FootnoteText"/>
        <w:rPr>
          <w:rStyle w:val="FootnoteReference"/>
          <w:vertAlign w:val="baseline"/>
        </w:rPr>
      </w:pPr>
      <w:r w:rsidRPr="00F93D84">
        <w:rPr>
          <w:rStyle w:val="FootnoteReference"/>
        </w:rPr>
        <w:footnoteRef/>
      </w:r>
      <w:r w:rsidRPr="00F93D84">
        <w:rPr>
          <w:rStyle w:val="FootnoteReference"/>
          <w:vertAlign w:val="baseline"/>
        </w:rPr>
        <w:t xml:space="preserve"> </w:t>
      </w:r>
      <w:r w:rsidRPr="000745C1">
        <w:rPr>
          <w:rStyle w:val="FootnoteReference"/>
          <w:vertAlign w:val="baseline"/>
        </w:rPr>
        <w:t>www.sheepgenetics.org.au</w:t>
      </w:r>
    </w:p>
  </w:footnote>
  <w:footnote w:id="10">
    <w:p w14:paraId="70D91E63" w14:textId="5C62B1D8" w:rsidR="00A31F19" w:rsidRPr="001A6A6E" w:rsidRDefault="00A31F19">
      <w:pPr>
        <w:pStyle w:val="FootnoteText"/>
        <w:rPr>
          <w:rStyle w:val="FootnoteReference"/>
          <w:vertAlign w:val="baseline"/>
        </w:rPr>
      </w:pPr>
      <w:r w:rsidRPr="008F4C5A">
        <w:rPr>
          <w:rStyle w:val="FootnoteReference"/>
          <w:rFonts w:cstheme="minorHAnsi"/>
          <w:sz w:val="18"/>
          <w:szCs w:val="18"/>
        </w:rPr>
        <w:footnoteRef/>
      </w:r>
      <w:r w:rsidRPr="008F4C5A">
        <w:rPr>
          <w:rFonts w:cstheme="minorHAnsi"/>
          <w:sz w:val="18"/>
          <w:szCs w:val="18"/>
        </w:rPr>
        <w:t xml:space="preserve"> </w:t>
      </w:r>
      <w:r w:rsidRPr="000745C1">
        <w:rPr>
          <w:rStyle w:val="FootnoteReference"/>
          <w:vertAlign w:val="baseline"/>
        </w:rPr>
        <w:t>https://breedplan.une.edu.au</w:t>
      </w:r>
    </w:p>
  </w:footnote>
  <w:footnote w:id="11">
    <w:p w14:paraId="00AF0C93" w14:textId="1732B58C" w:rsidR="00A31F19" w:rsidRPr="000745C1" w:rsidRDefault="00A31F19">
      <w:pPr>
        <w:pStyle w:val="FootnoteText"/>
        <w:rPr>
          <w:rStyle w:val="FootnoteReference"/>
          <w:vertAlign w:val="baseline"/>
        </w:rPr>
      </w:pPr>
      <w:r>
        <w:rPr>
          <w:rStyle w:val="FootnoteReference"/>
        </w:rPr>
        <w:footnoteRef/>
      </w:r>
      <w:r>
        <w:t xml:space="preserve"> </w:t>
      </w:r>
      <w:r w:rsidRPr="000745C1">
        <w:rPr>
          <w:rStyle w:val="FootnoteReference"/>
          <w:vertAlign w:val="baseline"/>
        </w:rPr>
        <w:t>https://www.abs.gov.au/statistics/industry/agriculture/agricultural-commodities-australia/2019-20/71210DO001_201920.xlsx</w:t>
      </w:r>
    </w:p>
  </w:footnote>
  <w:footnote w:id="12">
    <w:p w14:paraId="10DB34F3" w14:textId="77777777" w:rsidR="00A31F19" w:rsidRDefault="00A31F19" w:rsidP="00A91374">
      <w:pPr>
        <w:pStyle w:val="FootnoteText"/>
      </w:pPr>
      <w:r>
        <w:rPr>
          <w:rStyle w:val="FootnoteReference"/>
        </w:rPr>
        <w:footnoteRef/>
      </w:r>
      <w:r>
        <w:t xml:space="preserve"> </w:t>
      </w:r>
      <w:r w:rsidRPr="000745C1">
        <w:t>https://apps.agriculture.gov.au/mla/</w:t>
      </w:r>
    </w:p>
  </w:footnote>
  <w:footnote w:id="13">
    <w:p w14:paraId="6C18418D" w14:textId="697A8DA2" w:rsidR="00A31F19" w:rsidRDefault="00A31F19">
      <w:pPr>
        <w:pStyle w:val="FootnoteText"/>
      </w:pPr>
      <w:r>
        <w:rPr>
          <w:rStyle w:val="FootnoteReference"/>
        </w:rPr>
        <w:footnoteRef/>
      </w:r>
      <w:r>
        <w:t xml:space="preserve"> </w:t>
      </w:r>
      <w:r w:rsidRPr="00067204">
        <w:t xml:space="preserve">Fordyce, G., Richard, </w:t>
      </w:r>
      <w:proofErr w:type="gramStart"/>
      <w:r w:rsidRPr="00067204">
        <w:t>R.,</w:t>
      </w:r>
      <w:proofErr w:type="spellStart"/>
      <w:r w:rsidRPr="00067204">
        <w:t>Moravek</w:t>
      </w:r>
      <w:proofErr w:type="spellEnd"/>
      <w:proofErr w:type="gramEnd"/>
      <w:r w:rsidRPr="00067204">
        <w:t xml:space="preserve">, T and McGowan, M.R. (2021) “Australian cattle herd: a new perspective on structure, performance and production”. Animal Production </w:t>
      </w:r>
      <w:proofErr w:type="gramStart"/>
      <w:r w:rsidRPr="00067204">
        <w:t>Science ,</w:t>
      </w:r>
      <w:proofErr w:type="gramEnd"/>
      <w:r w:rsidRPr="00067204">
        <w:t xml:space="preserve"> https://doi.org/10.1071/AN20342</w:t>
      </w:r>
    </w:p>
  </w:footnote>
  <w:footnote w:id="14">
    <w:p w14:paraId="53C63FC3" w14:textId="1DD39BC6" w:rsidR="00A31F19" w:rsidRPr="001A6A6E" w:rsidRDefault="00A31F19" w:rsidP="004E3A16">
      <w:pPr>
        <w:pStyle w:val="FootnoteText"/>
        <w:ind w:right="-188"/>
        <w:rPr>
          <w:i/>
          <w:iCs/>
          <w:sz w:val="22"/>
          <w:szCs w:val="22"/>
        </w:rPr>
      </w:pPr>
      <w:r>
        <w:rPr>
          <w:rStyle w:val="FootnoteReference"/>
        </w:rPr>
        <w:footnoteRef/>
      </w:r>
      <w:r>
        <w:t xml:space="preserve"> </w:t>
      </w:r>
      <w:r w:rsidRPr="004E3A16">
        <w:rPr>
          <w:sz w:val="18"/>
          <w:szCs w:val="18"/>
        </w:rPr>
        <w:t>https://www.mla.com.au/contentassets/24b7d0ea1bb44f7097ae83bab1f7932f/b.eva.0001_b.eva.0002_final_report.pdf</w:t>
      </w:r>
    </w:p>
  </w:footnote>
  <w:footnote w:id="15">
    <w:p w14:paraId="5FFB0380" w14:textId="63B10990" w:rsidR="00A31F19" w:rsidRDefault="00A31F19">
      <w:pPr>
        <w:pStyle w:val="FootnoteText"/>
      </w:pPr>
      <w:r>
        <w:rPr>
          <w:rStyle w:val="FootnoteReference"/>
        </w:rPr>
        <w:footnoteRef/>
      </w:r>
      <w:r>
        <w:t xml:space="preserve"> </w:t>
      </w:r>
      <w:r w:rsidRPr="006835FF">
        <w:t>https://www.agriculture.gov.au/sites/default/files/sitecollectiondocuments/animal-plant/animal-health/livestock-movement/beef-movement-ead.pdf</w:t>
      </w:r>
    </w:p>
  </w:footnote>
  <w:footnote w:id="16">
    <w:p w14:paraId="3B8F8DEC" w14:textId="62E30B49" w:rsidR="00A31F19" w:rsidRDefault="00A31F19">
      <w:pPr>
        <w:pStyle w:val="FootnoteText"/>
      </w:pPr>
      <w:r>
        <w:rPr>
          <w:rStyle w:val="FootnoteReference"/>
        </w:rPr>
        <w:footnoteRef/>
      </w:r>
      <w:r>
        <w:t xml:space="preserve"> </w:t>
      </w:r>
      <w:r w:rsidRPr="002C1E89">
        <w:t>https://www.abs.gov.au/statistics/industry/agriculture/agricultural-commodities-australia/2019-20/71210DO003_201920.csv</w:t>
      </w:r>
    </w:p>
  </w:footnote>
  <w:footnote w:id="17">
    <w:p w14:paraId="1623F47C" w14:textId="25224306" w:rsidR="00A31F19" w:rsidRDefault="00A31F19">
      <w:pPr>
        <w:pStyle w:val="FootnoteText"/>
      </w:pPr>
      <w:r>
        <w:rPr>
          <w:rStyle w:val="FootnoteReference"/>
        </w:rPr>
        <w:footnoteRef/>
      </w:r>
      <w:r>
        <w:t xml:space="preserve"> </w:t>
      </w:r>
      <w:r w:rsidRPr="00E31379">
        <w:t xml:space="preserve"> ABARES uses farm total cash receipts to define farm size</w:t>
      </w:r>
    </w:p>
  </w:footnote>
  <w:footnote w:id="18">
    <w:p w14:paraId="686601AD" w14:textId="2CE03A82" w:rsidR="00A31F19" w:rsidRDefault="00A31F19">
      <w:pPr>
        <w:pStyle w:val="FootnoteText"/>
      </w:pPr>
      <w:r>
        <w:rPr>
          <w:rStyle w:val="FootnoteReference"/>
        </w:rPr>
        <w:footnoteRef/>
      </w:r>
      <w:r>
        <w:t xml:space="preserve"> </w:t>
      </w:r>
      <w:r w:rsidRPr="002C1E89">
        <w:t>https://www.agriculture.gov.au/abares/research-topics/surveys/disaggregating-farm-size</w:t>
      </w:r>
    </w:p>
  </w:footnote>
  <w:footnote w:id="19">
    <w:p w14:paraId="28F0D4D0" w14:textId="1088D27D" w:rsidR="00A31F19" w:rsidRDefault="00A31F19">
      <w:pPr>
        <w:pStyle w:val="FootnoteText"/>
      </w:pPr>
      <w:r>
        <w:rPr>
          <w:rStyle w:val="FootnoteReference"/>
        </w:rPr>
        <w:footnoteRef/>
      </w:r>
      <w:r>
        <w:t xml:space="preserve"> </w:t>
      </w:r>
      <w:r w:rsidRPr="008E3F7E">
        <w:t>https://www.mla.com.au/research-and-development/feeding-finishing-nutrition/Lotfeeding-intensive-finishing/backgrounding/</w:t>
      </w:r>
    </w:p>
  </w:footnote>
  <w:footnote w:id="20">
    <w:p w14:paraId="18A1B819" w14:textId="09C1FFD3" w:rsidR="00A31F19" w:rsidRDefault="00A31F19">
      <w:pPr>
        <w:pStyle w:val="FootnoteText"/>
      </w:pPr>
      <w:r>
        <w:rPr>
          <w:rStyle w:val="FootnoteReference"/>
        </w:rPr>
        <w:footnoteRef/>
      </w:r>
      <w:r>
        <w:t xml:space="preserve"> </w:t>
      </w:r>
      <w:r w:rsidRPr="00EC4695">
        <w:t>https://www.feedlots.com.au/overview</w:t>
      </w:r>
    </w:p>
  </w:footnote>
  <w:footnote w:id="21">
    <w:p w14:paraId="34E04798" w14:textId="3B94CCAC" w:rsidR="00A31F19" w:rsidRDefault="00A31F19">
      <w:pPr>
        <w:pStyle w:val="FootnoteText"/>
      </w:pPr>
      <w:r>
        <w:rPr>
          <w:rStyle w:val="FootnoteReference"/>
        </w:rPr>
        <w:footnoteRef/>
      </w:r>
      <w:r>
        <w:t xml:space="preserve"> </w:t>
      </w:r>
      <w:r w:rsidRPr="00E4406A">
        <w:t>https://www.mla.com.au/prices-markets/market-news/2015/grain-finished-lambs-yield-higher-returns--abares/</w:t>
      </w:r>
    </w:p>
  </w:footnote>
  <w:footnote w:id="22">
    <w:p w14:paraId="62572FC3" w14:textId="4D9ACB99" w:rsidR="00A31F19" w:rsidRDefault="00A31F19">
      <w:pPr>
        <w:pStyle w:val="FootnoteText"/>
      </w:pPr>
      <w:r>
        <w:rPr>
          <w:rStyle w:val="FootnoteReference"/>
        </w:rPr>
        <w:footnoteRef/>
      </w:r>
      <w:r>
        <w:t xml:space="preserve"> </w:t>
      </w:r>
      <w:r w:rsidRPr="00E4406A">
        <w:t>https://amic.org.au/about-us/</w:t>
      </w:r>
    </w:p>
  </w:footnote>
  <w:footnote w:id="23">
    <w:p w14:paraId="3428B980" w14:textId="31145E19" w:rsidR="00A31F19" w:rsidRDefault="00A31F19">
      <w:pPr>
        <w:pStyle w:val="FootnoteText"/>
      </w:pPr>
      <w:r>
        <w:rPr>
          <w:rStyle w:val="FootnoteReference"/>
        </w:rPr>
        <w:footnoteRef/>
      </w:r>
      <w:r>
        <w:t xml:space="preserve"> </w:t>
      </w:r>
      <w:r w:rsidRPr="00272CCE">
        <w:t>https://www.ampc.com.au/about/ampc-membership</w:t>
      </w:r>
    </w:p>
  </w:footnote>
  <w:footnote w:id="24">
    <w:p w14:paraId="2E2ED88A" w14:textId="79015EFF" w:rsidR="00A31F19" w:rsidRDefault="00A31F19">
      <w:pPr>
        <w:pStyle w:val="FootnoteText"/>
      </w:pPr>
      <w:r>
        <w:rPr>
          <w:rStyle w:val="FootnoteReference"/>
        </w:rPr>
        <w:footnoteRef/>
      </w:r>
      <w:r>
        <w:t xml:space="preserve"> </w:t>
      </w:r>
      <w:r w:rsidRPr="00B67E56">
        <w:t>https://www.mla.com.au/globalassets/mla-corporate/prices--markets/documents/os-markets/red-meat-market-snapshots/2019/mla-ms-australia-beef-sheep-2019.pdf</w:t>
      </w:r>
    </w:p>
  </w:footnote>
  <w:footnote w:id="25">
    <w:p w14:paraId="1515256A" w14:textId="6CC4D1B1" w:rsidR="00A31F19" w:rsidRDefault="00A31F19">
      <w:pPr>
        <w:pStyle w:val="FootnoteText"/>
      </w:pPr>
      <w:r>
        <w:rPr>
          <w:rStyle w:val="FootnoteReference"/>
        </w:rPr>
        <w:footnoteRef/>
      </w:r>
      <w:r>
        <w:t xml:space="preserve"> </w:t>
      </w:r>
      <w:r w:rsidRPr="00B67E56">
        <w:t>https://www.agriculture.gov.au/animal/</w:t>
      </w:r>
      <w:r w:rsidRPr="00233632">
        <w:rPr>
          <w:u w:val="single"/>
        </w:rPr>
        <w:t>welfare</w:t>
      </w:r>
      <w:r w:rsidRPr="00B67E56">
        <w:t>/export-trade/cattle_and_sheept_export_destinations</w:t>
      </w:r>
    </w:p>
  </w:footnote>
  <w:footnote w:id="26">
    <w:p w14:paraId="3069CE1A" w14:textId="716E034B" w:rsidR="00A31F19" w:rsidRDefault="00A31F19">
      <w:pPr>
        <w:pStyle w:val="FootnoteText"/>
      </w:pPr>
      <w:r>
        <w:rPr>
          <w:rStyle w:val="FootnoteReference"/>
        </w:rPr>
        <w:footnoteRef/>
      </w:r>
      <w:r>
        <w:t xml:space="preserve"> </w:t>
      </w:r>
      <w:r w:rsidRPr="009F1A68">
        <w:t>https://www.mla.com.au/marketing-beef-and-lamb/consumer-sentiment-research/</w:t>
      </w:r>
    </w:p>
  </w:footnote>
  <w:footnote w:id="27">
    <w:p w14:paraId="6D637B59" w14:textId="1B75FEBE" w:rsidR="00A31F19" w:rsidRDefault="00A31F19">
      <w:pPr>
        <w:pStyle w:val="FootnoteText"/>
      </w:pPr>
      <w:r>
        <w:rPr>
          <w:rStyle w:val="FootnoteReference"/>
        </w:rPr>
        <w:footnoteRef/>
      </w:r>
      <w:r>
        <w:t xml:space="preserve"> </w:t>
      </w:r>
      <w:r w:rsidRPr="009F1A68">
        <w:t>https://www.mla.com.au/globalassets/mla-corporate/prices--markets/documents/os-markets/red-meat-market-snapshots/2021/global-beef-industry-and-trade-report.pdf</w:t>
      </w:r>
    </w:p>
  </w:footnote>
  <w:footnote w:id="28">
    <w:p w14:paraId="785AE7C8" w14:textId="0E0E5077" w:rsidR="00A31F19" w:rsidRDefault="00A31F19">
      <w:pPr>
        <w:pStyle w:val="FootnoteText"/>
      </w:pPr>
      <w:r>
        <w:rPr>
          <w:rStyle w:val="FootnoteReference"/>
        </w:rPr>
        <w:footnoteRef/>
      </w:r>
      <w:r>
        <w:t xml:space="preserve"> </w:t>
      </w:r>
      <w:r w:rsidRPr="009F1A68">
        <w:t>https://www.mla.com.au/globalassets/mla-corporate/prices--markets/documents/os-markets/red-meat-market-snapshots/2021/global-sheep-industry-and-trade-report.pdf</w:t>
      </w:r>
    </w:p>
  </w:footnote>
  <w:footnote w:id="29">
    <w:p w14:paraId="5B800513" w14:textId="509CE6B3" w:rsidR="00A31F19" w:rsidRDefault="00A31F19">
      <w:pPr>
        <w:pStyle w:val="FootnoteText"/>
      </w:pPr>
      <w:r>
        <w:rPr>
          <w:rStyle w:val="FootnoteReference"/>
        </w:rPr>
        <w:footnoteRef/>
      </w:r>
      <w:r>
        <w:t xml:space="preserve"> </w:t>
      </w:r>
      <w:r w:rsidRPr="001E5990">
        <w:t>https://www.mla.com.au/contentassets/1583d850bfa546d098a18dfb07c50d5e/v.lim.1505_final_report.pdf</w:t>
      </w:r>
    </w:p>
  </w:footnote>
  <w:footnote w:id="30">
    <w:p w14:paraId="093F3749" w14:textId="5103881F" w:rsidR="00A31F19" w:rsidRDefault="00A31F19">
      <w:pPr>
        <w:pStyle w:val="FootnoteText"/>
      </w:pPr>
      <w:r>
        <w:rPr>
          <w:rStyle w:val="FootnoteReference"/>
        </w:rPr>
        <w:footnoteRef/>
      </w:r>
      <w:r>
        <w:t xml:space="preserve"> </w:t>
      </w:r>
      <w:r w:rsidRPr="00491AC0">
        <w:t>https://www.mla.com.au/globalassets/mla-corporate/research-and-development/final-reports/2020/v.isc.1918-final-report.pdf</w:t>
      </w:r>
    </w:p>
  </w:footnote>
  <w:footnote w:id="31">
    <w:p w14:paraId="5CAC26BC" w14:textId="0FAC574A" w:rsidR="00A31F19" w:rsidRDefault="00A31F19">
      <w:pPr>
        <w:pStyle w:val="FootnoteText"/>
      </w:pPr>
      <w:r>
        <w:rPr>
          <w:rStyle w:val="FootnoteReference"/>
        </w:rPr>
        <w:footnoteRef/>
      </w:r>
      <w:r>
        <w:t xml:space="preserve"> </w:t>
      </w:r>
      <w:r w:rsidRPr="00171C47">
        <w:t>https://www.beefcentral.com/news/tag-retention-nlis-tag-losses-still-frustrating-producers/</w:t>
      </w:r>
    </w:p>
  </w:footnote>
  <w:footnote w:id="32">
    <w:p w14:paraId="11A71244" w14:textId="205E3EE1" w:rsidR="00A31F19" w:rsidRDefault="00A31F19">
      <w:pPr>
        <w:pStyle w:val="FootnoteText"/>
      </w:pPr>
      <w:r>
        <w:rPr>
          <w:rStyle w:val="FootnoteReference"/>
        </w:rPr>
        <w:footnoteRef/>
      </w:r>
      <w:r>
        <w:t xml:space="preserve"> </w:t>
      </w:r>
      <w:r w:rsidRPr="002B058F">
        <w:t>https://www.mla.com.au/research-and-development/reports/2021/project-summary-v.rda.0002---assessing-the-feasibility-of-an-implantable-id-for-cattle/</w:t>
      </w:r>
    </w:p>
  </w:footnote>
  <w:footnote w:id="33">
    <w:p w14:paraId="779A3995" w14:textId="75BD5FC0" w:rsidR="00A31F19" w:rsidRDefault="00A31F19">
      <w:pPr>
        <w:pStyle w:val="FootnoteText"/>
      </w:pPr>
      <w:r>
        <w:rPr>
          <w:rStyle w:val="FootnoteReference"/>
        </w:rPr>
        <w:footnoteRef/>
      </w:r>
      <w:proofErr w:type="spellStart"/>
      <w:r w:rsidRPr="00A018D0">
        <w:t>Kreitals</w:t>
      </w:r>
      <w:proofErr w:type="spellEnd"/>
      <w:r w:rsidRPr="00A018D0">
        <w:t xml:space="preserve">, N.M. (2013). “Use of multi-element profiling for the traceability of Australian pork offal and its relationship to the pork meat </w:t>
      </w:r>
      <w:proofErr w:type="spellStart"/>
      <w:r w:rsidRPr="00A018D0">
        <w:t>Physi</w:t>
      </w:r>
      <w:proofErr w:type="spellEnd"/>
      <w:r w:rsidRPr="00A018D0">
        <w:t>-Trace database”, PhD thesis, University of Western Australia</w:t>
      </w:r>
      <w:r>
        <w:t xml:space="preserve"> </w:t>
      </w:r>
      <w:r w:rsidRPr="00DC6B33">
        <w:t>https://research-repository.uwa.edu.au/files/3223911/Kreitals_Natasha_2013.pdf</w:t>
      </w:r>
    </w:p>
  </w:footnote>
  <w:footnote w:id="34">
    <w:p w14:paraId="2F05BB1E" w14:textId="77777777" w:rsidR="00A31F19" w:rsidRDefault="00A31F19" w:rsidP="000C1A0B">
      <w:pPr>
        <w:pStyle w:val="FootnoteText"/>
      </w:pPr>
      <w:r>
        <w:rPr>
          <w:rStyle w:val="FootnoteReference"/>
        </w:rPr>
        <w:footnoteRef/>
      </w:r>
      <w:r>
        <w:t xml:space="preserve"> H.A. Channon, H.A., </w:t>
      </w:r>
      <w:proofErr w:type="spellStart"/>
      <w:r>
        <w:t>D'Souzac</w:t>
      </w:r>
      <w:proofErr w:type="spellEnd"/>
      <w:r>
        <w:t xml:space="preserve">, D.N., Jarrett, R.G., Lee, G.S.H., Watling, R.J., Jolley, J.Y.C and </w:t>
      </w:r>
    </w:p>
    <w:p w14:paraId="208F2312" w14:textId="09E849B0" w:rsidR="00A31F19" w:rsidRDefault="00A31F19" w:rsidP="000C1A0B">
      <w:pPr>
        <w:pStyle w:val="FootnoteText"/>
      </w:pPr>
      <w:proofErr w:type="spellStart"/>
      <w:r>
        <w:t>Dunshea</w:t>
      </w:r>
      <w:proofErr w:type="spellEnd"/>
      <w:r>
        <w:t>, F.R. (2018). “Guaranteeing the quality and integrity of pork – An Australian case study”. Meat Science 144:186-192</w:t>
      </w:r>
    </w:p>
  </w:footnote>
  <w:footnote w:id="35">
    <w:p w14:paraId="53C0F428" w14:textId="78C4E7DF" w:rsidR="00A31F19" w:rsidRDefault="00A31F19">
      <w:pPr>
        <w:pStyle w:val="FootnoteText"/>
      </w:pPr>
      <w:r w:rsidRPr="00B8618F">
        <w:rPr>
          <w:rStyle w:val="FootnoteReference"/>
        </w:rPr>
        <w:footnoteRef/>
      </w:r>
      <w:r>
        <w:t xml:space="preserve"> </w:t>
      </w:r>
      <w:r w:rsidRPr="008C7C34">
        <w:t>https://pigpass.australianpork.com.au/faq</w:t>
      </w:r>
    </w:p>
  </w:footnote>
  <w:footnote w:id="36">
    <w:p w14:paraId="443653B5" w14:textId="6107F306" w:rsidR="00A31F19" w:rsidRDefault="00A31F19">
      <w:pPr>
        <w:pStyle w:val="FootnoteText"/>
      </w:pPr>
      <w:r>
        <w:rPr>
          <w:rStyle w:val="FootnoteReference"/>
        </w:rPr>
        <w:footnoteRef/>
      </w:r>
      <w:r>
        <w:t xml:space="preserve"> </w:t>
      </w:r>
      <w:r w:rsidRPr="008C7C34">
        <w:t>https://sourcecertain.international/about.php</w:t>
      </w:r>
    </w:p>
  </w:footnote>
  <w:footnote w:id="37">
    <w:p w14:paraId="29ABC662" w14:textId="706337A6" w:rsidR="00A31F19" w:rsidRDefault="00A31F19">
      <w:pPr>
        <w:pStyle w:val="FootnoteText"/>
      </w:pPr>
      <w:r>
        <w:rPr>
          <w:rStyle w:val="FootnoteReference"/>
        </w:rPr>
        <w:footnoteRef/>
      </w:r>
      <w:r>
        <w:t xml:space="preserve"> </w:t>
      </w:r>
      <w:r w:rsidRPr="004F1AD4">
        <w:t>https://www.tswanalytical.com.au/projects</w:t>
      </w:r>
    </w:p>
  </w:footnote>
  <w:footnote w:id="38">
    <w:p w14:paraId="2D5D1542" w14:textId="77777777" w:rsidR="00A31F19" w:rsidRDefault="00A31F19" w:rsidP="004C5446">
      <w:pPr>
        <w:pStyle w:val="FootnoteText"/>
      </w:pPr>
      <w:r>
        <w:rPr>
          <w:rStyle w:val="FootnoteReference"/>
        </w:rPr>
        <w:footnoteRef/>
      </w:r>
      <w:r>
        <w:t xml:space="preserve"> </w:t>
      </w:r>
      <w:r w:rsidRPr="004F1AD4">
        <w:t>https://australianpork.com.au/search-projects?keyword_text=physitrace&amp;project_date%5Bmin%5D=&amp;project_date%5Bmax%5D=&amp;project_category=All&amp;project_status=current&amp;sort_bef_combine=title_ASC&amp;sort_by_date=1</w:t>
      </w:r>
    </w:p>
  </w:footnote>
  <w:footnote w:id="39">
    <w:p w14:paraId="10BBE1DF" w14:textId="036D50B0" w:rsidR="00A31F19" w:rsidRDefault="00A31F19">
      <w:pPr>
        <w:pStyle w:val="FootnoteText"/>
      </w:pPr>
      <w:r>
        <w:rPr>
          <w:rStyle w:val="FootnoteReference"/>
        </w:rPr>
        <w:footnoteRef/>
      </w:r>
      <w:r>
        <w:t xml:space="preserve"> </w:t>
      </w:r>
      <w:r w:rsidRPr="004F1AD4">
        <w:t>https://oritain.com/how-it-works/the-science/</w:t>
      </w:r>
    </w:p>
  </w:footnote>
  <w:footnote w:id="40">
    <w:p w14:paraId="5EDFDA1B" w14:textId="13B06047" w:rsidR="00A31F19" w:rsidRDefault="00A31F19">
      <w:pPr>
        <w:pStyle w:val="FootnoteText"/>
      </w:pPr>
      <w:r>
        <w:rPr>
          <w:rStyle w:val="FootnoteReference"/>
        </w:rPr>
        <w:footnoteRef/>
      </w:r>
      <w:r>
        <w:t xml:space="preserve"> </w:t>
      </w:r>
      <w:r w:rsidRPr="00175A2C">
        <w:t>https://www.mla.com.au/research-and-development/reports/2020/compositional-traceability---origin-fingerprints-for-australian-beef-and-lamb/</w:t>
      </w:r>
    </w:p>
  </w:footnote>
  <w:footnote w:id="41">
    <w:p w14:paraId="3AF34A36" w14:textId="758A8B60" w:rsidR="00A31F19" w:rsidRDefault="00A31F19">
      <w:pPr>
        <w:pStyle w:val="FootnoteText"/>
      </w:pPr>
      <w:r>
        <w:rPr>
          <w:rStyle w:val="FootnoteReference"/>
        </w:rPr>
        <w:footnoteRef/>
      </w:r>
      <w:r>
        <w:t xml:space="preserve"> </w:t>
      </w:r>
      <w:r w:rsidRPr="00175A2C">
        <w:t>https://www.allflex.global/au/product/tsu-sampling-units/</w:t>
      </w:r>
    </w:p>
  </w:footnote>
  <w:footnote w:id="42">
    <w:p w14:paraId="72019B13" w14:textId="01421274" w:rsidR="00A31F19" w:rsidRDefault="00A31F19" w:rsidP="007434B4">
      <w:pPr>
        <w:pStyle w:val="FootnoteText"/>
        <w:ind w:right="-330"/>
      </w:pPr>
      <w:r>
        <w:rPr>
          <w:rStyle w:val="FootnoteReference"/>
        </w:rPr>
        <w:footnoteRef/>
      </w:r>
      <w:r>
        <w:t xml:space="preserve"> </w:t>
      </w:r>
      <w:r w:rsidRPr="00F33172">
        <w:t>https://www.mla.com.au/contentassets/4163752b65d843eab5317a54e5aba0db/a.scc.0018_final_report.pdf</w:t>
      </w:r>
    </w:p>
  </w:footnote>
  <w:footnote w:id="43">
    <w:p w14:paraId="10FC5E78" w14:textId="2498E267" w:rsidR="00A31F19" w:rsidRDefault="00A31F19">
      <w:pPr>
        <w:pStyle w:val="FootnoteText"/>
      </w:pPr>
      <w:r>
        <w:rPr>
          <w:rStyle w:val="FootnoteReference"/>
        </w:rPr>
        <w:footnoteRef/>
      </w:r>
      <w:r>
        <w:t xml:space="preserve"> </w:t>
      </w:r>
      <w:r w:rsidRPr="00F33172">
        <w:t>Patent applications 2006209790 and 2005900456</w:t>
      </w:r>
    </w:p>
  </w:footnote>
  <w:footnote w:id="44">
    <w:p w14:paraId="460E8CD3" w14:textId="77777777" w:rsidR="00A31F19" w:rsidRDefault="00A31F19" w:rsidP="00567633">
      <w:pPr>
        <w:pStyle w:val="FootnoteText"/>
      </w:pPr>
      <w:r>
        <w:rPr>
          <w:rStyle w:val="FootnoteReference"/>
        </w:rPr>
        <w:footnoteRef/>
      </w:r>
      <w:r>
        <w:t xml:space="preserve"> Connors, N.K. and </w:t>
      </w:r>
      <w:proofErr w:type="spellStart"/>
      <w:r>
        <w:t>Ferdosi</w:t>
      </w:r>
      <w:proofErr w:type="spellEnd"/>
      <w:r>
        <w:t>, M.H. (2019) “Genotype panel requirements for inclusion into BREEDPLAN</w:t>
      </w:r>
    </w:p>
    <w:p w14:paraId="72FDD571" w14:textId="64AF4761" w:rsidR="00A31F19" w:rsidRDefault="00A31F19" w:rsidP="00567633">
      <w:pPr>
        <w:pStyle w:val="FootnoteText"/>
      </w:pPr>
      <w:r>
        <w:t>single step evaluations”. Proceedings Assoc. Adv. Anim. Br Genet. 23: 382-385.</w:t>
      </w:r>
    </w:p>
  </w:footnote>
  <w:footnote w:id="45">
    <w:p w14:paraId="3681D4AC" w14:textId="41478A62" w:rsidR="00A31F19" w:rsidRDefault="00A31F19">
      <w:pPr>
        <w:pStyle w:val="FootnoteText"/>
      </w:pPr>
      <w:r>
        <w:rPr>
          <w:rStyle w:val="FootnoteReference"/>
        </w:rPr>
        <w:footnoteRef/>
      </w:r>
      <w:r>
        <w:t xml:space="preserve"> </w:t>
      </w:r>
      <w:r w:rsidRPr="009F0C36">
        <w:t>https://www.angusaustralia.com.au/education/breeding-and-genetics/genetic-conditions-in-angus/</w:t>
      </w:r>
    </w:p>
  </w:footnote>
  <w:footnote w:id="46">
    <w:p w14:paraId="0F5A94AD" w14:textId="3BC93090" w:rsidR="00A31F19" w:rsidRDefault="00A31F19">
      <w:pPr>
        <w:pStyle w:val="FootnoteText"/>
      </w:pPr>
      <w:r>
        <w:rPr>
          <w:rStyle w:val="FootnoteReference"/>
        </w:rPr>
        <w:footnoteRef/>
      </w:r>
      <w:r>
        <w:t xml:space="preserve"> </w:t>
      </w:r>
      <w:r w:rsidRPr="009F0C36">
        <w:t>https://www.sheepgenetics.org.au/resources/genomics/</w:t>
      </w:r>
    </w:p>
  </w:footnote>
  <w:footnote w:id="47">
    <w:p w14:paraId="1E404246" w14:textId="77777777" w:rsidR="00A31F19" w:rsidRDefault="00A31F19" w:rsidP="00996AC6">
      <w:pPr>
        <w:pStyle w:val="FootnoteText"/>
      </w:pPr>
      <w:r>
        <w:rPr>
          <w:rStyle w:val="FootnoteReference"/>
        </w:rPr>
        <w:footnoteRef/>
      </w:r>
      <w:r>
        <w:t xml:space="preserve"> </w:t>
      </w:r>
      <w:r w:rsidRPr="009B325D">
        <w:t xml:space="preserve">Connors N.K., Tier, </w:t>
      </w:r>
      <w:proofErr w:type="gramStart"/>
      <w:r w:rsidRPr="009B325D">
        <w:t>B.</w:t>
      </w:r>
      <w:proofErr w:type="gramEnd"/>
      <w:r w:rsidRPr="009B325D">
        <w:t xml:space="preserve"> and Johnston D.J. (2018) “Current status of Australia's diagnostic poll haplotype test”.  Proc. World </w:t>
      </w:r>
      <w:proofErr w:type="spellStart"/>
      <w:r w:rsidRPr="009B325D">
        <w:t>Congr</w:t>
      </w:r>
      <w:proofErr w:type="spellEnd"/>
      <w:r w:rsidRPr="009B325D">
        <w:t xml:space="preserve">. Genet. App. </w:t>
      </w:r>
      <w:proofErr w:type="spellStart"/>
      <w:r w:rsidRPr="009B325D">
        <w:t>Livest</w:t>
      </w:r>
      <w:proofErr w:type="spellEnd"/>
      <w:r w:rsidRPr="009B325D">
        <w:t>. Breed. 11: 344-352.</w:t>
      </w:r>
    </w:p>
  </w:footnote>
  <w:footnote w:id="48">
    <w:p w14:paraId="1C18E2B9" w14:textId="464C5083" w:rsidR="00A31F19" w:rsidRDefault="00A31F19">
      <w:pPr>
        <w:pStyle w:val="FootnoteText"/>
      </w:pPr>
      <w:r>
        <w:rPr>
          <w:rStyle w:val="FootnoteReference"/>
        </w:rPr>
        <w:footnoteRef/>
      </w:r>
      <w:r>
        <w:t xml:space="preserve"> </w:t>
      </w:r>
      <w:r w:rsidRPr="00C060D2">
        <w:t>https://www.youtube.com/watch?v=rKGFWIHBRdA</w:t>
      </w:r>
    </w:p>
  </w:footnote>
  <w:footnote w:id="49">
    <w:p w14:paraId="370050B6" w14:textId="3CADD826" w:rsidR="00A31F19" w:rsidRDefault="00A31F19" w:rsidP="00996AC6">
      <w:pPr>
        <w:pStyle w:val="FootnoteText"/>
      </w:pPr>
      <w:r>
        <w:rPr>
          <w:rStyle w:val="FootnoteReference"/>
        </w:rPr>
        <w:footnoteRef/>
      </w:r>
      <w:r>
        <w:t xml:space="preserve"> </w:t>
      </w:r>
      <w:r w:rsidRPr="00B05B0F">
        <w:t xml:space="preserve">Hine, B.C., Duff, C.J., Byrne, A., Parnell, P., Porto-Neto, L., Li, Y., Ingham, A.B., </w:t>
      </w:r>
      <w:proofErr w:type="spellStart"/>
      <w:r w:rsidRPr="00B05B0F">
        <w:t>Reverter</w:t>
      </w:r>
      <w:proofErr w:type="spellEnd"/>
      <w:r w:rsidRPr="00B05B0F">
        <w:t xml:space="preserve">, A. 2021) “Development of Angus </w:t>
      </w:r>
      <w:proofErr w:type="spellStart"/>
      <w:r w:rsidRPr="00B05B0F">
        <w:t>SteerSELECT</w:t>
      </w:r>
      <w:proofErr w:type="spellEnd"/>
      <w:r w:rsidRPr="00B05B0F">
        <w:t>: a genomic-based tool to identify performance differences of Australian Angus steers during feedlot finishing: Phase 1 validation.” Animal Production Science 61, 1884-1892.</w:t>
      </w:r>
      <w:r w:rsidRPr="00C060D2">
        <w:t xml:space="preserve"> </w:t>
      </w:r>
    </w:p>
  </w:footnote>
  <w:footnote w:id="50">
    <w:p w14:paraId="62604CF1" w14:textId="16868B07" w:rsidR="00A31F19" w:rsidRDefault="00A31F19">
      <w:pPr>
        <w:pStyle w:val="FootnoteText"/>
      </w:pPr>
      <w:r>
        <w:rPr>
          <w:rStyle w:val="FootnoteReference"/>
        </w:rPr>
        <w:footnoteRef/>
      </w:r>
      <w:r>
        <w:t xml:space="preserve"> </w:t>
      </w:r>
      <w:r w:rsidRPr="00B05B0F">
        <w:t>https://www.angus.org/AGI/pages/CommercialTests/AGICommericalTestingOptions.pdf</w:t>
      </w:r>
    </w:p>
  </w:footnote>
  <w:footnote w:id="51">
    <w:p w14:paraId="1B80ECEE" w14:textId="77777777" w:rsidR="00A31F19" w:rsidRDefault="00A31F19" w:rsidP="00A34F1C">
      <w:pPr>
        <w:pStyle w:val="FootnoteText"/>
      </w:pPr>
      <w:r>
        <w:rPr>
          <w:rStyle w:val="FootnoteReference"/>
        </w:rPr>
        <w:footnoteRef/>
      </w:r>
      <w:r>
        <w:t xml:space="preserve"> </w:t>
      </w:r>
      <w:r w:rsidRPr="00B05B0F">
        <w:t>https://www.neogen.com/categories/igenity-profiles/igenity-beef/</w:t>
      </w:r>
    </w:p>
  </w:footnote>
  <w:footnote w:id="52">
    <w:p w14:paraId="1F67C001" w14:textId="2BF66787" w:rsidR="00A31F19" w:rsidRDefault="00A31F19">
      <w:pPr>
        <w:pStyle w:val="FootnoteText"/>
      </w:pPr>
      <w:r>
        <w:rPr>
          <w:rStyle w:val="FootnoteReference"/>
        </w:rPr>
        <w:footnoteRef/>
      </w:r>
      <w:r>
        <w:t xml:space="preserve"> </w:t>
      </w:r>
      <w:r w:rsidRPr="00BB4418">
        <w:t>https://www.icbf.com/?page_id=12693</w:t>
      </w:r>
    </w:p>
  </w:footnote>
  <w:footnote w:id="53">
    <w:p w14:paraId="6098D0BA" w14:textId="54E46D9A" w:rsidR="00A31F19" w:rsidRDefault="00A31F19">
      <w:pPr>
        <w:pStyle w:val="FootnoteText"/>
      </w:pPr>
      <w:r>
        <w:rPr>
          <w:rStyle w:val="FootnoteReference"/>
        </w:rPr>
        <w:footnoteRef/>
      </w:r>
      <w:r>
        <w:t xml:space="preserve"> </w:t>
      </w:r>
      <w:r w:rsidRPr="00FC1CC6">
        <w:t>https://www.beefcentral.com/news/tag-retention-nlis-tag-losses-still-frustrating-producers/</w:t>
      </w:r>
    </w:p>
  </w:footnote>
  <w:footnote w:id="54">
    <w:p w14:paraId="041A0D3D" w14:textId="5760A3DF" w:rsidR="00A31F19" w:rsidRDefault="00A31F19">
      <w:pPr>
        <w:pStyle w:val="FootnoteText"/>
      </w:pPr>
      <w:r>
        <w:rPr>
          <w:rStyle w:val="FootnoteReference"/>
        </w:rPr>
        <w:footnoteRef/>
      </w:r>
      <w:r w:rsidRPr="00006F4C">
        <w:t xml:space="preserve"> </w:t>
      </w:r>
      <w:hyperlink r:id="rId2" w:history="1">
        <w:r w:rsidRPr="00006F4C">
          <w:rPr>
            <w:rStyle w:val="Hyperlink"/>
            <w:color w:val="auto"/>
            <w:u w:val="none"/>
          </w:rPr>
          <w:t>https://www.angusaustralia.com.au/breeding/animal-selection/angus-heiferselect/</w:t>
        </w:r>
      </w:hyperlink>
    </w:p>
  </w:footnote>
  <w:footnote w:id="55">
    <w:p w14:paraId="25686821" w14:textId="0A3DA03F" w:rsidR="00A31F19" w:rsidRDefault="00A31F19">
      <w:pPr>
        <w:pStyle w:val="FootnoteText"/>
      </w:pPr>
      <w:r>
        <w:rPr>
          <w:rStyle w:val="FootnoteReference"/>
        </w:rPr>
        <w:footnoteRef/>
      </w:r>
      <w:r>
        <w:t xml:space="preserve"> </w:t>
      </w:r>
      <w:r w:rsidRPr="00234355">
        <w:t>https://www.sheepgenetics.org.au/resources/genomics/</w:t>
      </w:r>
    </w:p>
  </w:footnote>
  <w:footnote w:id="56">
    <w:p w14:paraId="301E6897" w14:textId="68834F4C" w:rsidR="00A31F19" w:rsidRDefault="00A31F19">
      <w:pPr>
        <w:pStyle w:val="FootnoteText"/>
      </w:pPr>
      <w:r>
        <w:rPr>
          <w:rStyle w:val="FootnoteReference"/>
        </w:rPr>
        <w:footnoteRef/>
      </w:r>
      <w:r>
        <w:t xml:space="preserve"> </w:t>
      </w:r>
      <w:r w:rsidRPr="00164B19">
        <w:t>https://www.farminstitute.org.au/product/the-implications-of-digital-agriculture-and-big-data-for-australian-agriculture/</w:t>
      </w:r>
    </w:p>
  </w:footnote>
  <w:footnote w:id="57">
    <w:p w14:paraId="3DC061A8" w14:textId="638825FF" w:rsidR="00A31F19" w:rsidRDefault="00A31F19">
      <w:pPr>
        <w:pStyle w:val="FootnoteText"/>
      </w:pPr>
      <w:r>
        <w:rPr>
          <w:rStyle w:val="FootnoteReference"/>
        </w:rPr>
        <w:footnoteRef/>
      </w:r>
      <w:r>
        <w:t xml:space="preserve"> </w:t>
      </w:r>
      <w:r w:rsidRPr="003C510B">
        <w:t xml:space="preserve">Productivity Commission (2002). </w:t>
      </w:r>
      <w:r w:rsidRPr="001B608A">
        <w:rPr>
          <w:i/>
          <w:iCs/>
        </w:rPr>
        <w:t>Impact of a Foot and Mouth Disease Outbreak on Australia</w:t>
      </w:r>
      <w:r w:rsidRPr="003C510B">
        <w:t xml:space="preserve">, Research Report, </w:t>
      </w:r>
      <w:proofErr w:type="spellStart"/>
      <w:r w:rsidRPr="003C510B">
        <w:t>AusInfo</w:t>
      </w:r>
      <w:proofErr w:type="spellEnd"/>
      <w:r w:rsidRPr="003C510B">
        <w:t>, Canberra. (</w:t>
      </w:r>
      <w:hyperlink r:id="rId3" w:history="1">
        <w:r w:rsidRPr="001F502E">
          <w:rPr>
            <w:rStyle w:val="Hyperlink"/>
          </w:rPr>
          <w:t>https://papers.ssrn.com/sol3/papers.cfm?abstract_id=315882</w:t>
        </w:r>
      </w:hyperlink>
      <w:r w:rsidRPr="003C510B">
        <w:t>)</w:t>
      </w:r>
    </w:p>
  </w:footnote>
  <w:footnote w:id="58">
    <w:p w14:paraId="236BD00D" w14:textId="7D86777D" w:rsidR="00A31F19" w:rsidRDefault="00A31F19">
      <w:pPr>
        <w:pStyle w:val="FootnoteText"/>
      </w:pPr>
      <w:r>
        <w:rPr>
          <w:rStyle w:val="FootnoteReference"/>
        </w:rPr>
        <w:footnoteRef/>
      </w:r>
      <w:r>
        <w:t xml:space="preserve"> </w:t>
      </w:r>
      <w:r w:rsidRPr="002B08C5">
        <w:t xml:space="preserve">Matthews, K. (2011) </w:t>
      </w:r>
      <w:r w:rsidRPr="001B608A">
        <w:rPr>
          <w:i/>
          <w:iCs/>
        </w:rPr>
        <w:t>A review of Australia’s preparedness for the threat of foot-and-mouth disease</w:t>
      </w:r>
      <w:r w:rsidRPr="002B08C5">
        <w:t>. Australian Government Department of Agriculture, Fisheries and Forestry, Canberra.  (https://www.awe.gov.au/sites/default/files/sitecollectiondocuments/animal-plant/pests-diseases/animal-pests-diseases/footandmouth.pdf</w:t>
      </w:r>
    </w:p>
  </w:footnote>
  <w:footnote w:id="59">
    <w:p w14:paraId="219EB752" w14:textId="4FB49060" w:rsidR="00A31F19" w:rsidRDefault="00A31F19">
      <w:pPr>
        <w:pStyle w:val="FootnoteText"/>
      </w:pPr>
      <w:r>
        <w:rPr>
          <w:rStyle w:val="FootnoteReference"/>
        </w:rPr>
        <w:footnoteRef/>
      </w:r>
      <w:r>
        <w:t xml:space="preserve"> </w:t>
      </w:r>
      <w:proofErr w:type="spellStart"/>
      <w:r w:rsidRPr="00972180">
        <w:t>Buetre</w:t>
      </w:r>
      <w:proofErr w:type="spellEnd"/>
      <w:r w:rsidRPr="00972180">
        <w:t xml:space="preserve">, B, Wicks, S, Kruger, H, </w:t>
      </w:r>
      <w:proofErr w:type="spellStart"/>
      <w:r w:rsidRPr="00972180">
        <w:t>Millist</w:t>
      </w:r>
      <w:proofErr w:type="spellEnd"/>
      <w:r w:rsidRPr="00972180">
        <w:t xml:space="preserve">, N, </w:t>
      </w:r>
      <w:proofErr w:type="spellStart"/>
      <w:r w:rsidRPr="00972180">
        <w:t>Yainshet</w:t>
      </w:r>
      <w:proofErr w:type="spellEnd"/>
      <w:r w:rsidRPr="00972180">
        <w:t xml:space="preserve">, A, Garner, G, Duncan, A, Abdalla, A, </w:t>
      </w:r>
      <w:proofErr w:type="spellStart"/>
      <w:r w:rsidRPr="00972180">
        <w:t>Trestrail</w:t>
      </w:r>
      <w:proofErr w:type="spellEnd"/>
      <w:r w:rsidRPr="00972180">
        <w:t xml:space="preserve">, C, </w:t>
      </w:r>
      <w:proofErr w:type="spellStart"/>
      <w:r w:rsidRPr="00972180">
        <w:t>Hatt</w:t>
      </w:r>
      <w:proofErr w:type="spellEnd"/>
      <w:r w:rsidRPr="00972180">
        <w:t xml:space="preserve">, M, Thompson, LJ &amp; Symes, M (2013) </w:t>
      </w:r>
      <w:r w:rsidRPr="001B608A">
        <w:rPr>
          <w:i/>
          <w:iCs/>
        </w:rPr>
        <w:t>Potential socio‐economic impacts of an outbreak of foot‐and mouth‐disease in Australia</w:t>
      </w:r>
      <w:r w:rsidRPr="00972180">
        <w:t>, ABARES Research Report, Canberra, September. (https://www.awe.gov.au/sites/default/files/abares/documents/RR13.11PotSocEcoImpctOfFMD_v1.0.0.pdf)</w:t>
      </w:r>
    </w:p>
  </w:footnote>
  <w:footnote w:id="60">
    <w:p w14:paraId="11681CA1" w14:textId="0250051A" w:rsidR="00A31F19" w:rsidRDefault="00A31F19">
      <w:pPr>
        <w:pStyle w:val="FootnoteText"/>
      </w:pPr>
      <w:r>
        <w:rPr>
          <w:rStyle w:val="FootnoteReference"/>
        </w:rPr>
        <w:footnoteRef/>
      </w:r>
      <w:r>
        <w:t xml:space="preserve"> </w:t>
      </w:r>
      <w:r w:rsidRPr="00A95A9F">
        <w:t xml:space="preserve">ABARES (2014) </w:t>
      </w:r>
      <w:r w:rsidRPr="001B608A">
        <w:rPr>
          <w:i/>
          <w:iCs/>
        </w:rPr>
        <w:t>Implementation of improvements to the National Livestock Identification System for sheep and goats: Decision Regulation Impact Statement</w:t>
      </w:r>
      <w:r w:rsidRPr="00A95A9F">
        <w:t xml:space="preserve"> (https://data.gov.au/data/dataset/pc_inlisd9abbl20141022_11a)</w:t>
      </w:r>
    </w:p>
  </w:footnote>
  <w:footnote w:id="61">
    <w:p w14:paraId="148C6B58" w14:textId="0FEF814A" w:rsidR="00A31F19" w:rsidRDefault="00A31F19">
      <w:pPr>
        <w:pStyle w:val="FootnoteText"/>
      </w:pPr>
      <w:r>
        <w:rPr>
          <w:rStyle w:val="FootnoteReference"/>
        </w:rPr>
        <w:footnoteRef/>
      </w:r>
      <w:r>
        <w:t xml:space="preserve"> </w:t>
      </w:r>
      <w:r w:rsidRPr="007F3046">
        <w:t xml:space="preserve">Dwyer, G. and Clarke, M. (2015) </w:t>
      </w:r>
      <w:r w:rsidRPr="001B608A">
        <w:rPr>
          <w:i/>
          <w:iCs/>
        </w:rPr>
        <w:t>Ex-post benefit-cost assessment of MLA’s Product Integrity Programs</w:t>
      </w:r>
      <w:r w:rsidRPr="007F3046">
        <w:t xml:space="preserve"> MLA Report V.LIM.1505</w:t>
      </w:r>
    </w:p>
  </w:footnote>
  <w:footnote w:id="62">
    <w:p w14:paraId="65A8D455" w14:textId="7F4198AA" w:rsidR="00A31F19" w:rsidRDefault="00A31F19">
      <w:pPr>
        <w:pStyle w:val="FootnoteText"/>
      </w:pPr>
      <w:r>
        <w:rPr>
          <w:rStyle w:val="FootnoteReference"/>
        </w:rPr>
        <w:footnoteRef/>
      </w:r>
      <w:r>
        <w:t xml:space="preserve"> </w:t>
      </w:r>
      <w:r w:rsidRPr="001B6805">
        <w:t xml:space="preserve">White, M., Han, S-H., and Hoban, S. (2019) </w:t>
      </w:r>
      <w:r w:rsidRPr="001B608A">
        <w:rPr>
          <w:i/>
          <w:iCs/>
        </w:rPr>
        <w:t>Integrity Systems Sub-Program Impact Assessment (2015-2020)</w:t>
      </w:r>
      <w:r w:rsidRPr="001B6805">
        <w:t xml:space="preserve"> MLA Report V.ISC.1918</w:t>
      </w:r>
    </w:p>
  </w:footnote>
  <w:footnote w:id="63">
    <w:p w14:paraId="4DFD9F97" w14:textId="7613105A" w:rsidR="00A31F19" w:rsidRDefault="00A31F19">
      <w:pPr>
        <w:pStyle w:val="FootnoteText"/>
      </w:pPr>
      <w:r>
        <w:rPr>
          <w:rStyle w:val="FootnoteReference"/>
        </w:rPr>
        <w:footnoteRef/>
      </w:r>
      <w:r>
        <w:t xml:space="preserve"> </w:t>
      </w:r>
      <w:r w:rsidRPr="006B67AD">
        <w:t xml:space="preserve">Santos, B.F.S., Amer, P., </w:t>
      </w:r>
      <w:proofErr w:type="spellStart"/>
      <w:proofErr w:type="gramStart"/>
      <w:r w:rsidRPr="006B67AD">
        <w:t>Granleese,T</w:t>
      </w:r>
      <w:proofErr w:type="spellEnd"/>
      <w:r w:rsidRPr="006B67AD">
        <w:t>.</w:t>
      </w:r>
      <w:proofErr w:type="gramEnd"/>
      <w:r w:rsidRPr="006B67AD">
        <w:t>, Byrne, T.J., Hogan, L., Gibson, J.P and van der Werf, J.H.J. (2018). “Assessment of the genetic and economic impact of performance recording and genotyping in Australian commercial sheep operations” J. Anim. Br. Genet. 135:221-237.</w:t>
      </w:r>
    </w:p>
  </w:footnote>
  <w:footnote w:id="64">
    <w:p w14:paraId="4D7F4999" w14:textId="7B130DBC" w:rsidR="00A31F19" w:rsidRDefault="00A31F19" w:rsidP="00C83D90">
      <w:pPr>
        <w:pStyle w:val="FootnoteText"/>
      </w:pPr>
      <w:r>
        <w:rPr>
          <w:rStyle w:val="FootnoteReference"/>
        </w:rPr>
        <w:footnoteRef/>
      </w:r>
      <w:r>
        <w:t xml:space="preserve"> </w:t>
      </w:r>
      <w:proofErr w:type="spellStart"/>
      <w:r w:rsidRPr="00C83D90">
        <w:t>Meuwissen</w:t>
      </w:r>
      <w:proofErr w:type="spellEnd"/>
      <w:r w:rsidRPr="00C83D90">
        <w:t xml:space="preserve">, T.H.E., Hayes, B.J. &amp; Goddard, M.E. </w:t>
      </w:r>
      <w:r>
        <w:t>(2001) “</w:t>
      </w:r>
      <w:r w:rsidRPr="00C83D90">
        <w:t>Prediction of total genetic value using genome-wide dense marker maps</w:t>
      </w:r>
      <w:r>
        <w:t>”</w:t>
      </w:r>
      <w:r w:rsidRPr="00C83D90">
        <w:t>. Genetics 157, 1819–1829.</w:t>
      </w:r>
    </w:p>
  </w:footnote>
  <w:footnote w:id="65">
    <w:p w14:paraId="11139856" w14:textId="5E167BFD" w:rsidR="00A31F19" w:rsidRDefault="00A31F19">
      <w:pPr>
        <w:pStyle w:val="FootnoteText"/>
      </w:pPr>
      <w:r>
        <w:rPr>
          <w:rStyle w:val="FootnoteReference"/>
        </w:rPr>
        <w:footnoteRef/>
      </w:r>
      <w:r>
        <w:t xml:space="preserve"> </w:t>
      </w:r>
      <w:r w:rsidRPr="00C83D90">
        <w:t>Goddard, M</w:t>
      </w:r>
      <w:r>
        <w:t>.E.</w:t>
      </w:r>
      <w:r w:rsidRPr="00C83D90">
        <w:t>., Hayes, B</w:t>
      </w:r>
      <w:r>
        <w:t>.J</w:t>
      </w:r>
      <w:r w:rsidRPr="00C83D90">
        <w:t xml:space="preserve">. Mapping genes for complex traits in domestic animals and their use in breeding programmes. Nat Rev Genet 10, 381–391 (2009). </w:t>
      </w:r>
      <w:hyperlink r:id="rId4" w:history="1">
        <w:r w:rsidRPr="009F2476">
          <w:rPr>
            <w:rStyle w:val="Hyperlink"/>
          </w:rPr>
          <w:t>https://doi.org/10.1038/nrg2575</w:t>
        </w:r>
      </w:hyperlink>
    </w:p>
  </w:footnote>
  <w:footnote w:id="66">
    <w:p w14:paraId="19EE87EB" w14:textId="23B716DC" w:rsidR="00A31F19" w:rsidRDefault="00A31F19" w:rsidP="008C2EC0">
      <w:pPr>
        <w:pStyle w:val="FootnoteText"/>
      </w:pPr>
      <w:r w:rsidRPr="00B00690">
        <w:rPr>
          <w:rStyle w:val="FootnoteReference"/>
        </w:rPr>
        <w:footnoteRef/>
      </w:r>
      <w:r w:rsidRPr="00B00690">
        <w:t xml:space="preserve"> Burrow, H.M. and Banks, R.G. (2011) “</w:t>
      </w:r>
      <w:r>
        <w:t>Increasing uptake of genetic technologies across the beef value chain”. Proceedings Assoc. Adv. Anim. Br Genet. 19: 391-398.</w:t>
      </w:r>
    </w:p>
  </w:footnote>
  <w:footnote w:id="67">
    <w:p w14:paraId="384CB0A3" w14:textId="77777777" w:rsidR="00A31F19" w:rsidRDefault="00A31F19" w:rsidP="00E5753C">
      <w:pPr>
        <w:pStyle w:val="FootnoteText"/>
      </w:pPr>
      <w:r>
        <w:rPr>
          <w:rStyle w:val="FootnoteReference"/>
        </w:rPr>
        <w:footnoteRef/>
      </w:r>
      <w:r>
        <w:t xml:space="preserve"> </w:t>
      </w:r>
      <w:r w:rsidRPr="0041711E">
        <w:t>Slide 8 of presentation by Burrow and Banks (2011), accessible through http://www.aaabg.org/aaabg19/proceedings19</w:t>
      </w:r>
    </w:p>
  </w:footnote>
  <w:footnote w:id="68">
    <w:p w14:paraId="5B7370DA" w14:textId="54C65EFE" w:rsidR="00A31F19" w:rsidRPr="004C1C7E" w:rsidRDefault="00A31F19">
      <w:pPr>
        <w:pStyle w:val="FootnoteText"/>
      </w:pPr>
      <w:r>
        <w:rPr>
          <w:rStyle w:val="FootnoteReference"/>
        </w:rPr>
        <w:footnoteRef/>
      </w:r>
      <w:r>
        <w:t xml:space="preserve"> Atkins, K.D. (1993) “Benefits of genetic improvement to the Merino wool industry”, Wool. Tech. Sheep Breed. </w:t>
      </w:r>
      <w:r>
        <w:rPr>
          <w:b/>
          <w:bCs/>
        </w:rPr>
        <w:t>41</w:t>
      </w:r>
      <w:r>
        <w:t>: 257-268.</w:t>
      </w:r>
    </w:p>
  </w:footnote>
  <w:footnote w:id="69">
    <w:p w14:paraId="3930C781" w14:textId="44576E2A" w:rsidR="00A31F19" w:rsidRDefault="00A31F19">
      <w:pPr>
        <w:pStyle w:val="FootnoteText"/>
      </w:pPr>
      <w:r>
        <w:rPr>
          <w:rStyle w:val="FootnoteReference"/>
        </w:rPr>
        <w:footnoteRef/>
      </w:r>
      <w:proofErr w:type="gramStart"/>
      <w:r w:rsidRPr="00B05B0F">
        <w:t>.</w:t>
      </w:r>
      <w:r w:rsidRPr="001A7A15">
        <w:t>Dominik</w:t>
      </w:r>
      <w:proofErr w:type="gramEnd"/>
      <w:r w:rsidRPr="001A7A15">
        <w:t xml:space="preserve"> S., Duff C. J., Byrne A. I., </w:t>
      </w:r>
      <w:proofErr w:type="spellStart"/>
      <w:r w:rsidRPr="001A7A15">
        <w:t>Daetwyler</w:t>
      </w:r>
      <w:proofErr w:type="spellEnd"/>
      <w:r w:rsidRPr="001A7A15">
        <w:t xml:space="preserve"> H.</w:t>
      </w:r>
      <w:r>
        <w:t xml:space="preserve"> and</w:t>
      </w:r>
      <w:r w:rsidRPr="001A7A15">
        <w:t xml:space="preserve"> </w:t>
      </w:r>
      <w:proofErr w:type="spellStart"/>
      <w:r w:rsidRPr="001A7A15">
        <w:t>Reverter</w:t>
      </w:r>
      <w:proofErr w:type="spellEnd"/>
      <w:r w:rsidRPr="001A7A15">
        <w:t xml:space="preserve"> A. (2021) </w:t>
      </w:r>
      <w:r>
        <w:t>“</w:t>
      </w:r>
      <w:r w:rsidRPr="001A7A15">
        <w:t>Ultra-small SNP panels to uniquely identify individuals in thousands of samples</w:t>
      </w:r>
      <w:r>
        <w:t>”</w:t>
      </w:r>
      <w:r w:rsidRPr="001A7A15">
        <w:t>. Animal Production Science 61, 1796-1800.</w:t>
      </w:r>
    </w:p>
  </w:footnote>
  <w:footnote w:id="70">
    <w:p w14:paraId="7131F24B" w14:textId="77777777" w:rsidR="00A31F19" w:rsidRPr="003C7A24" w:rsidRDefault="00A31F19" w:rsidP="00364634">
      <w:pPr>
        <w:pStyle w:val="FootnoteText"/>
        <w:rPr>
          <w:lang w:val="en-US"/>
        </w:rPr>
      </w:pPr>
      <w:r>
        <w:rPr>
          <w:rStyle w:val="FootnoteReference"/>
        </w:rPr>
        <w:footnoteRef/>
      </w:r>
      <w:r w:rsidRPr="00134190">
        <w:t>Integrity Systems Company</w:t>
      </w:r>
      <w:r>
        <w:t xml:space="preserve"> (2017) “</w:t>
      </w:r>
      <w:r w:rsidRPr="00134190">
        <w:t>NLIS – Standard for Radio-Frequency Identification Devices</w:t>
      </w:r>
      <w:r>
        <w:t xml:space="preserve">” </w:t>
      </w:r>
    </w:p>
  </w:footnote>
  <w:footnote w:id="71">
    <w:p w14:paraId="06E97AFF" w14:textId="34755EE2" w:rsidR="00A31F19" w:rsidRDefault="00A31F19">
      <w:pPr>
        <w:pStyle w:val="FootnoteText"/>
      </w:pPr>
      <w:r>
        <w:rPr>
          <w:rStyle w:val="FootnoteReference"/>
        </w:rPr>
        <w:footnoteRef/>
      </w:r>
      <w:r>
        <w:t xml:space="preserve"> </w:t>
      </w:r>
      <w:proofErr w:type="spellStart"/>
      <w:r w:rsidRPr="00E36281">
        <w:t>Reverter</w:t>
      </w:r>
      <w:proofErr w:type="spellEnd"/>
      <w:r>
        <w:t>, A.</w:t>
      </w:r>
      <w:r w:rsidRPr="00E36281">
        <w:t>, Hine</w:t>
      </w:r>
      <w:r>
        <w:t>, B.</w:t>
      </w:r>
      <w:r w:rsidRPr="00E36281">
        <w:t xml:space="preserve"> C., Porto-Neto</w:t>
      </w:r>
      <w:r>
        <w:t xml:space="preserve">, L., </w:t>
      </w:r>
      <w:r w:rsidRPr="00E36281">
        <w:t>Alexandre</w:t>
      </w:r>
      <w:r>
        <w:t xml:space="preserve">, P.A., </w:t>
      </w:r>
      <w:r w:rsidRPr="00E36281">
        <w:t>Li</w:t>
      </w:r>
      <w:r>
        <w:t xml:space="preserve">, Y., </w:t>
      </w:r>
      <w:r w:rsidRPr="00E36281">
        <w:t>Duff</w:t>
      </w:r>
      <w:r>
        <w:t xml:space="preserve">, C.J., </w:t>
      </w:r>
      <w:r w:rsidRPr="00E36281">
        <w:t>Dominik</w:t>
      </w:r>
      <w:r>
        <w:t xml:space="preserve">, S. and </w:t>
      </w:r>
      <w:r w:rsidRPr="00E36281">
        <w:t>Ingham</w:t>
      </w:r>
      <w:r>
        <w:t xml:space="preserve">, </w:t>
      </w:r>
      <w:proofErr w:type="gramStart"/>
      <w:r>
        <w:t>A.B.</w:t>
      </w:r>
      <w:r w:rsidRPr="00E36281">
        <w:t>(</w:t>
      </w:r>
      <w:proofErr w:type="gramEnd"/>
      <w:r w:rsidRPr="00E36281">
        <w:t xml:space="preserve">2021) </w:t>
      </w:r>
      <w:r>
        <w:t>“</w:t>
      </w:r>
      <w:proofErr w:type="spellStart"/>
      <w:r w:rsidRPr="00E36281">
        <w:t>ImmuneDEX</w:t>
      </w:r>
      <w:proofErr w:type="spellEnd"/>
      <w:r w:rsidRPr="00E36281">
        <w:t>: updated genomic estimates of genetic parameters and breeding values for Australian Angus cattle</w:t>
      </w:r>
      <w:r>
        <w:t>”</w:t>
      </w:r>
      <w:r w:rsidRPr="00E36281">
        <w:t>. Animal Production Science 61, 1919-1924.</w:t>
      </w:r>
    </w:p>
  </w:footnote>
  <w:footnote w:id="72">
    <w:p w14:paraId="051B2C70" w14:textId="77777777" w:rsidR="00A31F19" w:rsidRDefault="00A31F19" w:rsidP="00C46815">
      <w:pPr>
        <w:pStyle w:val="FootnoteText"/>
      </w:pPr>
      <w:r>
        <w:rPr>
          <w:rStyle w:val="FootnoteReference"/>
        </w:rPr>
        <w:footnoteRef/>
      </w:r>
      <w:r>
        <w:t xml:space="preserve"> ABARE </w:t>
      </w:r>
      <w:proofErr w:type="gramStart"/>
      <w:r>
        <w:t>actually estimates</w:t>
      </w:r>
      <w:proofErr w:type="gramEnd"/>
      <w:r>
        <w:t xml:space="preserve"> the number of active sheep producers at around 25,000.  We have doubled this number to allow for sub-populations within many flocks.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9A96" w14:textId="77789E1B" w:rsidR="00A31F19" w:rsidRDefault="00A31F19" w:rsidP="005F00BF">
    <w:pPr>
      <w:pStyle w:val="Header"/>
      <w:jc w:val="center"/>
    </w:pPr>
    <w:r>
      <w:t>DNA Traceability in the Red Meat Industry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2EC5" w14:textId="77777777" w:rsidR="00A31F19" w:rsidRDefault="00A31F19" w:rsidP="009757A8">
    <w:pPr>
      <w:pStyle w:val="Header"/>
      <w:jc w:val="center"/>
    </w:pPr>
    <w:r>
      <w:t>DNA Traceability in the Red Meat Industry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250"/>
    <w:multiLevelType w:val="hybridMultilevel"/>
    <w:tmpl w:val="0218CB6E"/>
    <w:lvl w:ilvl="0" w:tplc="FFFFFFFF">
      <w:numFmt w:val="bullet"/>
      <w:lvlText w:val="-"/>
      <w:lvlJc w:val="left"/>
      <w:pPr>
        <w:ind w:left="720" w:hanging="360"/>
      </w:pPr>
      <w:rPr>
        <w:rFonts w:ascii="Calibri" w:eastAsiaTheme="minorHAnsi" w:hAnsi="Calibri" w:cs="Calibri" w:hint="default"/>
      </w:rPr>
    </w:lvl>
    <w:lvl w:ilvl="1" w:tplc="2A240C7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D23D59"/>
    <w:multiLevelType w:val="hybridMultilevel"/>
    <w:tmpl w:val="94DADF0E"/>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A2688E"/>
    <w:multiLevelType w:val="hybridMultilevel"/>
    <w:tmpl w:val="B4824C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873102"/>
    <w:multiLevelType w:val="hybridMultilevel"/>
    <w:tmpl w:val="C2666E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4B2D13"/>
    <w:multiLevelType w:val="hybridMultilevel"/>
    <w:tmpl w:val="C97AC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92F64"/>
    <w:multiLevelType w:val="multilevel"/>
    <w:tmpl w:val="7D00F6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7F5735"/>
    <w:multiLevelType w:val="hybridMultilevel"/>
    <w:tmpl w:val="ACEC5072"/>
    <w:lvl w:ilvl="0" w:tplc="58C87F5C">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452639"/>
    <w:multiLevelType w:val="hybridMultilevel"/>
    <w:tmpl w:val="2F6E0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05652A"/>
    <w:multiLevelType w:val="hybridMultilevel"/>
    <w:tmpl w:val="99803EA8"/>
    <w:lvl w:ilvl="0" w:tplc="335A72FE">
      <w:start w:val="1"/>
      <w:numFmt w:val="bullet"/>
      <w:lvlText w:val="•"/>
      <w:lvlJc w:val="left"/>
      <w:pPr>
        <w:tabs>
          <w:tab w:val="num" w:pos="720"/>
        </w:tabs>
        <w:ind w:left="720" w:hanging="360"/>
      </w:pPr>
      <w:rPr>
        <w:rFonts w:ascii="Arial" w:hAnsi="Arial" w:hint="default"/>
      </w:rPr>
    </w:lvl>
    <w:lvl w:ilvl="1" w:tplc="1986A1D0">
      <w:numFmt w:val="bullet"/>
      <w:lvlText w:val="•"/>
      <w:lvlJc w:val="left"/>
      <w:pPr>
        <w:tabs>
          <w:tab w:val="num" w:pos="1440"/>
        </w:tabs>
        <w:ind w:left="1440" w:hanging="360"/>
      </w:pPr>
      <w:rPr>
        <w:rFonts w:ascii="Arial" w:hAnsi="Arial" w:hint="default"/>
      </w:rPr>
    </w:lvl>
    <w:lvl w:ilvl="2" w:tplc="14DCA45E">
      <w:numFmt w:val="bullet"/>
      <w:lvlText w:val="•"/>
      <w:lvlJc w:val="left"/>
      <w:pPr>
        <w:tabs>
          <w:tab w:val="num" w:pos="2160"/>
        </w:tabs>
        <w:ind w:left="2160" w:hanging="360"/>
      </w:pPr>
      <w:rPr>
        <w:rFonts w:ascii="Arial" w:hAnsi="Arial" w:hint="default"/>
      </w:rPr>
    </w:lvl>
    <w:lvl w:ilvl="3" w:tplc="19DA0022" w:tentative="1">
      <w:start w:val="1"/>
      <w:numFmt w:val="bullet"/>
      <w:lvlText w:val="•"/>
      <w:lvlJc w:val="left"/>
      <w:pPr>
        <w:tabs>
          <w:tab w:val="num" w:pos="2880"/>
        </w:tabs>
        <w:ind w:left="2880" w:hanging="360"/>
      </w:pPr>
      <w:rPr>
        <w:rFonts w:ascii="Arial" w:hAnsi="Arial" w:hint="default"/>
      </w:rPr>
    </w:lvl>
    <w:lvl w:ilvl="4" w:tplc="91D0571E" w:tentative="1">
      <w:start w:val="1"/>
      <w:numFmt w:val="bullet"/>
      <w:lvlText w:val="•"/>
      <w:lvlJc w:val="left"/>
      <w:pPr>
        <w:tabs>
          <w:tab w:val="num" w:pos="3600"/>
        </w:tabs>
        <w:ind w:left="3600" w:hanging="360"/>
      </w:pPr>
      <w:rPr>
        <w:rFonts w:ascii="Arial" w:hAnsi="Arial" w:hint="default"/>
      </w:rPr>
    </w:lvl>
    <w:lvl w:ilvl="5" w:tplc="72A0CAAE" w:tentative="1">
      <w:start w:val="1"/>
      <w:numFmt w:val="bullet"/>
      <w:lvlText w:val="•"/>
      <w:lvlJc w:val="left"/>
      <w:pPr>
        <w:tabs>
          <w:tab w:val="num" w:pos="4320"/>
        </w:tabs>
        <w:ind w:left="4320" w:hanging="360"/>
      </w:pPr>
      <w:rPr>
        <w:rFonts w:ascii="Arial" w:hAnsi="Arial" w:hint="default"/>
      </w:rPr>
    </w:lvl>
    <w:lvl w:ilvl="6" w:tplc="F13E5D8A" w:tentative="1">
      <w:start w:val="1"/>
      <w:numFmt w:val="bullet"/>
      <w:lvlText w:val="•"/>
      <w:lvlJc w:val="left"/>
      <w:pPr>
        <w:tabs>
          <w:tab w:val="num" w:pos="5040"/>
        </w:tabs>
        <w:ind w:left="5040" w:hanging="360"/>
      </w:pPr>
      <w:rPr>
        <w:rFonts w:ascii="Arial" w:hAnsi="Arial" w:hint="default"/>
      </w:rPr>
    </w:lvl>
    <w:lvl w:ilvl="7" w:tplc="07D60BE4" w:tentative="1">
      <w:start w:val="1"/>
      <w:numFmt w:val="bullet"/>
      <w:lvlText w:val="•"/>
      <w:lvlJc w:val="left"/>
      <w:pPr>
        <w:tabs>
          <w:tab w:val="num" w:pos="5760"/>
        </w:tabs>
        <w:ind w:left="5760" w:hanging="360"/>
      </w:pPr>
      <w:rPr>
        <w:rFonts w:ascii="Arial" w:hAnsi="Arial" w:hint="default"/>
      </w:rPr>
    </w:lvl>
    <w:lvl w:ilvl="8" w:tplc="835CCD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9F54CE"/>
    <w:multiLevelType w:val="multilevel"/>
    <w:tmpl w:val="7D00F6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8940835"/>
    <w:multiLevelType w:val="hybridMultilevel"/>
    <w:tmpl w:val="F120122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94C28D2"/>
    <w:multiLevelType w:val="multilevel"/>
    <w:tmpl w:val="61789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9A344C8"/>
    <w:multiLevelType w:val="hybridMultilevel"/>
    <w:tmpl w:val="C620300C"/>
    <w:lvl w:ilvl="0" w:tplc="74569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110DA6"/>
    <w:multiLevelType w:val="hybridMultilevel"/>
    <w:tmpl w:val="A5FC1D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08953BD"/>
    <w:multiLevelType w:val="hybridMultilevel"/>
    <w:tmpl w:val="5AC6D210"/>
    <w:lvl w:ilvl="0" w:tplc="2A240C7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39191C"/>
    <w:multiLevelType w:val="hybridMultilevel"/>
    <w:tmpl w:val="07023FEE"/>
    <w:lvl w:ilvl="0" w:tplc="4C28E828">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0929BF"/>
    <w:multiLevelType w:val="hybridMultilevel"/>
    <w:tmpl w:val="5C6065A4"/>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501866"/>
    <w:multiLevelType w:val="hybridMultilevel"/>
    <w:tmpl w:val="4E7C3FFA"/>
    <w:lvl w:ilvl="0" w:tplc="D1A2EED2">
      <w:start w:val="1"/>
      <w:numFmt w:val="bullet"/>
      <w:lvlText w:val="•"/>
      <w:lvlJc w:val="left"/>
      <w:pPr>
        <w:tabs>
          <w:tab w:val="num" w:pos="720"/>
        </w:tabs>
        <w:ind w:left="720" w:hanging="360"/>
      </w:pPr>
      <w:rPr>
        <w:rFonts w:ascii="Arial" w:hAnsi="Arial" w:hint="default"/>
      </w:rPr>
    </w:lvl>
    <w:lvl w:ilvl="1" w:tplc="ACBA11AC">
      <w:numFmt w:val="bullet"/>
      <w:lvlText w:val="•"/>
      <w:lvlJc w:val="left"/>
      <w:pPr>
        <w:tabs>
          <w:tab w:val="num" w:pos="1440"/>
        </w:tabs>
        <w:ind w:left="1440" w:hanging="360"/>
      </w:pPr>
      <w:rPr>
        <w:rFonts w:ascii="Arial" w:hAnsi="Arial" w:hint="default"/>
      </w:rPr>
    </w:lvl>
    <w:lvl w:ilvl="2" w:tplc="5AA4A606" w:tentative="1">
      <w:start w:val="1"/>
      <w:numFmt w:val="bullet"/>
      <w:lvlText w:val="•"/>
      <w:lvlJc w:val="left"/>
      <w:pPr>
        <w:tabs>
          <w:tab w:val="num" w:pos="2160"/>
        </w:tabs>
        <w:ind w:left="2160" w:hanging="360"/>
      </w:pPr>
      <w:rPr>
        <w:rFonts w:ascii="Arial" w:hAnsi="Arial" w:hint="default"/>
      </w:rPr>
    </w:lvl>
    <w:lvl w:ilvl="3" w:tplc="DE2AA2F8" w:tentative="1">
      <w:start w:val="1"/>
      <w:numFmt w:val="bullet"/>
      <w:lvlText w:val="•"/>
      <w:lvlJc w:val="left"/>
      <w:pPr>
        <w:tabs>
          <w:tab w:val="num" w:pos="2880"/>
        </w:tabs>
        <w:ind w:left="2880" w:hanging="360"/>
      </w:pPr>
      <w:rPr>
        <w:rFonts w:ascii="Arial" w:hAnsi="Arial" w:hint="default"/>
      </w:rPr>
    </w:lvl>
    <w:lvl w:ilvl="4" w:tplc="9B8497EC" w:tentative="1">
      <w:start w:val="1"/>
      <w:numFmt w:val="bullet"/>
      <w:lvlText w:val="•"/>
      <w:lvlJc w:val="left"/>
      <w:pPr>
        <w:tabs>
          <w:tab w:val="num" w:pos="3600"/>
        </w:tabs>
        <w:ind w:left="3600" w:hanging="360"/>
      </w:pPr>
      <w:rPr>
        <w:rFonts w:ascii="Arial" w:hAnsi="Arial" w:hint="default"/>
      </w:rPr>
    </w:lvl>
    <w:lvl w:ilvl="5" w:tplc="B818FD40" w:tentative="1">
      <w:start w:val="1"/>
      <w:numFmt w:val="bullet"/>
      <w:lvlText w:val="•"/>
      <w:lvlJc w:val="left"/>
      <w:pPr>
        <w:tabs>
          <w:tab w:val="num" w:pos="4320"/>
        </w:tabs>
        <w:ind w:left="4320" w:hanging="360"/>
      </w:pPr>
      <w:rPr>
        <w:rFonts w:ascii="Arial" w:hAnsi="Arial" w:hint="default"/>
      </w:rPr>
    </w:lvl>
    <w:lvl w:ilvl="6" w:tplc="2A3A4B4E" w:tentative="1">
      <w:start w:val="1"/>
      <w:numFmt w:val="bullet"/>
      <w:lvlText w:val="•"/>
      <w:lvlJc w:val="left"/>
      <w:pPr>
        <w:tabs>
          <w:tab w:val="num" w:pos="5040"/>
        </w:tabs>
        <w:ind w:left="5040" w:hanging="360"/>
      </w:pPr>
      <w:rPr>
        <w:rFonts w:ascii="Arial" w:hAnsi="Arial" w:hint="default"/>
      </w:rPr>
    </w:lvl>
    <w:lvl w:ilvl="7" w:tplc="7C564E58" w:tentative="1">
      <w:start w:val="1"/>
      <w:numFmt w:val="bullet"/>
      <w:lvlText w:val="•"/>
      <w:lvlJc w:val="left"/>
      <w:pPr>
        <w:tabs>
          <w:tab w:val="num" w:pos="5760"/>
        </w:tabs>
        <w:ind w:left="5760" w:hanging="360"/>
      </w:pPr>
      <w:rPr>
        <w:rFonts w:ascii="Arial" w:hAnsi="Arial" w:hint="default"/>
      </w:rPr>
    </w:lvl>
    <w:lvl w:ilvl="8" w:tplc="FAF07F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AA2087"/>
    <w:multiLevelType w:val="hybridMultilevel"/>
    <w:tmpl w:val="082E3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0C4643"/>
    <w:multiLevelType w:val="hybridMultilevel"/>
    <w:tmpl w:val="9B9AD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EBA4DA1"/>
    <w:multiLevelType w:val="hybridMultilevel"/>
    <w:tmpl w:val="E270705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32236D"/>
    <w:multiLevelType w:val="hybridMultilevel"/>
    <w:tmpl w:val="671AC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3D35DE"/>
    <w:multiLevelType w:val="hybridMultilevel"/>
    <w:tmpl w:val="7278E1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E1E3E9E"/>
    <w:multiLevelType w:val="hybridMultilevel"/>
    <w:tmpl w:val="E7AE8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2C6C03"/>
    <w:multiLevelType w:val="hybridMultilevel"/>
    <w:tmpl w:val="15C68E4C"/>
    <w:lvl w:ilvl="0" w:tplc="61EABC5E">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04254AC"/>
    <w:multiLevelType w:val="hybridMultilevel"/>
    <w:tmpl w:val="3760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BC2AFF"/>
    <w:multiLevelType w:val="hybridMultilevel"/>
    <w:tmpl w:val="595EEA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C767ED"/>
    <w:multiLevelType w:val="hybridMultilevel"/>
    <w:tmpl w:val="7EF4F56C"/>
    <w:lvl w:ilvl="0" w:tplc="BA54C71C">
      <w:start w:val="1"/>
      <w:numFmt w:val="bullet"/>
      <w:lvlText w:val="•"/>
      <w:lvlJc w:val="left"/>
      <w:pPr>
        <w:tabs>
          <w:tab w:val="num" w:pos="360"/>
        </w:tabs>
        <w:ind w:left="360" w:hanging="360"/>
      </w:pPr>
      <w:rPr>
        <w:rFonts w:ascii="Arial" w:hAnsi="Arial" w:hint="default"/>
      </w:rPr>
    </w:lvl>
    <w:lvl w:ilvl="1" w:tplc="FD08D980">
      <w:numFmt w:val="bullet"/>
      <w:lvlText w:val="•"/>
      <w:lvlJc w:val="left"/>
      <w:pPr>
        <w:tabs>
          <w:tab w:val="num" w:pos="1080"/>
        </w:tabs>
        <w:ind w:left="1080" w:hanging="360"/>
      </w:pPr>
      <w:rPr>
        <w:rFonts w:ascii="Arial" w:hAnsi="Arial" w:hint="default"/>
      </w:rPr>
    </w:lvl>
    <w:lvl w:ilvl="2" w:tplc="8B8A8FF8" w:tentative="1">
      <w:start w:val="1"/>
      <w:numFmt w:val="bullet"/>
      <w:lvlText w:val="•"/>
      <w:lvlJc w:val="left"/>
      <w:pPr>
        <w:tabs>
          <w:tab w:val="num" w:pos="1800"/>
        </w:tabs>
        <w:ind w:left="1800" w:hanging="360"/>
      </w:pPr>
      <w:rPr>
        <w:rFonts w:ascii="Arial" w:hAnsi="Arial" w:hint="default"/>
      </w:rPr>
    </w:lvl>
    <w:lvl w:ilvl="3" w:tplc="82989702" w:tentative="1">
      <w:start w:val="1"/>
      <w:numFmt w:val="bullet"/>
      <w:lvlText w:val="•"/>
      <w:lvlJc w:val="left"/>
      <w:pPr>
        <w:tabs>
          <w:tab w:val="num" w:pos="2520"/>
        </w:tabs>
        <w:ind w:left="2520" w:hanging="360"/>
      </w:pPr>
      <w:rPr>
        <w:rFonts w:ascii="Arial" w:hAnsi="Arial" w:hint="default"/>
      </w:rPr>
    </w:lvl>
    <w:lvl w:ilvl="4" w:tplc="BB8C6DBE" w:tentative="1">
      <w:start w:val="1"/>
      <w:numFmt w:val="bullet"/>
      <w:lvlText w:val="•"/>
      <w:lvlJc w:val="left"/>
      <w:pPr>
        <w:tabs>
          <w:tab w:val="num" w:pos="3240"/>
        </w:tabs>
        <w:ind w:left="3240" w:hanging="360"/>
      </w:pPr>
      <w:rPr>
        <w:rFonts w:ascii="Arial" w:hAnsi="Arial" w:hint="default"/>
      </w:rPr>
    </w:lvl>
    <w:lvl w:ilvl="5" w:tplc="90DE281E" w:tentative="1">
      <w:start w:val="1"/>
      <w:numFmt w:val="bullet"/>
      <w:lvlText w:val="•"/>
      <w:lvlJc w:val="left"/>
      <w:pPr>
        <w:tabs>
          <w:tab w:val="num" w:pos="3960"/>
        </w:tabs>
        <w:ind w:left="3960" w:hanging="360"/>
      </w:pPr>
      <w:rPr>
        <w:rFonts w:ascii="Arial" w:hAnsi="Arial" w:hint="default"/>
      </w:rPr>
    </w:lvl>
    <w:lvl w:ilvl="6" w:tplc="6E7C17CE" w:tentative="1">
      <w:start w:val="1"/>
      <w:numFmt w:val="bullet"/>
      <w:lvlText w:val="•"/>
      <w:lvlJc w:val="left"/>
      <w:pPr>
        <w:tabs>
          <w:tab w:val="num" w:pos="4680"/>
        </w:tabs>
        <w:ind w:left="4680" w:hanging="360"/>
      </w:pPr>
      <w:rPr>
        <w:rFonts w:ascii="Arial" w:hAnsi="Arial" w:hint="default"/>
      </w:rPr>
    </w:lvl>
    <w:lvl w:ilvl="7" w:tplc="AFEC819E" w:tentative="1">
      <w:start w:val="1"/>
      <w:numFmt w:val="bullet"/>
      <w:lvlText w:val="•"/>
      <w:lvlJc w:val="left"/>
      <w:pPr>
        <w:tabs>
          <w:tab w:val="num" w:pos="5400"/>
        </w:tabs>
        <w:ind w:left="5400" w:hanging="360"/>
      </w:pPr>
      <w:rPr>
        <w:rFonts w:ascii="Arial" w:hAnsi="Arial" w:hint="default"/>
      </w:rPr>
    </w:lvl>
    <w:lvl w:ilvl="8" w:tplc="1098E026"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492C5079"/>
    <w:multiLevelType w:val="hybridMultilevel"/>
    <w:tmpl w:val="F5F0B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2E7997"/>
    <w:multiLevelType w:val="hybridMultilevel"/>
    <w:tmpl w:val="23CCD6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D8641B4"/>
    <w:multiLevelType w:val="hybridMultilevel"/>
    <w:tmpl w:val="D3A4F044"/>
    <w:lvl w:ilvl="0" w:tplc="61EABC5E">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2F46C5"/>
    <w:multiLevelType w:val="hybridMultilevel"/>
    <w:tmpl w:val="557E1F20"/>
    <w:lvl w:ilvl="0" w:tplc="61EABC5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58537D"/>
    <w:multiLevelType w:val="hybridMultilevel"/>
    <w:tmpl w:val="94DADF0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9C0215"/>
    <w:multiLevelType w:val="hybridMultilevel"/>
    <w:tmpl w:val="17789A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CF5BF6"/>
    <w:multiLevelType w:val="hybridMultilevel"/>
    <w:tmpl w:val="819CB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AE5598"/>
    <w:multiLevelType w:val="hybridMultilevel"/>
    <w:tmpl w:val="C15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8E5A2E"/>
    <w:multiLevelType w:val="hybridMultilevel"/>
    <w:tmpl w:val="96E8BBF4"/>
    <w:lvl w:ilvl="0" w:tplc="653C2DA6">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F336D1B"/>
    <w:multiLevelType w:val="hybridMultilevel"/>
    <w:tmpl w:val="060C47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1BB099C"/>
    <w:multiLevelType w:val="hybridMultilevel"/>
    <w:tmpl w:val="FDD803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37E2B81"/>
    <w:multiLevelType w:val="hybridMultilevel"/>
    <w:tmpl w:val="4636F80C"/>
    <w:lvl w:ilvl="0" w:tplc="FFFFFFFF">
      <w:start w:val="1"/>
      <w:numFmt w:val="decimal"/>
      <w:lvlText w:val="%1."/>
      <w:lvlJc w:val="left"/>
      <w:pPr>
        <w:ind w:left="360" w:hanging="360"/>
      </w:pPr>
      <w:rPr>
        <w:rFonts w:hint="default"/>
      </w:rPr>
    </w:lvl>
    <w:lvl w:ilvl="1" w:tplc="653C2DA6">
      <w:start w:val="3"/>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932EB2A0">
      <w:start w:val="1"/>
      <w:numFmt w:val="lowerLetter"/>
      <w:lvlText w:val="%4."/>
      <w:lvlJc w:val="left"/>
      <w:pPr>
        <w:ind w:left="2520" w:hanging="360"/>
      </w:pPr>
      <w:rPr>
        <w:rFont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8EA37FA"/>
    <w:multiLevelType w:val="hybridMultilevel"/>
    <w:tmpl w:val="56902D2A"/>
    <w:lvl w:ilvl="0" w:tplc="A930347E">
      <w:start w:val="40"/>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AF7672A"/>
    <w:multiLevelType w:val="hybridMultilevel"/>
    <w:tmpl w:val="B1E05204"/>
    <w:lvl w:ilvl="0" w:tplc="DB8C33D4">
      <w:start w:val="1"/>
      <w:numFmt w:val="decimal"/>
      <w:pStyle w:val="Heading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993300"/>
    <w:multiLevelType w:val="hybridMultilevel"/>
    <w:tmpl w:val="CC4ACCF4"/>
    <w:lvl w:ilvl="0" w:tplc="DC0095FE">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EF1FA2"/>
    <w:multiLevelType w:val="hybridMultilevel"/>
    <w:tmpl w:val="305825E0"/>
    <w:lvl w:ilvl="0" w:tplc="653C2DA6">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0C93193"/>
    <w:multiLevelType w:val="hybridMultilevel"/>
    <w:tmpl w:val="0C963F4E"/>
    <w:lvl w:ilvl="0" w:tplc="FFFFFFFF">
      <w:numFmt w:val="bullet"/>
      <w:lvlText w:val="-"/>
      <w:lvlJc w:val="left"/>
      <w:pPr>
        <w:ind w:left="720" w:hanging="360"/>
      </w:pPr>
      <w:rPr>
        <w:rFonts w:ascii="Calibri" w:eastAsiaTheme="minorHAnsi" w:hAnsi="Calibri" w:cs="Calibri" w:hint="default"/>
      </w:rPr>
    </w:lvl>
    <w:lvl w:ilvl="1" w:tplc="2A240C7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C9359F"/>
    <w:multiLevelType w:val="hybridMultilevel"/>
    <w:tmpl w:val="A7806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9F9244A"/>
    <w:multiLevelType w:val="hybridMultilevel"/>
    <w:tmpl w:val="E50A7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037548"/>
    <w:multiLevelType w:val="hybridMultilevel"/>
    <w:tmpl w:val="35F0AC3A"/>
    <w:lvl w:ilvl="0" w:tplc="58C87F5C">
      <w:start w:val="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D0B638D"/>
    <w:multiLevelType w:val="hybridMultilevel"/>
    <w:tmpl w:val="C7267AD6"/>
    <w:lvl w:ilvl="0" w:tplc="0C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182161544">
    <w:abstractNumId w:val="4"/>
  </w:num>
  <w:num w:numId="2" w16cid:durableId="583144885">
    <w:abstractNumId w:val="28"/>
  </w:num>
  <w:num w:numId="3" w16cid:durableId="1919364085">
    <w:abstractNumId w:val="33"/>
  </w:num>
  <w:num w:numId="4" w16cid:durableId="228073503">
    <w:abstractNumId w:val="23"/>
  </w:num>
  <w:num w:numId="5" w16cid:durableId="1284068806">
    <w:abstractNumId w:val="12"/>
  </w:num>
  <w:num w:numId="6" w16cid:durableId="1464885099">
    <w:abstractNumId w:val="19"/>
  </w:num>
  <w:num w:numId="7" w16cid:durableId="85467354">
    <w:abstractNumId w:val="46"/>
  </w:num>
  <w:num w:numId="8" w16cid:durableId="988633800">
    <w:abstractNumId w:val="34"/>
  </w:num>
  <w:num w:numId="9" w16cid:durableId="1905335096">
    <w:abstractNumId w:val="45"/>
  </w:num>
  <w:num w:numId="10" w16cid:durableId="770929030">
    <w:abstractNumId w:val="36"/>
  </w:num>
  <w:num w:numId="11" w16cid:durableId="179439512">
    <w:abstractNumId w:val="43"/>
  </w:num>
  <w:num w:numId="12" w16cid:durableId="303514034">
    <w:abstractNumId w:val="32"/>
  </w:num>
  <w:num w:numId="13" w16cid:durableId="1057315773">
    <w:abstractNumId w:val="35"/>
  </w:num>
  <w:num w:numId="14" w16cid:durableId="2056847417">
    <w:abstractNumId w:val="6"/>
  </w:num>
  <w:num w:numId="15" w16cid:durableId="949243536">
    <w:abstractNumId w:val="26"/>
  </w:num>
  <w:num w:numId="16" w16cid:durableId="1308172211">
    <w:abstractNumId w:val="16"/>
  </w:num>
  <w:num w:numId="17" w16cid:durableId="307901829">
    <w:abstractNumId w:val="17"/>
  </w:num>
  <w:num w:numId="18" w16cid:durableId="662702466">
    <w:abstractNumId w:val="41"/>
  </w:num>
  <w:num w:numId="19" w16cid:durableId="668867204">
    <w:abstractNumId w:val="47"/>
  </w:num>
  <w:num w:numId="20" w16cid:durableId="57560661">
    <w:abstractNumId w:val="27"/>
  </w:num>
  <w:num w:numId="21" w16cid:durableId="480198861">
    <w:abstractNumId w:val="8"/>
  </w:num>
  <w:num w:numId="22" w16cid:durableId="2129735236">
    <w:abstractNumId w:val="1"/>
  </w:num>
  <w:num w:numId="23" w16cid:durableId="227307745">
    <w:abstractNumId w:val="39"/>
  </w:num>
  <w:num w:numId="24" w16cid:durableId="1582905859">
    <w:abstractNumId w:val="25"/>
  </w:num>
  <w:num w:numId="25" w16cid:durableId="1688672526">
    <w:abstractNumId w:val="42"/>
  </w:num>
  <w:num w:numId="26" w16cid:durableId="2027557730">
    <w:abstractNumId w:val="40"/>
  </w:num>
  <w:num w:numId="27" w16cid:durableId="152180360">
    <w:abstractNumId w:val="14"/>
  </w:num>
  <w:num w:numId="28" w16cid:durableId="412090705">
    <w:abstractNumId w:val="3"/>
  </w:num>
  <w:num w:numId="29" w16cid:durableId="1930239366">
    <w:abstractNumId w:val="44"/>
  </w:num>
  <w:num w:numId="30" w16cid:durableId="1980959057">
    <w:abstractNumId w:val="10"/>
  </w:num>
  <w:num w:numId="31" w16cid:durableId="1121416352">
    <w:abstractNumId w:val="0"/>
  </w:num>
  <w:num w:numId="32" w16cid:durableId="186917275">
    <w:abstractNumId w:val="20"/>
  </w:num>
  <w:num w:numId="33" w16cid:durableId="501626700">
    <w:abstractNumId w:val="48"/>
  </w:num>
  <w:num w:numId="34" w16cid:durableId="13827477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222842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21535661">
    <w:abstractNumId w:val="9"/>
  </w:num>
  <w:num w:numId="37" w16cid:durableId="382560717">
    <w:abstractNumId w:val="22"/>
  </w:num>
  <w:num w:numId="38" w16cid:durableId="999234069">
    <w:abstractNumId w:val="38"/>
  </w:num>
  <w:num w:numId="39" w16cid:durableId="1735926619">
    <w:abstractNumId w:val="24"/>
  </w:num>
  <w:num w:numId="40" w16cid:durableId="30736662">
    <w:abstractNumId w:val="30"/>
  </w:num>
  <w:num w:numId="41" w16cid:durableId="700473384">
    <w:abstractNumId w:val="2"/>
  </w:num>
  <w:num w:numId="42" w16cid:durableId="1738018892">
    <w:abstractNumId w:val="13"/>
  </w:num>
  <w:num w:numId="43" w16cid:durableId="1190491144">
    <w:abstractNumId w:val="31"/>
  </w:num>
  <w:num w:numId="44" w16cid:durableId="711341522">
    <w:abstractNumId w:val="21"/>
  </w:num>
  <w:num w:numId="45" w16cid:durableId="1397969790">
    <w:abstractNumId w:val="15"/>
  </w:num>
  <w:num w:numId="46" w16cid:durableId="1502768843">
    <w:abstractNumId w:val="29"/>
  </w:num>
  <w:num w:numId="47" w16cid:durableId="89590275">
    <w:abstractNumId w:val="7"/>
  </w:num>
  <w:num w:numId="48" w16cid:durableId="341014920">
    <w:abstractNumId w:val="37"/>
  </w:num>
  <w:num w:numId="49" w16cid:durableId="322242077">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832"/>
    <w:rsid w:val="00000133"/>
    <w:rsid w:val="000003C4"/>
    <w:rsid w:val="00000522"/>
    <w:rsid w:val="00001095"/>
    <w:rsid w:val="000019EF"/>
    <w:rsid w:val="000020FE"/>
    <w:rsid w:val="0000236D"/>
    <w:rsid w:val="00002518"/>
    <w:rsid w:val="00003397"/>
    <w:rsid w:val="00003CE7"/>
    <w:rsid w:val="00004679"/>
    <w:rsid w:val="00004CC0"/>
    <w:rsid w:val="00005102"/>
    <w:rsid w:val="000052E2"/>
    <w:rsid w:val="000052FE"/>
    <w:rsid w:val="00005446"/>
    <w:rsid w:val="00005566"/>
    <w:rsid w:val="00005A69"/>
    <w:rsid w:val="0000674F"/>
    <w:rsid w:val="000067A7"/>
    <w:rsid w:val="00006A31"/>
    <w:rsid w:val="00006F4C"/>
    <w:rsid w:val="00007FC8"/>
    <w:rsid w:val="00010810"/>
    <w:rsid w:val="000108DF"/>
    <w:rsid w:val="00011098"/>
    <w:rsid w:val="000116D6"/>
    <w:rsid w:val="00011984"/>
    <w:rsid w:val="0001231E"/>
    <w:rsid w:val="000125B0"/>
    <w:rsid w:val="000131FA"/>
    <w:rsid w:val="000140CA"/>
    <w:rsid w:val="000149DE"/>
    <w:rsid w:val="00014DE8"/>
    <w:rsid w:val="000155EA"/>
    <w:rsid w:val="00015B98"/>
    <w:rsid w:val="00016875"/>
    <w:rsid w:val="00016E02"/>
    <w:rsid w:val="000176D4"/>
    <w:rsid w:val="000207DF"/>
    <w:rsid w:val="00020AB9"/>
    <w:rsid w:val="00020BE1"/>
    <w:rsid w:val="0002118A"/>
    <w:rsid w:val="00021F4C"/>
    <w:rsid w:val="0002316A"/>
    <w:rsid w:val="00024301"/>
    <w:rsid w:val="000244BC"/>
    <w:rsid w:val="0002455D"/>
    <w:rsid w:val="000247F8"/>
    <w:rsid w:val="00024893"/>
    <w:rsid w:val="00025110"/>
    <w:rsid w:val="000254A9"/>
    <w:rsid w:val="000277A2"/>
    <w:rsid w:val="00030683"/>
    <w:rsid w:val="0003099C"/>
    <w:rsid w:val="00030B0E"/>
    <w:rsid w:val="000313E0"/>
    <w:rsid w:val="00031B59"/>
    <w:rsid w:val="00032CDA"/>
    <w:rsid w:val="000332E1"/>
    <w:rsid w:val="000340F5"/>
    <w:rsid w:val="0003499D"/>
    <w:rsid w:val="0003525C"/>
    <w:rsid w:val="00036734"/>
    <w:rsid w:val="00037131"/>
    <w:rsid w:val="00037AC6"/>
    <w:rsid w:val="00037FA5"/>
    <w:rsid w:val="00042134"/>
    <w:rsid w:val="0004243D"/>
    <w:rsid w:val="00042701"/>
    <w:rsid w:val="00042A27"/>
    <w:rsid w:val="00042A2A"/>
    <w:rsid w:val="000434EF"/>
    <w:rsid w:val="00045801"/>
    <w:rsid w:val="00045907"/>
    <w:rsid w:val="000466D2"/>
    <w:rsid w:val="00047030"/>
    <w:rsid w:val="0004737E"/>
    <w:rsid w:val="00047399"/>
    <w:rsid w:val="00050DFD"/>
    <w:rsid w:val="00051455"/>
    <w:rsid w:val="000518C8"/>
    <w:rsid w:val="00052F4B"/>
    <w:rsid w:val="00053139"/>
    <w:rsid w:val="000549D0"/>
    <w:rsid w:val="00054E03"/>
    <w:rsid w:val="000555E7"/>
    <w:rsid w:val="00055FAC"/>
    <w:rsid w:val="00056AC2"/>
    <w:rsid w:val="00056AF5"/>
    <w:rsid w:val="00057181"/>
    <w:rsid w:val="000576AC"/>
    <w:rsid w:val="00061136"/>
    <w:rsid w:val="0006185E"/>
    <w:rsid w:val="00061AE2"/>
    <w:rsid w:val="00061D71"/>
    <w:rsid w:val="00061FA7"/>
    <w:rsid w:val="000623D8"/>
    <w:rsid w:val="0006266D"/>
    <w:rsid w:val="000630DE"/>
    <w:rsid w:val="00063A61"/>
    <w:rsid w:val="00064340"/>
    <w:rsid w:val="00064FA6"/>
    <w:rsid w:val="00065218"/>
    <w:rsid w:val="00065D97"/>
    <w:rsid w:val="000660BC"/>
    <w:rsid w:val="000664FA"/>
    <w:rsid w:val="00066580"/>
    <w:rsid w:val="00066C9E"/>
    <w:rsid w:val="00067204"/>
    <w:rsid w:val="00067628"/>
    <w:rsid w:val="000678B5"/>
    <w:rsid w:val="0007086B"/>
    <w:rsid w:val="0007097D"/>
    <w:rsid w:val="00070999"/>
    <w:rsid w:val="00070EAC"/>
    <w:rsid w:val="000710C2"/>
    <w:rsid w:val="00071C45"/>
    <w:rsid w:val="00072081"/>
    <w:rsid w:val="00072FC1"/>
    <w:rsid w:val="0007315E"/>
    <w:rsid w:val="00073161"/>
    <w:rsid w:val="000733C7"/>
    <w:rsid w:val="0007424C"/>
    <w:rsid w:val="00074456"/>
    <w:rsid w:val="000745C1"/>
    <w:rsid w:val="00074818"/>
    <w:rsid w:val="00074862"/>
    <w:rsid w:val="00074BEE"/>
    <w:rsid w:val="00074CCD"/>
    <w:rsid w:val="000756D8"/>
    <w:rsid w:val="000757E8"/>
    <w:rsid w:val="00075A2F"/>
    <w:rsid w:val="00075ACE"/>
    <w:rsid w:val="00076551"/>
    <w:rsid w:val="00077DC9"/>
    <w:rsid w:val="0008042B"/>
    <w:rsid w:val="00080D87"/>
    <w:rsid w:val="00081A98"/>
    <w:rsid w:val="000823A6"/>
    <w:rsid w:val="000824D4"/>
    <w:rsid w:val="00082679"/>
    <w:rsid w:val="00082887"/>
    <w:rsid w:val="00083411"/>
    <w:rsid w:val="00083547"/>
    <w:rsid w:val="00083FC8"/>
    <w:rsid w:val="00084B5C"/>
    <w:rsid w:val="00084CA7"/>
    <w:rsid w:val="00085926"/>
    <w:rsid w:val="0008675B"/>
    <w:rsid w:val="00086B93"/>
    <w:rsid w:val="00086CAC"/>
    <w:rsid w:val="000904EA"/>
    <w:rsid w:val="000906CC"/>
    <w:rsid w:val="00090856"/>
    <w:rsid w:val="000914FC"/>
    <w:rsid w:val="00092573"/>
    <w:rsid w:val="000925D8"/>
    <w:rsid w:val="00092602"/>
    <w:rsid w:val="000929CE"/>
    <w:rsid w:val="00092AFB"/>
    <w:rsid w:val="00092CF1"/>
    <w:rsid w:val="00092D45"/>
    <w:rsid w:val="000935F9"/>
    <w:rsid w:val="000941D7"/>
    <w:rsid w:val="00094E3C"/>
    <w:rsid w:val="00095364"/>
    <w:rsid w:val="00095688"/>
    <w:rsid w:val="00095E60"/>
    <w:rsid w:val="00095F70"/>
    <w:rsid w:val="00096403"/>
    <w:rsid w:val="000964FA"/>
    <w:rsid w:val="0009653B"/>
    <w:rsid w:val="000968B4"/>
    <w:rsid w:val="00096CBE"/>
    <w:rsid w:val="000972DA"/>
    <w:rsid w:val="000972E9"/>
    <w:rsid w:val="00097451"/>
    <w:rsid w:val="0009773B"/>
    <w:rsid w:val="00097BC0"/>
    <w:rsid w:val="000A0249"/>
    <w:rsid w:val="000A05F7"/>
    <w:rsid w:val="000A0AF0"/>
    <w:rsid w:val="000A19B1"/>
    <w:rsid w:val="000A1DE7"/>
    <w:rsid w:val="000A246A"/>
    <w:rsid w:val="000A3225"/>
    <w:rsid w:val="000A48D2"/>
    <w:rsid w:val="000A4D36"/>
    <w:rsid w:val="000A4F10"/>
    <w:rsid w:val="000A565D"/>
    <w:rsid w:val="000A580B"/>
    <w:rsid w:val="000A7128"/>
    <w:rsid w:val="000A7170"/>
    <w:rsid w:val="000A71EA"/>
    <w:rsid w:val="000A730D"/>
    <w:rsid w:val="000A7503"/>
    <w:rsid w:val="000A7E18"/>
    <w:rsid w:val="000B03DE"/>
    <w:rsid w:val="000B0590"/>
    <w:rsid w:val="000B0DAA"/>
    <w:rsid w:val="000B10C9"/>
    <w:rsid w:val="000B10D9"/>
    <w:rsid w:val="000B125C"/>
    <w:rsid w:val="000B16CD"/>
    <w:rsid w:val="000B1E1B"/>
    <w:rsid w:val="000B20DC"/>
    <w:rsid w:val="000B2834"/>
    <w:rsid w:val="000B2862"/>
    <w:rsid w:val="000B2CB2"/>
    <w:rsid w:val="000B413E"/>
    <w:rsid w:val="000B4C30"/>
    <w:rsid w:val="000B5030"/>
    <w:rsid w:val="000B505B"/>
    <w:rsid w:val="000B5241"/>
    <w:rsid w:val="000B5C8C"/>
    <w:rsid w:val="000B6A21"/>
    <w:rsid w:val="000B75C5"/>
    <w:rsid w:val="000B79CD"/>
    <w:rsid w:val="000C0142"/>
    <w:rsid w:val="000C0F71"/>
    <w:rsid w:val="000C10D1"/>
    <w:rsid w:val="000C1A0B"/>
    <w:rsid w:val="000C2429"/>
    <w:rsid w:val="000C2443"/>
    <w:rsid w:val="000C2F3C"/>
    <w:rsid w:val="000C31DD"/>
    <w:rsid w:val="000C348B"/>
    <w:rsid w:val="000C3515"/>
    <w:rsid w:val="000C3AE2"/>
    <w:rsid w:val="000C4B11"/>
    <w:rsid w:val="000C5778"/>
    <w:rsid w:val="000C5C2A"/>
    <w:rsid w:val="000C734A"/>
    <w:rsid w:val="000C796C"/>
    <w:rsid w:val="000D0160"/>
    <w:rsid w:val="000D0834"/>
    <w:rsid w:val="000D0C67"/>
    <w:rsid w:val="000D1272"/>
    <w:rsid w:val="000D1750"/>
    <w:rsid w:val="000D17C1"/>
    <w:rsid w:val="000D1F05"/>
    <w:rsid w:val="000D2690"/>
    <w:rsid w:val="000D2A96"/>
    <w:rsid w:val="000D3285"/>
    <w:rsid w:val="000D3591"/>
    <w:rsid w:val="000D39F9"/>
    <w:rsid w:val="000D4514"/>
    <w:rsid w:val="000D4B3A"/>
    <w:rsid w:val="000D4DE2"/>
    <w:rsid w:val="000D50F7"/>
    <w:rsid w:val="000D52A2"/>
    <w:rsid w:val="000D5452"/>
    <w:rsid w:val="000D559A"/>
    <w:rsid w:val="000D602D"/>
    <w:rsid w:val="000D6FE7"/>
    <w:rsid w:val="000D7144"/>
    <w:rsid w:val="000D7785"/>
    <w:rsid w:val="000D7C77"/>
    <w:rsid w:val="000E0C84"/>
    <w:rsid w:val="000E0FED"/>
    <w:rsid w:val="000E1837"/>
    <w:rsid w:val="000E283F"/>
    <w:rsid w:val="000E2B10"/>
    <w:rsid w:val="000E2B88"/>
    <w:rsid w:val="000E2F69"/>
    <w:rsid w:val="000E3589"/>
    <w:rsid w:val="000E3A3F"/>
    <w:rsid w:val="000E3ECB"/>
    <w:rsid w:val="000E49F2"/>
    <w:rsid w:val="000E4C74"/>
    <w:rsid w:val="000E4DEB"/>
    <w:rsid w:val="000E57D1"/>
    <w:rsid w:val="000E5E06"/>
    <w:rsid w:val="000E76EA"/>
    <w:rsid w:val="000E7A80"/>
    <w:rsid w:val="000E7C0C"/>
    <w:rsid w:val="000F0BC4"/>
    <w:rsid w:val="000F1230"/>
    <w:rsid w:val="000F15AD"/>
    <w:rsid w:val="000F1A1F"/>
    <w:rsid w:val="000F1EE2"/>
    <w:rsid w:val="000F21C9"/>
    <w:rsid w:val="000F2B1D"/>
    <w:rsid w:val="000F3C21"/>
    <w:rsid w:val="000F3FAD"/>
    <w:rsid w:val="000F3FDD"/>
    <w:rsid w:val="000F4D91"/>
    <w:rsid w:val="000F4E84"/>
    <w:rsid w:val="000F562C"/>
    <w:rsid w:val="000F6442"/>
    <w:rsid w:val="000F69C9"/>
    <w:rsid w:val="000F6AAD"/>
    <w:rsid w:val="000F6B1B"/>
    <w:rsid w:val="000F6DB5"/>
    <w:rsid w:val="000F768D"/>
    <w:rsid w:val="000F7A85"/>
    <w:rsid w:val="000F7D7A"/>
    <w:rsid w:val="000F7E9C"/>
    <w:rsid w:val="00100567"/>
    <w:rsid w:val="00100710"/>
    <w:rsid w:val="00100B9B"/>
    <w:rsid w:val="00100C63"/>
    <w:rsid w:val="0010127C"/>
    <w:rsid w:val="001012BC"/>
    <w:rsid w:val="0010171A"/>
    <w:rsid w:val="001019B2"/>
    <w:rsid w:val="001025A3"/>
    <w:rsid w:val="00103A16"/>
    <w:rsid w:val="0010572D"/>
    <w:rsid w:val="00105AA0"/>
    <w:rsid w:val="0010630E"/>
    <w:rsid w:val="00106547"/>
    <w:rsid w:val="00107AA4"/>
    <w:rsid w:val="00107D66"/>
    <w:rsid w:val="00110633"/>
    <w:rsid w:val="0011079A"/>
    <w:rsid w:val="00111690"/>
    <w:rsid w:val="00111E48"/>
    <w:rsid w:val="00112097"/>
    <w:rsid w:val="00112375"/>
    <w:rsid w:val="0011247F"/>
    <w:rsid w:val="0011261A"/>
    <w:rsid w:val="00112ACB"/>
    <w:rsid w:val="00113AC3"/>
    <w:rsid w:val="00113F60"/>
    <w:rsid w:val="001152B7"/>
    <w:rsid w:val="0011571D"/>
    <w:rsid w:val="00115C2B"/>
    <w:rsid w:val="00115DC2"/>
    <w:rsid w:val="00116F6E"/>
    <w:rsid w:val="0011722C"/>
    <w:rsid w:val="001177C0"/>
    <w:rsid w:val="00117858"/>
    <w:rsid w:val="00122FE2"/>
    <w:rsid w:val="001238D7"/>
    <w:rsid w:val="00123E77"/>
    <w:rsid w:val="00123FFC"/>
    <w:rsid w:val="00124641"/>
    <w:rsid w:val="00124CAD"/>
    <w:rsid w:val="00124F03"/>
    <w:rsid w:val="001252CC"/>
    <w:rsid w:val="001254AA"/>
    <w:rsid w:val="00125C11"/>
    <w:rsid w:val="00127036"/>
    <w:rsid w:val="00130051"/>
    <w:rsid w:val="00130554"/>
    <w:rsid w:val="001306E9"/>
    <w:rsid w:val="00130803"/>
    <w:rsid w:val="0013130E"/>
    <w:rsid w:val="0013189F"/>
    <w:rsid w:val="001318CA"/>
    <w:rsid w:val="0013220A"/>
    <w:rsid w:val="0013293E"/>
    <w:rsid w:val="00132C27"/>
    <w:rsid w:val="00132EBF"/>
    <w:rsid w:val="0013335E"/>
    <w:rsid w:val="001336F7"/>
    <w:rsid w:val="00133715"/>
    <w:rsid w:val="00133B59"/>
    <w:rsid w:val="00134190"/>
    <w:rsid w:val="00135825"/>
    <w:rsid w:val="00135E3F"/>
    <w:rsid w:val="0013656B"/>
    <w:rsid w:val="0013682A"/>
    <w:rsid w:val="00136C37"/>
    <w:rsid w:val="001371C7"/>
    <w:rsid w:val="0013722F"/>
    <w:rsid w:val="0013795D"/>
    <w:rsid w:val="00137A37"/>
    <w:rsid w:val="001400CC"/>
    <w:rsid w:val="00140163"/>
    <w:rsid w:val="001404D4"/>
    <w:rsid w:val="001407D7"/>
    <w:rsid w:val="0014094D"/>
    <w:rsid w:val="00140BA0"/>
    <w:rsid w:val="001412CD"/>
    <w:rsid w:val="001414D0"/>
    <w:rsid w:val="001414F2"/>
    <w:rsid w:val="00141882"/>
    <w:rsid w:val="00141908"/>
    <w:rsid w:val="00142966"/>
    <w:rsid w:val="00142E87"/>
    <w:rsid w:val="00143434"/>
    <w:rsid w:val="001437E3"/>
    <w:rsid w:val="001439D6"/>
    <w:rsid w:val="00143C66"/>
    <w:rsid w:val="001448DF"/>
    <w:rsid w:val="00144939"/>
    <w:rsid w:val="00144C86"/>
    <w:rsid w:val="00144E8D"/>
    <w:rsid w:val="00144F2B"/>
    <w:rsid w:val="00145341"/>
    <w:rsid w:val="001457E4"/>
    <w:rsid w:val="00145F18"/>
    <w:rsid w:val="00146A9E"/>
    <w:rsid w:val="00146FE2"/>
    <w:rsid w:val="00147252"/>
    <w:rsid w:val="001479C5"/>
    <w:rsid w:val="0015016A"/>
    <w:rsid w:val="00151D63"/>
    <w:rsid w:val="001528B8"/>
    <w:rsid w:val="00152E03"/>
    <w:rsid w:val="001540C3"/>
    <w:rsid w:val="00154FAF"/>
    <w:rsid w:val="00155550"/>
    <w:rsid w:val="00155720"/>
    <w:rsid w:val="00155F1C"/>
    <w:rsid w:val="00156312"/>
    <w:rsid w:val="00156677"/>
    <w:rsid w:val="0015667B"/>
    <w:rsid w:val="00160516"/>
    <w:rsid w:val="0016080F"/>
    <w:rsid w:val="001619DE"/>
    <w:rsid w:val="00161CEC"/>
    <w:rsid w:val="0016280E"/>
    <w:rsid w:val="0016334B"/>
    <w:rsid w:val="00163A35"/>
    <w:rsid w:val="0016435C"/>
    <w:rsid w:val="001646A6"/>
    <w:rsid w:val="00164B19"/>
    <w:rsid w:val="00165176"/>
    <w:rsid w:val="001659B4"/>
    <w:rsid w:val="001661A4"/>
    <w:rsid w:val="001663D3"/>
    <w:rsid w:val="00166694"/>
    <w:rsid w:val="00166A26"/>
    <w:rsid w:val="00166FA1"/>
    <w:rsid w:val="001706D0"/>
    <w:rsid w:val="00170D8F"/>
    <w:rsid w:val="00171422"/>
    <w:rsid w:val="00171C09"/>
    <w:rsid w:val="00171C47"/>
    <w:rsid w:val="00172211"/>
    <w:rsid w:val="0017264F"/>
    <w:rsid w:val="00173195"/>
    <w:rsid w:val="001737A4"/>
    <w:rsid w:val="00173C9F"/>
    <w:rsid w:val="0017457D"/>
    <w:rsid w:val="001748D5"/>
    <w:rsid w:val="00174FC6"/>
    <w:rsid w:val="0017506B"/>
    <w:rsid w:val="00175A2C"/>
    <w:rsid w:val="00175AD2"/>
    <w:rsid w:val="001761D4"/>
    <w:rsid w:val="00176A06"/>
    <w:rsid w:val="00176D52"/>
    <w:rsid w:val="00176F44"/>
    <w:rsid w:val="0017754C"/>
    <w:rsid w:val="001779A1"/>
    <w:rsid w:val="00177B44"/>
    <w:rsid w:val="001802DE"/>
    <w:rsid w:val="001809AA"/>
    <w:rsid w:val="00181BB5"/>
    <w:rsid w:val="00181CA3"/>
    <w:rsid w:val="00182059"/>
    <w:rsid w:val="00183560"/>
    <w:rsid w:val="00183AD2"/>
    <w:rsid w:val="00183BB9"/>
    <w:rsid w:val="00183DC1"/>
    <w:rsid w:val="0018484A"/>
    <w:rsid w:val="00184D88"/>
    <w:rsid w:val="0018603B"/>
    <w:rsid w:val="00186F75"/>
    <w:rsid w:val="00187D08"/>
    <w:rsid w:val="001901C0"/>
    <w:rsid w:val="001907AA"/>
    <w:rsid w:val="001909DE"/>
    <w:rsid w:val="0019120C"/>
    <w:rsid w:val="00191596"/>
    <w:rsid w:val="001916B7"/>
    <w:rsid w:val="0019189C"/>
    <w:rsid w:val="00191A82"/>
    <w:rsid w:val="001921FB"/>
    <w:rsid w:val="00192A25"/>
    <w:rsid w:val="00192DDB"/>
    <w:rsid w:val="001931F4"/>
    <w:rsid w:val="001935D1"/>
    <w:rsid w:val="00193DC4"/>
    <w:rsid w:val="0019403A"/>
    <w:rsid w:val="0019501A"/>
    <w:rsid w:val="001950BC"/>
    <w:rsid w:val="001951BD"/>
    <w:rsid w:val="00195379"/>
    <w:rsid w:val="001959B9"/>
    <w:rsid w:val="00195B68"/>
    <w:rsid w:val="00195D2B"/>
    <w:rsid w:val="00196DEF"/>
    <w:rsid w:val="0019773F"/>
    <w:rsid w:val="00197F08"/>
    <w:rsid w:val="001A02B6"/>
    <w:rsid w:val="001A0692"/>
    <w:rsid w:val="001A0EB7"/>
    <w:rsid w:val="001A1194"/>
    <w:rsid w:val="001A23F8"/>
    <w:rsid w:val="001A2922"/>
    <w:rsid w:val="001A3094"/>
    <w:rsid w:val="001A36AD"/>
    <w:rsid w:val="001A44A4"/>
    <w:rsid w:val="001A4ED9"/>
    <w:rsid w:val="001A58F9"/>
    <w:rsid w:val="001A5AB0"/>
    <w:rsid w:val="001A5AE7"/>
    <w:rsid w:val="001A5B81"/>
    <w:rsid w:val="001A67D7"/>
    <w:rsid w:val="001A6887"/>
    <w:rsid w:val="001A6A6E"/>
    <w:rsid w:val="001A7A15"/>
    <w:rsid w:val="001B0AAB"/>
    <w:rsid w:val="001B0DC7"/>
    <w:rsid w:val="001B20A7"/>
    <w:rsid w:val="001B2187"/>
    <w:rsid w:val="001B2E9A"/>
    <w:rsid w:val="001B466A"/>
    <w:rsid w:val="001B486B"/>
    <w:rsid w:val="001B4FD9"/>
    <w:rsid w:val="001B565E"/>
    <w:rsid w:val="001B59CE"/>
    <w:rsid w:val="001B5CF4"/>
    <w:rsid w:val="001B608A"/>
    <w:rsid w:val="001B6805"/>
    <w:rsid w:val="001B6A31"/>
    <w:rsid w:val="001B76D5"/>
    <w:rsid w:val="001B7971"/>
    <w:rsid w:val="001B7D7E"/>
    <w:rsid w:val="001C01AC"/>
    <w:rsid w:val="001C0494"/>
    <w:rsid w:val="001C166C"/>
    <w:rsid w:val="001C1809"/>
    <w:rsid w:val="001C261B"/>
    <w:rsid w:val="001C328E"/>
    <w:rsid w:val="001C3CB4"/>
    <w:rsid w:val="001C46D7"/>
    <w:rsid w:val="001C4A2A"/>
    <w:rsid w:val="001C4E58"/>
    <w:rsid w:val="001C51D7"/>
    <w:rsid w:val="001C60D9"/>
    <w:rsid w:val="001C744B"/>
    <w:rsid w:val="001D0540"/>
    <w:rsid w:val="001D085F"/>
    <w:rsid w:val="001D0C4E"/>
    <w:rsid w:val="001D11BF"/>
    <w:rsid w:val="001D194C"/>
    <w:rsid w:val="001D30F0"/>
    <w:rsid w:val="001D3232"/>
    <w:rsid w:val="001D328A"/>
    <w:rsid w:val="001D35D7"/>
    <w:rsid w:val="001D3873"/>
    <w:rsid w:val="001D39BB"/>
    <w:rsid w:val="001D3DBF"/>
    <w:rsid w:val="001D42AF"/>
    <w:rsid w:val="001D4CF5"/>
    <w:rsid w:val="001D4E17"/>
    <w:rsid w:val="001D54DD"/>
    <w:rsid w:val="001D5618"/>
    <w:rsid w:val="001D59BE"/>
    <w:rsid w:val="001D5A12"/>
    <w:rsid w:val="001D5EB8"/>
    <w:rsid w:val="001D6185"/>
    <w:rsid w:val="001D6763"/>
    <w:rsid w:val="001D6C4D"/>
    <w:rsid w:val="001D6D2C"/>
    <w:rsid w:val="001D78E9"/>
    <w:rsid w:val="001D79AC"/>
    <w:rsid w:val="001E26BF"/>
    <w:rsid w:val="001E271A"/>
    <w:rsid w:val="001E34DC"/>
    <w:rsid w:val="001E463E"/>
    <w:rsid w:val="001E4DE6"/>
    <w:rsid w:val="001E5226"/>
    <w:rsid w:val="001E5990"/>
    <w:rsid w:val="001E5E43"/>
    <w:rsid w:val="001E717E"/>
    <w:rsid w:val="001E74BA"/>
    <w:rsid w:val="001E7BCC"/>
    <w:rsid w:val="001F10EC"/>
    <w:rsid w:val="001F167A"/>
    <w:rsid w:val="001F1985"/>
    <w:rsid w:val="001F1C94"/>
    <w:rsid w:val="001F1FBC"/>
    <w:rsid w:val="001F24DD"/>
    <w:rsid w:val="001F2A73"/>
    <w:rsid w:val="001F2DEA"/>
    <w:rsid w:val="001F40FA"/>
    <w:rsid w:val="001F4249"/>
    <w:rsid w:val="001F4AEF"/>
    <w:rsid w:val="001F4DC4"/>
    <w:rsid w:val="001F5655"/>
    <w:rsid w:val="001F5925"/>
    <w:rsid w:val="001F6884"/>
    <w:rsid w:val="001F6B32"/>
    <w:rsid w:val="001F7633"/>
    <w:rsid w:val="001F7688"/>
    <w:rsid w:val="001F7E16"/>
    <w:rsid w:val="00200687"/>
    <w:rsid w:val="00200982"/>
    <w:rsid w:val="002009B3"/>
    <w:rsid w:val="00201691"/>
    <w:rsid w:val="00201741"/>
    <w:rsid w:val="0020205C"/>
    <w:rsid w:val="002034FD"/>
    <w:rsid w:val="00204261"/>
    <w:rsid w:val="00204355"/>
    <w:rsid w:val="002058F9"/>
    <w:rsid w:val="0020677E"/>
    <w:rsid w:val="002078BA"/>
    <w:rsid w:val="00207990"/>
    <w:rsid w:val="00207A0D"/>
    <w:rsid w:val="00210DD6"/>
    <w:rsid w:val="00210FD8"/>
    <w:rsid w:val="00211221"/>
    <w:rsid w:val="002114AA"/>
    <w:rsid w:val="0021172A"/>
    <w:rsid w:val="00212CD6"/>
    <w:rsid w:val="0021384F"/>
    <w:rsid w:val="00213890"/>
    <w:rsid w:val="002140E1"/>
    <w:rsid w:val="00214C0B"/>
    <w:rsid w:val="00215816"/>
    <w:rsid w:val="00216550"/>
    <w:rsid w:val="002166C2"/>
    <w:rsid w:val="00216C36"/>
    <w:rsid w:val="0021786D"/>
    <w:rsid w:val="00217E2A"/>
    <w:rsid w:val="002203A2"/>
    <w:rsid w:val="002204BD"/>
    <w:rsid w:val="00220C8E"/>
    <w:rsid w:val="0022109A"/>
    <w:rsid w:val="002211CD"/>
    <w:rsid w:val="00221649"/>
    <w:rsid w:val="00222134"/>
    <w:rsid w:val="002224CE"/>
    <w:rsid w:val="0022357F"/>
    <w:rsid w:val="00224476"/>
    <w:rsid w:val="00225F6B"/>
    <w:rsid w:val="00226B58"/>
    <w:rsid w:val="002271C6"/>
    <w:rsid w:val="0022763D"/>
    <w:rsid w:val="002277C1"/>
    <w:rsid w:val="00227D04"/>
    <w:rsid w:val="00227F46"/>
    <w:rsid w:val="00230370"/>
    <w:rsid w:val="0023062B"/>
    <w:rsid w:val="002309EF"/>
    <w:rsid w:val="002312D3"/>
    <w:rsid w:val="002314B4"/>
    <w:rsid w:val="00231F9D"/>
    <w:rsid w:val="00233632"/>
    <w:rsid w:val="00233D47"/>
    <w:rsid w:val="00234355"/>
    <w:rsid w:val="00235433"/>
    <w:rsid w:val="00236232"/>
    <w:rsid w:val="002362B2"/>
    <w:rsid w:val="002362D3"/>
    <w:rsid w:val="0023695D"/>
    <w:rsid w:val="0023734D"/>
    <w:rsid w:val="0023743A"/>
    <w:rsid w:val="0024010D"/>
    <w:rsid w:val="00240217"/>
    <w:rsid w:val="00240646"/>
    <w:rsid w:val="00240A31"/>
    <w:rsid w:val="00241141"/>
    <w:rsid w:val="00241A91"/>
    <w:rsid w:val="002428D4"/>
    <w:rsid w:val="00242F40"/>
    <w:rsid w:val="00242F63"/>
    <w:rsid w:val="00243DA5"/>
    <w:rsid w:val="0024400E"/>
    <w:rsid w:val="002442E0"/>
    <w:rsid w:val="002445D2"/>
    <w:rsid w:val="00244695"/>
    <w:rsid w:val="00245A0B"/>
    <w:rsid w:val="00245B8E"/>
    <w:rsid w:val="0024615F"/>
    <w:rsid w:val="00246C01"/>
    <w:rsid w:val="00247019"/>
    <w:rsid w:val="00247473"/>
    <w:rsid w:val="00247787"/>
    <w:rsid w:val="00247E8B"/>
    <w:rsid w:val="002503A9"/>
    <w:rsid w:val="0025175C"/>
    <w:rsid w:val="00251879"/>
    <w:rsid w:val="00252711"/>
    <w:rsid w:val="002527A9"/>
    <w:rsid w:val="002528EA"/>
    <w:rsid w:val="002529CE"/>
    <w:rsid w:val="002532ED"/>
    <w:rsid w:val="00253653"/>
    <w:rsid w:val="00254697"/>
    <w:rsid w:val="00254FCC"/>
    <w:rsid w:val="00255347"/>
    <w:rsid w:val="002555A7"/>
    <w:rsid w:val="00255E05"/>
    <w:rsid w:val="002566AE"/>
    <w:rsid w:val="002568B2"/>
    <w:rsid w:val="002573EF"/>
    <w:rsid w:val="002579FF"/>
    <w:rsid w:val="002604E8"/>
    <w:rsid w:val="0026065C"/>
    <w:rsid w:val="00260B76"/>
    <w:rsid w:val="00261F24"/>
    <w:rsid w:val="0026200F"/>
    <w:rsid w:val="002628D4"/>
    <w:rsid w:val="00262FF3"/>
    <w:rsid w:val="002634BF"/>
    <w:rsid w:val="0026388B"/>
    <w:rsid w:val="00263EE4"/>
    <w:rsid w:val="00264265"/>
    <w:rsid w:val="0026464E"/>
    <w:rsid w:val="002646DF"/>
    <w:rsid w:val="00264741"/>
    <w:rsid w:val="00265B08"/>
    <w:rsid w:val="002667C7"/>
    <w:rsid w:val="0026768A"/>
    <w:rsid w:val="00267E27"/>
    <w:rsid w:val="00267E6F"/>
    <w:rsid w:val="002701FF"/>
    <w:rsid w:val="00270ADC"/>
    <w:rsid w:val="00270B03"/>
    <w:rsid w:val="00270CA5"/>
    <w:rsid w:val="00270EA4"/>
    <w:rsid w:val="00271351"/>
    <w:rsid w:val="002726AC"/>
    <w:rsid w:val="00272CCE"/>
    <w:rsid w:val="002745B0"/>
    <w:rsid w:val="00275012"/>
    <w:rsid w:val="0027523D"/>
    <w:rsid w:val="00275DD4"/>
    <w:rsid w:val="0027745A"/>
    <w:rsid w:val="00277826"/>
    <w:rsid w:val="00277EF1"/>
    <w:rsid w:val="002802F9"/>
    <w:rsid w:val="002803AC"/>
    <w:rsid w:val="002803C1"/>
    <w:rsid w:val="0028051C"/>
    <w:rsid w:val="002813B0"/>
    <w:rsid w:val="002817B3"/>
    <w:rsid w:val="002829FF"/>
    <w:rsid w:val="00283F49"/>
    <w:rsid w:val="00283FD8"/>
    <w:rsid w:val="002840AC"/>
    <w:rsid w:val="00285D6B"/>
    <w:rsid w:val="00286681"/>
    <w:rsid w:val="00286F5F"/>
    <w:rsid w:val="0028764A"/>
    <w:rsid w:val="002879EB"/>
    <w:rsid w:val="00287AAB"/>
    <w:rsid w:val="00287DE7"/>
    <w:rsid w:val="00287FC7"/>
    <w:rsid w:val="002902B4"/>
    <w:rsid w:val="002904E9"/>
    <w:rsid w:val="00290594"/>
    <w:rsid w:val="002913BC"/>
    <w:rsid w:val="002915C2"/>
    <w:rsid w:val="00291F94"/>
    <w:rsid w:val="00292146"/>
    <w:rsid w:val="00292287"/>
    <w:rsid w:val="002923AA"/>
    <w:rsid w:val="00293748"/>
    <w:rsid w:val="00293B7E"/>
    <w:rsid w:val="00294664"/>
    <w:rsid w:val="0029467B"/>
    <w:rsid w:val="00294D3A"/>
    <w:rsid w:val="00294F8F"/>
    <w:rsid w:val="0029504D"/>
    <w:rsid w:val="00295870"/>
    <w:rsid w:val="00295EE4"/>
    <w:rsid w:val="00296444"/>
    <w:rsid w:val="00296B71"/>
    <w:rsid w:val="00296D37"/>
    <w:rsid w:val="00297291"/>
    <w:rsid w:val="002972C7"/>
    <w:rsid w:val="002975C1"/>
    <w:rsid w:val="002976F6"/>
    <w:rsid w:val="0029782A"/>
    <w:rsid w:val="002A014D"/>
    <w:rsid w:val="002A0654"/>
    <w:rsid w:val="002A070B"/>
    <w:rsid w:val="002A089B"/>
    <w:rsid w:val="002A108C"/>
    <w:rsid w:val="002A2F13"/>
    <w:rsid w:val="002A366B"/>
    <w:rsid w:val="002A4214"/>
    <w:rsid w:val="002A4294"/>
    <w:rsid w:val="002A45E4"/>
    <w:rsid w:val="002A4601"/>
    <w:rsid w:val="002A5595"/>
    <w:rsid w:val="002A5629"/>
    <w:rsid w:val="002A5712"/>
    <w:rsid w:val="002A6941"/>
    <w:rsid w:val="002A6B7B"/>
    <w:rsid w:val="002A7BE4"/>
    <w:rsid w:val="002B058F"/>
    <w:rsid w:val="002B08C5"/>
    <w:rsid w:val="002B093E"/>
    <w:rsid w:val="002B1CCC"/>
    <w:rsid w:val="002B2EB0"/>
    <w:rsid w:val="002B3868"/>
    <w:rsid w:val="002B3DE5"/>
    <w:rsid w:val="002B475D"/>
    <w:rsid w:val="002B4F33"/>
    <w:rsid w:val="002B62B5"/>
    <w:rsid w:val="002B6705"/>
    <w:rsid w:val="002B7079"/>
    <w:rsid w:val="002B744E"/>
    <w:rsid w:val="002C0CAB"/>
    <w:rsid w:val="002C113C"/>
    <w:rsid w:val="002C1801"/>
    <w:rsid w:val="002C1E89"/>
    <w:rsid w:val="002C1FA3"/>
    <w:rsid w:val="002C2253"/>
    <w:rsid w:val="002C2788"/>
    <w:rsid w:val="002C2A2B"/>
    <w:rsid w:val="002C3875"/>
    <w:rsid w:val="002C3C48"/>
    <w:rsid w:val="002C3D82"/>
    <w:rsid w:val="002C446B"/>
    <w:rsid w:val="002C593D"/>
    <w:rsid w:val="002C67CA"/>
    <w:rsid w:val="002C721E"/>
    <w:rsid w:val="002C7405"/>
    <w:rsid w:val="002C78C7"/>
    <w:rsid w:val="002D0578"/>
    <w:rsid w:val="002D05CD"/>
    <w:rsid w:val="002D16FB"/>
    <w:rsid w:val="002D1872"/>
    <w:rsid w:val="002D1E9D"/>
    <w:rsid w:val="002D3464"/>
    <w:rsid w:val="002D3A51"/>
    <w:rsid w:val="002D4354"/>
    <w:rsid w:val="002D4CE2"/>
    <w:rsid w:val="002D5B3D"/>
    <w:rsid w:val="002D648C"/>
    <w:rsid w:val="002D6CA5"/>
    <w:rsid w:val="002D7E2D"/>
    <w:rsid w:val="002E027D"/>
    <w:rsid w:val="002E0AA2"/>
    <w:rsid w:val="002E0B93"/>
    <w:rsid w:val="002E24A9"/>
    <w:rsid w:val="002E2B64"/>
    <w:rsid w:val="002E3369"/>
    <w:rsid w:val="002E35C1"/>
    <w:rsid w:val="002E3C70"/>
    <w:rsid w:val="002E3CC0"/>
    <w:rsid w:val="002E4195"/>
    <w:rsid w:val="002E4FFB"/>
    <w:rsid w:val="002E514C"/>
    <w:rsid w:val="002E53FC"/>
    <w:rsid w:val="002E5563"/>
    <w:rsid w:val="002E5BD1"/>
    <w:rsid w:val="002E6F7E"/>
    <w:rsid w:val="002E7A19"/>
    <w:rsid w:val="002E7F49"/>
    <w:rsid w:val="002F0731"/>
    <w:rsid w:val="002F10B9"/>
    <w:rsid w:val="002F2218"/>
    <w:rsid w:val="002F240E"/>
    <w:rsid w:val="002F2897"/>
    <w:rsid w:val="002F2DCD"/>
    <w:rsid w:val="002F3DED"/>
    <w:rsid w:val="002F4C71"/>
    <w:rsid w:val="002F5618"/>
    <w:rsid w:val="002F5654"/>
    <w:rsid w:val="002F5782"/>
    <w:rsid w:val="002F5B1C"/>
    <w:rsid w:val="002F5C87"/>
    <w:rsid w:val="002F5F61"/>
    <w:rsid w:val="002F6BF5"/>
    <w:rsid w:val="002F6D5F"/>
    <w:rsid w:val="002F7669"/>
    <w:rsid w:val="002F7A0A"/>
    <w:rsid w:val="002F7B12"/>
    <w:rsid w:val="002F7CD9"/>
    <w:rsid w:val="003004E0"/>
    <w:rsid w:val="00300666"/>
    <w:rsid w:val="003010E1"/>
    <w:rsid w:val="00301464"/>
    <w:rsid w:val="00301792"/>
    <w:rsid w:val="00301D23"/>
    <w:rsid w:val="0030204F"/>
    <w:rsid w:val="00302383"/>
    <w:rsid w:val="003026D4"/>
    <w:rsid w:val="003026EC"/>
    <w:rsid w:val="003029F2"/>
    <w:rsid w:val="00302D61"/>
    <w:rsid w:val="00302E76"/>
    <w:rsid w:val="00303156"/>
    <w:rsid w:val="00303BA6"/>
    <w:rsid w:val="00303E50"/>
    <w:rsid w:val="0030609B"/>
    <w:rsid w:val="00306321"/>
    <w:rsid w:val="00306681"/>
    <w:rsid w:val="003074B1"/>
    <w:rsid w:val="003075AF"/>
    <w:rsid w:val="003077DA"/>
    <w:rsid w:val="00310603"/>
    <w:rsid w:val="003109AD"/>
    <w:rsid w:val="00310AEA"/>
    <w:rsid w:val="00310E29"/>
    <w:rsid w:val="0031229C"/>
    <w:rsid w:val="00312632"/>
    <w:rsid w:val="00314197"/>
    <w:rsid w:val="00314431"/>
    <w:rsid w:val="003159E6"/>
    <w:rsid w:val="0031619A"/>
    <w:rsid w:val="00316B45"/>
    <w:rsid w:val="00316D96"/>
    <w:rsid w:val="00317ABE"/>
    <w:rsid w:val="00317B81"/>
    <w:rsid w:val="003227F6"/>
    <w:rsid w:val="00323D1D"/>
    <w:rsid w:val="0032419C"/>
    <w:rsid w:val="00324471"/>
    <w:rsid w:val="00324643"/>
    <w:rsid w:val="003248F3"/>
    <w:rsid w:val="00324ED9"/>
    <w:rsid w:val="00325E29"/>
    <w:rsid w:val="003263F8"/>
    <w:rsid w:val="00326D91"/>
    <w:rsid w:val="00327A5D"/>
    <w:rsid w:val="00327ABF"/>
    <w:rsid w:val="00330101"/>
    <w:rsid w:val="00330203"/>
    <w:rsid w:val="003306E4"/>
    <w:rsid w:val="003308FD"/>
    <w:rsid w:val="00331119"/>
    <w:rsid w:val="00332011"/>
    <w:rsid w:val="0033233D"/>
    <w:rsid w:val="003329E7"/>
    <w:rsid w:val="00332DE8"/>
    <w:rsid w:val="00333423"/>
    <w:rsid w:val="003335D1"/>
    <w:rsid w:val="003337D0"/>
    <w:rsid w:val="00333F37"/>
    <w:rsid w:val="003348FE"/>
    <w:rsid w:val="00334A31"/>
    <w:rsid w:val="0033581D"/>
    <w:rsid w:val="003358A4"/>
    <w:rsid w:val="00336B5D"/>
    <w:rsid w:val="00336BB7"/>
    <w:rsid w:val="00336F57"/>
    <w:rsid w:val="0033704D"/>
    <w:rsid w:val="0034005A"/>
    <w:rsid w:val="003409FC"/>
    <w:rsid w:val="00340A8A"/>
    <w:rsid w:val="00340AED"/>
    <w:rsid w:val="00341A8B"/>
    <w:rsid w:val="00341FAD"/>
    <w:rsid w:val="0034357F"/>
    <w:rsid w:val="00343D72"/>
    <w:rsid w:val="00344676"/>
    <w:rsid w:val="00344831"/>
    <w:rsid w:val="0034483D"/>
    <w:rsid w:val="00344921"/>
    <w:rsid w:val="0034494C"/>
    <w:rsid w:val="00345128"/>
    <w:rsid w:val="0034539F"/>
    <w:rsid w:val="003454DF"/>
    <w:rsid w:val="0034598A"/>
    <w:rsid w:val="00345AAD"/>
    <w:rsid w:val="0034714D"/>
    <w:rsid w:val="003475AD"/>
    <w:rsid w:val="00347D4F"/>
    <w:rsid w:val="003501A6"/>
    <w:rsid w:val="0035094E"/>
    <w:rsid w:val="0035143C"/>
    <w:rsid w:val="0035188A"/>
    <w:rsid w:val="003519ED"/>
    <w:rsid w:val="00351E12"/>
    <w:rsid w:val="00351F90"/>
    <w:rsid w:val="003525B5"/>
    <w:rsid w:val="003529E0"/>
    <w:rsid w:val="00354354"/>
    <w:rsid w:val="00355051"/>
    <w:rsid w:val="0035528D"/>
    <w:rsid w:val="003552C3"/>
    <w:rsid w:val="0035550D"/>
    <w:rsid w:val="00355873"/>
    <w:rsid w:val="00355C16"/>
    <w:rsid w:val="00355F13"/>
    <w:rsid w:val="00355F49"/>
    <w:rsid w:val="00356360"/>
    <w:rsid w:val="00356679"/>
    <w:rsid w:val="0035679D"/>
    <w:rsid w:val="00356DE8"/>
    <w:rsid w:val="00356E4A"/>
    <w:rsid w:val="00357436"/>
    <w:rsid w:val="00361102"/>
    <w:rsid w:val="00361981"/>
    <w:rsid w:val="00361996"/>
    <w:rsid w:val="003619D0"/>
    <w:rsid w:val="003633D7"/>
    <w:rsid w:val="0036388F"/>
    <w:rsid w:val="00363CDB"/>
    <w:rsid w:val="00363CE2"/>
    <w:rsid w:val="00364634"/>
    <w:rsid w:val="0036486A"/>
    <w:rsid w:val="003661AC"/>
    <w:rsid w:val="00366AD5"/>
    <w:rsid w:val="00366B71"/>
    <w:rsid w:val="003670A9"/>
    <w:rsid w:val="003679AA"/>
    <w:rsid w:val="00370148"/>
    <w:rsid w:val="00370424"/>
    <w:rsid w:val="00370681"/>
    <w:rsid w:val="00370858"/>
    <w:rsid w:val="00370C22"/>
    <w:rsid w:val="00370C5E"/>
    <w:rsid w:val="00370FFE"/>
    <w:rsid w:val="003711AF"/>
    <w:rsid w:val="003713A0"/>
    <w:rsid w:val="003713D3"/>
    <w:rsid w:val="0037308D"/>
    <w:rsid w:val="00373103"/>
    <w:rsid w:val="003735AD"/>
    <w:rsid w:val="00373A65"/>
    <w:rsid w:val="00374617"/>
    <w:rsid w:val="00374AC4"/>
    <w:rsid w:val="00375536"/>
    <w:rsid w:val="00375D63"/>
    <w:rsid w:val="00376449"/>
    <w:rsid w:val="00377D81"/>
    <w:rsid w:val="0038180B"/>
    <w:rsid w:val="003819B1"/>
    <w:rsid w:val="00383E6C"/>
    <w:rsid w:val="00384579"/>
    <w:rsid w:val="00385A98"/>
    <w:rsid w:val="00385BB8"/>
    <w:rsid w:val="00385DB3"/>
    <w:rsid w:val="0038666E"/>
    <w:rsid w:val="00386BA0"/>
    <w:rsid w:val="00390452"/>
    <w:rsid w:val="00390B9C"/>
    <w:rsid w:val="00390E9E"/>
    <w:rsid w:val="00391421"/>
    <w:rsid w:val="00391A47"/>
    <w:rsid w:val="00391CA2"/>
    <w:rsid w:val="003924E2"/>
    <w:rsid w:val="00394082"/>
    <w:rsid w:val="00394B8E"/>
    <w:rsid w:val="00394DF4"/>
    <w:rsid w:val="0039513B"/>
    <w:rsid w:val="0039529B"/>
    <w:rsid w:val="003953F9"/>
    <w:rsid w:val="00395644"/>
    <w:rsid w:val="0039579A"/>
    <w:rsid w:val="00395937"/>
    <w:rsid w:val="00395E64"/>
    <w:rsid w:val="00395ED6"/>
    <w:rsid w:val="00396288"/>
    <w:rsid w:val="0039691A"/>
    <w:rsid w:val="00396AA3"/>
    <w:rsid w:val="00396EB6"/>
    <w:rsid w:val="00397DA3"/>
    <w:rsid w:val="003A005E"/>
    <w:rsid w:val="003A0291"/>
    <w:rsid w:val="003A0C9D"/>
    <w:rsid w:val="003A0F8E"/>
    <w:rsid w:val="003A1405"/>
    <w:rsid w:val="003A19B1"/>
    <w:rsid w:val="003A2BEA"/>
    <w:rsid w:val="003A33B6"/>
    <w:rsid w:val="003A365D"/>
    <w:rsid w:val="003A397E"/>
    <w:rsid w:val="003A3FCB"/>
    <w:rsid w:val="003A4CDD"/>
    <w:rsid w:val="003A563D"/>
    <w:rsid w:val="003A567F"/>
    <w:rsid w:val="003A5968"/>
    <w:rsid w:val="003A5A49"/>
    <w:rsid w:val="003A6109"/>
    <w:rsid w:val="003A61E4"/>
    <w:rsid w:val="003A6BC7"/>
    <w:rsid w:val="003A6C4B"/>
    <w:rsid w:val="003A72E6"/>
    <w:rsid w:val="003A7359"/>
    <w:rsid w:val="003A7A89"/>
    <w:rsid w:val="003B064F"/>
    <w:rsid w:val="003B1982"/>
    <w:rsid w:val="003B1D73"/>
    <w:rsid w:val="003B201B"/>
    <w:rsid w:val="003B274D"/>
    <w:rsid w:val="003B30A4"/>
    <w:rsid w:val="003B33F6"/>
    <w:rsid w:val="003B3AF3"/>
    <w:rsid w:val="003B3FDF"/>
    <w:rsid w:val="003B468A"/>
    <w:rsid w:val="003B50AE"/>
    <w:rsid w:val="003B5666"/>
    <w:rsid w:val="003B5BEA"/>
    <w:rsid w:val="003B6368"/>
    <w:rsid w:val="003B6C0E"/>
    <w:rsid w:val="003B6D33"/>
    <w:rsid w:val="003B6F60"/>
    <w:rsid w:val="003B7314"/>
    <w:rsid w:val="003B7579"/>
    <w:rsid w:val="003B7D2D"/>
    <w:rsid w:val="003B7E74"/>
    <w:rsid w:val="003C0E4F"/>
    <w:rsid w:val="003C10FE"/>
    <w:rsid w:val="003C18CD"/>
    <w:rsid w:val="003C1BFD"/>
    <w:rsid w:val="003C1E90"/>
    <w:rsid w:val="003C2E5B"/>
    <w:rsid w:val="003C32AB"/>
    <w:rsid w:val="003C3983"/>
    <w:rsid w:val="003C4432"/>
    <w:rsid w:val="003C4F1A"/>
    <w:rsid w:val="003C510B"/>
    <w:rsid w:val="003C516B"/>
    <w:rsid w:val="003C5201"/>
    <w:rsid w:val="003C672B"/>
    <w:rsid w:val="003C6BF0"/>
    <w:rsid w:val="003C6D65"/>
    <w:rsid w:val="003C7621"/>
    <w:rsid w:val="003C797C"/>
    <w:rsid w:val="003C7A24"/>
    <w:rsid w:val="003C7DD3"/>
    <w:rsid w:val="003D0298"/>
    <w:rsid w:val="003D030E"/>
    <w:rsid w:val="003D03DD"/>
    <w:rsid w:val="003D0741"/>
    <w:rsid w:val="003D114A"/>
    <w:rsid w:val="003D1743"/>
    <w:rsid w:val="003D2E63"/>
    <w:rsid w:val="003D30A7"/>
    <w:rsid w:val="003D30E3"/>
    <w:rsid w:val="003D3C63"/>
    <w:rsid w:val="003D5498"/>
    <w:rsid w:val="003D5A14"/>
    <w:rsid w:val="003D5FC4"/>
    <w:rsid w:val="003D73D6"/>
    <w:rsid w:val="003E017C"/>
    <w:rsid w:val="003E0D27"/>
    <w:rsid w:val="003E0E13"/>
    <w:rsid w:val="003E1399"/>
    <w:rsid w:val="003E1772"/>
    <w:rsid w:val="003E1954"/>
    <w:rsid w:val="003E1D96"/>
    <w:rsid w:val="003E33FF"/>
    <w:rsid w:val="003E343D"/>
    <w:rsid w:val="003E397B"/>
    <w:rsid w:val="003E459B"/>
    <w:rsid w:val="003E4F0F"/>
    <w:rsid w:val="003E5B19"/>
    <w:rsid w:val="003E5EAC"/>
    <w:rsid w:val="003E6986"/>
    <w:rsid w:val="003E7C39"/>
    <w:rsid w:val="003E7CB6"/>
    <w:rsid w:val="003E7D24"/>
    <w:rsid w:val="003F0F9E"/>
    <w:rsid w:val="003F1339"/>
    <w:rsid w:val="003F13A1"/>
    <w:rsid w:val="003F1868"/>
    <w:rsid w:val="003F1A14"/>
    <w:rsid w:val="003F2EF4"/>
    <w:rsid w:val="003F3B3E"/>
    <w:rsid w:val="003F3BE1"/>
    <w:rsid w:val="003F41E9"/>
    <w:rsid w:val="003F4228"/>
    <w:rsid w:val="003F4AD0"/>
    <w:rsid w:val="003F4C50"/>
    <w:rsid w:val="003F5618"/>
    <w:rsid w:val="003F570A"/>
    <w:rsid w:val="003F59A8"/>
    <w:rsid w:val="003F5C3A"/>
    <w:rsid w:val="003F654C"/>
    <w:rsid w:val="003F6883"/>
    <w:rsid w:val="003F690D"/>
    <w:rsid w:val="003F6C91"/>
    <w:rsid w:val="003F6F4A"/>
    <w:rsid w:val="003F7AE5"/>
    <w:rsid w:val="003F7B36"/>
    <w:rsid w:val="0040014E"/>
    <w:rsid w:val="00400AE4"/>
    <w:rsid w:val="00401B5C"/>
    <w:rsid w:val="00402ED1"/>
    <w:rsid w:val="0040353A"/>
    <w:rsid w:val="00403D87"/>
    <w:rsid w:val="00403EF0"/>
    <w:rsid w:val="00404860"/>
    <w:rsid w:val="004050AD"/>
    <w:rsid w:val="00405595"/>
    <w:rsid w:val="00405A94"/>
    <w:rsid w:val="00406E24"/>
    <w:rsid w:val="00406E79"/>
    <w:rsid w:val="00406E90"/>
    <w:rsid w:val="00407CD6"/>
    <w:rsid w:val="004100A1"/>
    <w:rsid w:val="00410B4D"/>
    <w:rsid w:val="00411189"/>
    <w:rsid w:val="00411BF0"/>
    <w:rsid w:val="00411D85"/>
    <w:rsid w:val="00412D01"/>
    <w:rsid w:val="00413E57"/>
    <w:rsid w:val="00414010"/>
    <w:rsid w:val="0041404F"/>
    <w:rsid w:val="0041421B"/>
    <w:rsid w:val="00415658"/>
    <w:rsid w:val="004161B2"/>
    <w:rsid w:val="004167DD"/>
    <w:rsid w:val="0041711E"/>
    <w:rsid w:val="0041715F"/>
    <w:rsid w:val="004176EA"/>
    <w:rsid w:val="00417B24"/>
    <w:rsid w:val="00420EE0"/>
    <w:rsid w:val="00420F7A"/>
    <w:rsid w:val="00421A80"/>
    <w:rsid w:val="00422593"/>
    <w:rsid w:val="00423BE5"/>
    <w:rsid w:val="0042499D"/>
    <w:rsid w:val="00424D5D"/>
    <w:rsid w:val="00424D5F"/>
    <w:rsid w:val="00424D99"/>
    <w:rsid w:val="00425C32"/>
    <w:rsid w:val="00425E89"/>
    <w:rsid w:val="00425ECF"/>
    <w:rsid w:val="0042627B"/>
    <w:rsid w:val="004262E5"/>
    <w:rsid w:val="004277E3"/>
    <w:rsid w:val="004305E1"/>
    <w:rsid w:val="00430B24"/>
    <w:rsid w:val="00430BDD"/>
    <w:rsid w:val="004312DA"/>
    <w:rsid w:val="00431E08"/>
    <w:rsid w:val="0043250A"/>
    <w:rsid w:val="00432C68"/>
    <w:rsid w:val="00433C87"/>
    <w:rsid w:val="00433D8D"/>
    <w:rsid w:val="00434AB8"/>
    <w:rsid w:val="00434D11"/>
    <w:rsid w:val="00434E5E"/>
    <w:rsid w:val="00435479"/>
    <w:rsid w:val="00435D40"/>
    <w:rsid w:val="00436FA5"/>
    <w:rsid w:val="0044003D"/>
    <w:rsid w:val="004406DA"/>
    <w:rsid w:val="00440BD3"/>
    <w:rsid w:val="00441220"/>
    <w:rsid w:val="00441C7D"/>
    <w:rsid w:val="00441EC8"/>
    <w:rsid w:val="004422AD"/>
    <w:rsid w:val="00442FFF"/>
    <w:rsid w:val="00443450"/>
    <w:rsid w:val="0044391E"/>
    <w:rsid w:val="00443ED6"/>
    <w:rsid w:val="00444255"/>
    <w:rsid w:val="00444ABE"/>
    <w:rsid w:val="004473DD"/>
    <w:rsid w:val="0044740D"/>
    <w:rsid w:val="0044759F"/>
    <w:rsid w:val="00450307"/>
    <w:rsid w:val="0045171C"/>
    <w:rsid w:val="0045250D"/>
    <w:rsid w:val="004531D0"/>
    <w:rsid w:val="00454842"/>
    <w:rsid w:val="00455305"/>
    <w:rsid w:val="004558B4"/>
    <w:rsid w:val="0045653E"/>
    <w:rsid w:val="00456AD1"/>
    <w:rsid w:val="00456D39"/>
    <w:rsid w:val="004573E7"/>
    <w:rsid w:val="004574BC"/>
    <w:rsid w:val="00457A8C"/>
    <w:rsid w:val="004604C2"/>
    <w:rsid w:val="004606C9"/>
    <w:rsid w:val="0046118F"/>
    <w:rsid w:val="00461BCB"/>
    <w:rsid w:val="00462109"/>
    <w:rsid w:val="004635F1"/>
    <w:rsid w:val="00463ABB"/>
    <w:rsid w:val="0046455B"/>
    <w:rsid w:val="00464FF7"/>
    <w:rsid w:val="004654E5"/>
    <w:rsid w:val="00465B78"/>
    <w:rsid w:val="004668C2"/>
    <w:rsid w:val="00470F39"/>
    <w:rsid w:val="00471507"/>
    <w:rsid w:val="004721D3"/>
    <w:rsid w:val="004724E3"/>
    <w:rsid w:val="00472694"/>
    <w:rsid w:val="0047326F"/>
    <w:rsid w:val="0047472C"/>
    <w:rsid w:val="00474BD0"/>
    <w:rsid w:val="00475C09"/>
    <w:rsid w:val="00475D8F"/>
    <w:rsid w:val="00475E28"/>
    <w:rsid w:val="0047621E"/>
    <w:rsid w:val="004764B7"/>
    <w:rsid w:val="00476701"/>
    <w:rsid w:val="00476725"/>
    <w:rsid w:val="00476EE3"/>
    <w:rsid w:val="004776F0"/>
    <w:rsid w:val="00477C85"/>
    <w:rsid w:val="00481465"/>
    <w:rsid w:val="00481834"/>
    <w:rsid w:val="00482416"/>
    <w:rsid w:val="00482703"/>
    <w:rsid w:val="00482991"/>
    <w:rsid w:val="00482AB5"/>
    <w:rsid w:val="004834D2"/>
    <w:rsid w:val="004835E7"/>
    <w:rsid w:val="00483EB0"/>
    <w:rsid w:val="00483FF2"/>
    <w:rsid w:val="00484C30"/>
    <w:rsid w:val="0048623F"/>
    <w:rsid w:val="00486325"/>
    <w:rsid w:val="0048691E"/>
    <w:rsid w:val="00487214"/>
    <w:rsid w:val="00487C38"/>
    <w:rsid w:val="00487E5E"/>
    <w:rsid w:val="00487F2B"/>
    <w:rsid w:val="0049000C"/>
    <w:rsid w:val="004900D1"/>
    <w:rsid w:val="0049057E"/>
    <w:rsid w:val="00490FA4"/>
    <w:rsid w:val="0049171B"/>
    <w:rsid w:val="00491769"/>
    <w:rsid w:val="0049188E"/>
    <w:rsid w:val="00491AC0"/>
    <w:rsid w:val="00491C3C"/>
    <w:rsid w:val="0049206C"/>
    <w:rsid w:val="004939DC"/>
    <w:rsid w:val="004940E0"/>
    <w:rsid w:val="004947EC"/>
    <w:rsid w:val="00494A50"/>
    <w:rsid w:val="00494EB4"/>
    <w:rsid w:val="00495517"/>
    <w:rsid w:val="00496399"/>
    <w:rsid w:val="004964C4"/>
    <w:rsid w:val="004966BB"/>
    <w:rsid w:val="00496D84"/>
    <w:rsid w:val="00496DF2"/>
    <w:rsid w:val="004A1416"/>
    <w:rsid w:val="004A14BA"/>
    <w:rsid w:val="004A1BA7"/>
    <w:rsid w:val="004A1D0A"/>
    <w:rsid w:val="004A27EE"/>
    <w:rsid w:val="004A2D94"/>
    <w:rsid w:val="004A2E4D"/>
    <w:rsid w:val="004A3DD2"/>
    <w:rsid w:val="004A4835"/>
    <w:rsid w:val="004A494D"/>
    <w:rsid w:val="004A4C67"/>
    <w:rsid w:val="004A5140"/>
    <w:rsid w:val="004A54DF"/>
    <w:rsid w:val="004A5555"/>
    <w:rsid w:val="004A5564"/>
    <w:rsid w:val="004A5698"/>
    <w:rsid w:val="004A61E6"/>
    <w:rsid w:val="004A6227"/>
    <w:rsid w:val="004A6325"/>
    <w:rsid w:val="004A7151"/>
    <w:rsid w:val="004B0F10"/>
    <w:rsid w:val="004B1306"/>
    <w:rsid w:val="004B211D"/>
    <w:rsid w:val="004B2511"/>
    <w:rsid w:val="004B2A95"/>
    <w:rsid w:val="004B39D8"/>
    <w:rsid w:val="004B4851"/>
    <w:rsid w:val="004B49AC"/>
    <w:rsid w:val="004B556C"/>
    <w:rsid w:val="004B5B65"/>
    <w:rsid w:val="004B6284"/>
    <w:rsid w:val="004B65B4"/>
    <w:rsid w:val="004B6FB9"/>
    <w:rsid w:val="004B71D2"/>
    <w:rsid w:val="004B77C7"/>
    <w:rsid w:val="004B7DFB"/>
    <w:rsid w:val="004C061F"/>
    <w:rsid w:val="004C152B"/>
    <w:rsid w:val="004C17FD"/>
    <w:rsid w:val="004C181A"/>
    <w:rsid w:val="004C19AA"/>
    <w:rsid w:val="004C1C7E"/>
    <w:rsid w:val="004C257D"/>
    <w:rsid w:val="004C2C04"/>
    <w:rsid w:val="004C2D63"/>
    <w:rsid w:val="004C2DF0"/>
    <w:rsid w:val="004C2E86"/>
    <w:rsid w:val="004C30EB"/>
    <w:rsid w:val="004C3D61"/>
    <w:rsid w:val="004C40B5"/>
    <w:rsid w:val="004C5446"/>
    <w:rsid w:val="004C5B9B"/>
    <w:rsid w:val="004C615C"/>
    <w:rsid w:val="004C646A"/>
    <w:rsid w:val="004C6608"/>
    <w:rsid w:val="004C6800"/>
    <w:rsid w:val="004C6926"/>
    <w:rsid w:val="004C7097"/>
    <w:rsid w:val="004C76B0"/>
    <w:rsid w:val="004C79C1"/>
    <w:rsid w:val="004C7BF0"/>
    <w:rsid w:val="004D08D6"/>
    <w:rsid w:val="004D11B7"/>
    <w:rsid w:val="004D1279"/>
    <w:rsid w:val="004D1350"/>
    <w:rsid w:val="004D1387"/>
    <w:rsid w:val="004D2575"/>
    <w:rsid w:val="004D322D"/>
    <w:rsid w:val="004D3EB0"/>
    <w:rsid w:val="004D55B9"/>
    <w:rsid w:val="004D5966"/>
    <w:rsid w:val="004D5989"/>
    <w:rsid w:val="004D5C79"/>
    <w:rsid w:val="004D5E94"/>
    <w:rsid w:val="004D68A9"/>
    <w:rsid w:val="004D7085"/>
    <w:rsid w:val="004D7379"/>
    <w:rsid w:val="004D780A"/>
    <w:rsid w:val="004E01F8"/>
    <w:rsid w:val="004E1349"/>
    <w:rsid w:val="004E1917"/>
    <w:rsid w:val="004E1A6F"/>
    <w:rsid w:val="004E1DE0"/>
    <w:rsid w:val="004E25A0"/>
    <w:rsid w:val="004E2DD5"/>
    <w:rsid w:val="004E3A16"/>
    <w:rsid w:val="004E4006"/>
    <w:rsid w:val="004E42AC"/>
    <w:rsid w:val="004E48CE"/>
    <w:rsid w:val="004E531E"/>
    <w:rsid w:val="004E5959"/>
    <w:rsid w:val="004E5D40"/>
    <w:rsid w:val="004E61CA"/>
    <w:rsid w:val="004E7A0B"/>
    <w:rsid w:val="004F01EE"/>
    <w:rsid w:val="004F0A4C"/>
    <w:rsid w:val="004F1AD4"/>
    <w:rsid w:val="004F2C39"/>
    <w:rsid w:val="004F2D6F"/>
    <w:rsid w:val="004F358B"/>
    <w:rsid w:val="004F6002"/>
    <w:rsid w:val="004F6384"/>
    <w:rsid w:val="004F66B7"/>
    <w:rsid w:val="004F6D3A"/>
    <w:rsid w:val="004F6FBF"/>
    <w:rsid w:val="004F712D"/>
    <w:rsid w:val="00500EA8"/>
    <w:rsid w:val="0050112C"/>
    <w:rsid w:val="0050122F"/>
    <w:rsid w:val="0050156B"/>
    <w:rsid w:val="00501F54"/>
    <w:rsid w:val="005026B5"/>
    <w:rsid w:val="0050366D"/>
    <w:rsid w:val="00503873"/>
    <w:rsid w:val="00504242"/>
    <w:rsid w:val="005044A1"/>
    <w:rsid w:val="00504C58"/>
    <w:rsid w:val="00504F09"/>
    <w:rsid w:val="005052BB"/>
    <w:rsid w:val="00505408"/>
    <w:rsid w:val="00505412"/>
    <w:rsid w:val="00505964"/>
    <w:rsid w:val="00505C29"/>
    <w:rsid w:val="0050687D"/>
    <w:rsid w:val="0050711D"/>
    <w:rsid w:val="00507174"/>
    <w:rsid w:val="00511474"/>
    <w:rsid w:val="0051177C"/>
    <w:rsid w:val="00511AA8"/>
    <w:rsid w:val="00511D23"/>
    <w:rsid w:val="00513104"/>
    <w:rsid w:val="00513671"/>
    <w:rsid w:val="00514973"/>
    <w:rsid w:val="00515877"/>
    <w:rsid w:val="005160F9"/>
    <w:rsid w:val="00516175"/>
    <w:rsid w:val="0051624D"/>
    <w:rsid w:val="00517143"/>
    <w:rsid w:val="00517E22"/>
    <w:rsid w:val="00517EA6"/>
    <w:rsid w:val="00520487"/>
    <w:rsid w:val="00520A55"/>
    <w:rsid w:val="005221B2"/>
    <w:rsid w:val="00523BD4"/>
    <w:rsid w:val="00523F5B"/>
    <w:rsid w:val="00524027"/>
    <w:rsid w:val="00524384"/>
    <w:rsid w:val="00524587"/>
    <w:rsid w:val="00524B50"/>
    <w:rsid w:val="00526477"/>
    <w:rsid w:val="0052691A"/>
    <w:rsid w:val="00526A68"/>
    <w:rsid w:val="005270EF"/>
    <w:rsid w:val="00527330"/>
    <w:rsid w:val="00530AA7"/>
    <w:rsid w:val="00530AC9"/>
    <w:rsid w:val="00530B33"/>
    <w:rsid w:val="00531109"/>
    <w:rsid w:val="005322F5"/>
    <w:rsid w:val="00532B58"/>
    <w:rsid w:val="00532DCF"/>
    <w:rsid w:val="005331E6"/>
    <w:rsid w:val="00533329"/>
    <w:rsid w:val="00533798"/>
    <w:rsid w:val="00533A39"/>
    <w:rsid w:val="00533C58"/>
    <w:rsid w:val="005347FA"/>
    <w:rsid w:val="005348E3"/>
    <w:rsid w:val="0053547C"/>
    <w:rsid w:val="005358FF"/>
    <w:rsid w:val="00535E54"/>
    <w:rsid w:val="0054023A"/>
    <w:rsid w:val="00540834"/>
    <w:rsid w:val="005409F3"/>
    <w:rsid w:val="005419AC"/>
    <w:rsid w:val="005424DF"/>
    <w:rsid w:val="005425D4"/>
    <w:rsid w:val="00542839"/>
    <w:rsid w:val="00542892"/>
    <w:rsid w:val="005428CC"/>
    <w:rsid w:val="00542C63"/>
    <w:rsid w:val="0054354C"/>
    <w:rsid w:val="0054484A"/>
    <w:rsid w:val="0054524A"/>
    <w:rsid w:val="00545652"/>
    <w:rsid w:val="00545DDA"/>
    <w:rsid w:val="00546716"/>
    <w:rsid w:val="0054689C"/>
    <w:rsid w:val="00546D2F"/>
    <w:rsid w:val="00546DFB"/>
    <w:rsid w:val="005470FA"/>
    <w:rsid w:val="00547570"/>
    <w:rsid w:val="00547F23"/>
    <w:rsid w:val="0055072C"/>
    <w:rsid w:val="00550B98"/>
    <w:rsid w:val="005510C1"/>
    <w:rsid w:val="00551189"/>
    <w:rsid w:val="005518A2"/>
    <w:rsid w:val="00551E2C"/>
    <w:rsid w:val="0055244D"/>
    <w:rsid w:val="0055259C"/>
    <w:rsid w:val="005526D9"/>
    <w:rsid w:val="00552FE7"/>
    <w:rsid w:val="0055330E"/>
    <w:rsid w:val="0055391E"/>
    <w:rsid w:val="005543FA"/>
    <w:rsid w:val="00554EA4"/>
    <w:rsid w:val="00555002"/>
    <w:rsid w:val="0055565A"/>
    <w:rsid w:val="00555923"/>
    <w:rsid w:val="00556311"/>
    <w:rsid w:val="0055677A"/>
    <w:rsid w:val="00557108"/>
    <w:rsid w:val="0055716A"/>
    <w:rsid w:val="00557FD2"/>
    <w:rsid w:val="0056007F"/>
    <w:rsid w:val="005617A0"/>
    <w:rsid w:val="005618DC"/>
    <w:rsid w:val="00561C00"/>
    <w:rsid w:val="00562115"/>
    <w:rsid w:val="0056252C"/>
    <w:rsid w:val="00564498"/>
    <w:rsid w:val="0056556F"/>
    <w:rsid w:val="005657D2"/>
    <w:rsid w:val="00566036"/>
    <w:rsid w:val="00566694"/>
    <w:rsid w:val="005667AB"/>
    <w:rsid w:val="00567633"/>
    <w:rsid w:val="00567788"/>
    <w:rsid w:val="0056798D"/>
    <w:rsid w:val="00570107"/>
    <w:rsid w:val="00570181"/>
    <w:rsid w:val="005709EF"/>
    <w:rsid w:val="00571EB2"/>
    <w:rsid w:val="00572201"/>
    <w:rsid w:val="005724E6"/>
    <w:rsid w:val="00572502"/>
    <w:rsid w:val="00572690"/>
    <w:rsid w:val="00572913"/>
    <w:rsid w:val="00572E31"/>
    <w:rsid w:val="00572E42"/>
    <w:rsid w:val="00573206"/>
    <w:rsid w:val="005738B9"/>
    <w:rsid w:val="00573F0C"/>
    <w:rsid w:val="00574EE1"/>
    <w:rsid w:val="00574FDA"/>
    <w:rsid w:val="005753FB"/>
    <w:rsid w:val="0057563F"/>
    <w:rsid w:val="0057641A"/>
    <w:rsid w:val="00576BEC"/>
    <w:rsid w:val="00576FA5"/>
    <w:rsid w:val="00577199"/>
    <w:rsid w:val="00577651"/>
    <w:rsid w:val="005776A8"/>
    <w:rsid w:val="005776B3"/>
    <w:rsid w:val="005776E6"/>
    <w:rsid w:val="0057782B"/>
    <w:rsid w:val="00577B76"/>
    <w:rsid w:val="00580218"/>
    <w:rsid w:val="005803E6"/>
    <w:rsid w:val="00580C5B"/>
    <w:rsid w:val="00581060"/>
    <w:rsid w:val="005819E3"/>
    <w:rsid w:val="00581B9D"/>
    <w:rsid w:val="00582E8C"/>
    <w:rsid w:val="00582FB9"/>
    <w:rsid w:val="00583656"/>
    <w:rsid w:val="00584770"/>
    <w:rsid w:val="00584D0C"/>
    <w:rsid w:val="00584ECC"/>
    <w:rsid w:val="0058505E"/>
    <w:rsid w:val="00586B5F"/>
    <w:rsid w:val="00586D0D"/>
    <w:rsid w:val="00587348"/>
    <w:rsid w:val="00587550"/>
    <w:rsid w:val="005875DD"/>
    <w:rsid w:val="005875F9"/>
    <w:rsid w:val="00587A30"/>
    <w:rsid w:val="005900DB"/>
    <w:rsid w:val="00590A04"/>
    <w:rsid w:val="005912F4"/>
    <w:rsid w:val="00591568"/>
    <w:rsid w:val="00591672"/>
    <w:rsid w:val="00591A20"/>
    <w:rsid w:val="00591ED5"/>
    <w:rsid w:val="0059205E"/>
    <w:rsid w:val="0059226C"/>
    <w:rsid w:val="00592475"/>
    <w:rsid w:val="00593907"/>
    <w:rsid w:val="00594645"/>
    <w:rsid w:val="00594B52"/>
    <w:rsid w:val="005951CE"/>
    <w:rsid w:val="0059535E"/>
    <w:rsid w:val="0059556B"/>
    <w:rsid w:val="0059665F"/>
    <w:rsid w:val="00597C99"/>
    <w:rsid w:val="005A0897"/>
    <w:rsid w:val="005A11B0"/>
    <w:rsid w:val="005A11DA"/>
    <w:rsid w:val="005A1422"/>
    <w:rsid w:val="005A1502"/>
    <w:rsid w:val="005A172A"/>
    <w:rsid w:val="005A1A9C"/>
    <w:rsid w:val="005A1EF5"/>
    <w:rsid w:val="005A1F7D"/>
    <w:rsid w:val="005A387A"/>
    <w:rsid w:val="005A4711"/>
    <w:rsid w:val="005A49CC"/>
    <w:rsid w:val="005A4F14"/>
    <w:rsid w:val="005A5030"/>
    <w:rsid w:val="005A5603"/>
    <w:rsid w:val="005A59AD"/>
    <w:rsid w:val="005A5C17"/>
    <w:rsid w:val="005A5C6D"/>
    <w:rsid w:val="005A6736"/>
    <w:rsid w:val="005A6EE4"/>
    <w:rsid w:val="005A6F20"/>
    <w:rsid w:val="005A78AC"/>
    <w:rsid w:val="005A7B68"/>
    <w:rsid w:val="005A7C3C"/>
    <w:rsid w:val="005B03F8"/>
    <w:rsid w:val="005B08C8"/>
    <w:rsid w:val="005B0BA8"/>
    <w:rsid w:val="005B0CE1"/>
    <w:rsid w:val="005B107F"/>
    <w:rsid w:val="005B134A"/>
    <w:rsid w:val="005B1968"/>
    <w:rsid w:val="005B1990"/>
    <w:rsid w:val="005B1A97"/>
    <w:rsid w:val="005B1F73"/>
    <w:rsid w:val="005B2A3D"/>
    <w:rsid w:val="005B3CD8"/>
    <w:rsid w:val="005B3F67"/>
    <w:rsid w:val="005B43DF"/>
    <w:rsid w:val="005B499B"/>
    <w:rsid w:val="005B4E7D"/>
    <w:rsid w:val="005B4EF3"/>
    <w:rsid w:val="005B541F"/>
    <w:rsid w:val="005B54AB"/>
    <w:rsid w:val="005B59DC"/>
    <w:rsid w:val="005B6042"/>
    <w:rsid w:val="005B6326"/>
    <w:rsid w:val="005B73E6"/>
    <w:rsid w:val="005B7BB9"/>
    <w:rsid w:val="005C0212"/>
    <w:rsid w:val="005C025E"/>
    <w:rsid w:val="005C02D8"/>
    <w:rsid w:val="005C16A4"/>
    <w:rsid w:val="005C16C0"/>
    <w:rsid w:val="005C2EBB"/>
    <w:rsid w:val="005C311B"/>
    <w:rsid w:val="005C347D"/>
    <w:rsid w:val="005C3AF7"/>
    <w:rsid w:val="005C3F69"/>
    <w:rsid w:val="005C439E"/>
    <w:rsid w:val="005C44EE"/>
    <w:rsid w:val="005C45E9"/>
    <w:rsid w:val="005C50B7"/>
    <w:rsid w:val="005C572D"/>
    <w:rsid w:val="005C6CB6"/>
    <w:rsid w:val="005C7589"/>
    <w:rsid w:val="005C76AD"/>
    <w:rsid w:val="005C7ADD"/>
    <w:rsid w:val="005D006B"/>
    <w:rsid w:val="005D0470"/>
    <w:rsid w:val="005D05D8"/>
    <w:rsid w:val="005D0F28"/>
    <w:rsid w:val="005D174E"/>
    <w:rsid w:val="005D1D35"/>
    <w:rsid w:val="005D28E2"/>
    <w:rsid w:val="005D2D98"/>
    <w:rsid w:val="005D3A60"/>
    <w:rsid w:val="005D3D58"/>
    <w:rsid w:val="005D4180"/>
    <w:rsid w:val="005D4B2F"/>
    <w:rsid w:val="005D54F2"/>
    <w:rsid w:val="005D5D9A"/>
    <w:rsid w:val="005D6970"/>
    <w:rsid w:val="005D6D77"/>
    <w:rsid w:val="005D7620"/>
    <w:rsid w:val="005D7BAD"/>
    <w:rsid w:val="005E08E3"/>
    <w:rsid w:val="005E0AE1"/>
    <w:rsid w:val="005E0D66"/>
    <w:rsid w:val="005E1109"/>
    <w:rsid w:val="005E235E"/>
    <w:rsid w:val="005E251A"/>
    <w:rsid w:val="005E2E96"/>
    <w:rsid w:val="005E2FD5"/>
    <w:rsid w:val="005E34B8"/>
    <w:rsid w:val="005E3A36"/>
    <w:rsid w:val="005E3BAF"/>
    <w:rsid w:val="005E42B1"/>
    <w:rsid w:val="005E4B99"/>
    <w:rsid w:val="005E5CC1"/>
    <w:rsid w:val="005E6516"/>
    <w:rsid w:val="005E6892"/>
    <w:rsid w:val="005E69C0"/>
    <w:rsid w:val="005E6B01"/>
    <w:rsid w:val="005E6F0E"/>
    <w:rsid w:val="005E784B"/>
    <w:rsid w:val="005E7FDE"/>
    <w:rsid w:val="005F00BF"/>
    <w:rsid w:val="005F07B8"/>
    <w:rsid w:val="005F0C39"/>
    <w:rsid w:val="005F0EB3"/>
    <w:rsid w:val="005F1A64"/>
    <w:rsid w:val="005F35F3"/>
    <w:rsid w:val="005F4376"/>
    <w:rsid w:val="005F49DA"/>
    <w:rsid w:val="005F549D"/>
    <w:rsid w:val="005F5935"/>
    <w:rsid w:val="005F6FE9"/>
    <w:rsid w:val="005F7AFA"/>
    <w:rsid w:val="005F7CFB"/>
    <w:rsid w:val="005F7E4D"/>
    <w:rsid w:val="00600946"/>
    <w:rsid w:val="00600FF1"/>
    <w:rsid w:val="006015AF"/>
    <w:rsid w:val="0060196D"/>
    <w:rsid w:val="00601A83"/>
    <w:rsid w:val="0060247A"/>
    <w:rsid w:val="00602644"/>
    <w:rsid w:val="00602CA1"/>
    <w:rsid w:val="00602EBD"/>
    <w:rsid w:val="00602F36"/>
    <w:rsid w:val="006046F2"/>
    <w:rsid w:val="0060520A"/>
    <w:rsid w:val="00605EE8"/>
    <w:rsid w:val="006061DC"/>
    <w:rsid w:val="00606678"/>
    <w:rsid w:val="006068F3"/>
    <w:rsid w:val="00606A40"/>
    <w:rsid w:val="00606B45"/>
    <w:rsid w:val="0061072A"/>
    <w:rsid w:val="00610932"/>
    <w:rsid w:val="00610EA1"/>
    <w:rsid w:val="00610FDD"/>
    <w:rsid w:val="006113F8"/>
    <w:rsid w:val="00612BE6"/>
    <w:rsid w:val="00612FBB"/>
    <w:rsid w:val="00613513"/>
    <w:rsid w:val="00613514"/>
    <w:rsid w:val="00614B91"/>
    <w:rsid w:val="006165D1"/>
    <w:rsid w:val="00617CDA"/>
    <w:rsid w:val="00617F32"/>
    <w:rsid w:val="0062026F"/>
    <w:rsid w:val="006207A4"/>
    <w:rsid w:val="00621784"/>
    <w:rsid w:val="0062294B"/>
    <w:rsid w:val="006239C3"/>
    <w:rsid w:val="00623F5D"/>
    <w:rsid w:val="00624A64"/>
    <w:rsid w:val="00624B92"/>
    <w:rsid w:val="0062514E"/>
    <w:rsid w:val="00625956"/>
    <w:rsid w:val="00625DD2"/>
    <w:rsid w:val="006264CB"/>
    <w:rsid w:val="00626672"/>
    <w:rsid w:val="00626A8F"/>
    <w:rsid w:val="00626F0F"/>
    <w:rsid w:val="0062789F"/>
    <w:rsid w:val="00627C4C"/>
    <w:rsid w:val="00630093"/>
    <w:rsid w:val="00630A20"/>
    <w:rsid w:val="00631213"/>
    <w:rsid w:val="00631C2A"/>
    <w:rsid w:val="00632305"/>
    <w:rsid w:val="00632DAB"/>
    <w:rsid w:val="00632EA5"/>
    <w:rsid w:val="00633246"/>
    <w:rsid w:val="0063392A"/>
    <w:rsid w:val="00634334"/>
    <w:rsid w:val="006345A2"/>
    <w:rsid w:val="006345E9"/>
    <w:rsid w:val="00634907"/>
    <w:rsid w:val="00634BA2"/>
    <w:rsid w:val="006358AB"/>
    <w:rsid w:val="00636DA5"/>
    <w:rsid w:val="006376BD"/>
    <w:rsid w:val="006377C9"/>
    <w:rsid w:val="00637AE0"/>
    <w:rsid w:val="00637B11"/>
    <w:rsid w:val="00637DF3"/>
    <w:rsid w:val="006401A4"/>
    <w:rsid w:val="00640CE9"/>
    <w:rsid w:val="00640F0C"/>
    <w:rsid w:val="00641B96"/>
    <w:rsid w:val="00642DDF"/>
    <w:rsid w:val="00643577"/>
    <w:rsid w:val="006445E8"/>
    <w:rsid w:val="006453E6"/>
    <w:rsid w:val="006454D0"/>
    <w:rsid w:val="00646B25"/>
    <w:rsid w:val="006473AB"/>
    <w:rsid w:val="006473E2"/>
    <w:rsid w:val="00647BA7"/>
    <w:rsid w:val="00650F52"/>
    <w:rsid w:val="00653324"/>
    <w:rsid w:val="00653B80"/>
    <w:rsid w:val="00653DA9"/>
    <w:rsid w:val="00653EBA"/>
    <w:rsid w:val="0065471B"/>
    <w:rsid w:val="00654900"/>
    <w:rsid w:val="00654D5B"/>
    <w:rsid w:val="00654E94"/>
    <w:rsid w:val="00654F01"/>
    <w:rsid w:val="0065521A"/>
    <w:rsid w:val="0065550C"/>
    <w:rsid w:val="0065589C"/>
    <w:rsid w:val="0065597A"/>
    <w:rsid w:val="00655A5F"/>
    <w:rsid w:val="00655E2E"/>
    <w:rsid w:val="00656377"/>
    <w:rsid w:val="00657159"/>
    <w:rsid w:val="00657377"/>
    <w:rsid w:val="0065742A"/>
    <w:rsid w:val="00657F2F"/>
    <w:rsid w:val="00660B36"/>
    <w:rsid w:val="00661C3C"/>
    <w:rsid w:val="0066238D"/>
    <w:rsid w:val="006638C4"/>
    <w:rsid w:val="0066421D"/>
    <w:rsid w:val="00665CCF"/>
    <w:rsid w:val="006663A3"/>
    <w:rsid w:val="006665CE"/>
    <w:rsid w:val="00666667"/>
    <w:rsid w:val="00666834"/>
    <w:rsid w:val="00666CDB"/>
    <w:rsid w:val="00666D5A"/>
    <w:rsid w:val="0067054D"/>
    <w:rsid w:val="0067085E"/>
    <w:rsid w:val="00670B60"/>
    <w:rsid w:val="006718CA"/>
    <w:rsid w:val="00671AAE"/>
    <w:rsid w:val="00671BB4"/>
    <w:rsid w:val="00671DA0"/>
    <w:rsid w:val="00671EAA"/>
    <w:rsid w:val="00672013"/>
    <w:rsid w:val="00672450"/>
    <w:rsid w:val="00672582"/>
    <w:rsid w:val="00672710"/>
    <w:rsid w:val="00673335"/>
    <w:rsid w:val="00673DC9"/>
    <w:rsid w:val="006746CC"/>
    <w:rsid w:val="006749A5"/>
    <w:rsid w:val="00674AFB"/>
    <w:rsid w:val="00674EBB"/>
    <w:rsid w:val="00674FB3"/>
    <w:rsid w:val="006753A7"/>
    <w:rsid w:val="00675606"/>
    <w:rsid w:val="006761B6"/>
    <w:rsid w:val="00676707"/>
    <w:rsid w:val="00676B5D"/>
    <w:rsid w:val="006771D3"/>
    <w:rsid w:val="00677D1E"/>
    <w:rsid w:val="00677F38"/>
    <w:rsid w:val="006812F5"/>
    <w:rsid w:val="0068206F"/>
    <w:rsid w:val="006821B4"/>
    <w:rsid w:val="00683538"/>
    <w:rsid w:val="006835FF"/>
    <w:rsid w:val="006836E1"/>
    <w:rsid w:val="00683910"/>
    <w:rsid w:val="0068395B"/>
    <w:rsid w:val="00683A17"/>
    <w:rsid w:val="0068435D"/>
    <w:rsid w:val="006843C6"/>
    <w:rsid w:val="0068481F"/>
    <w:rsid w:val="00685046"/>
    <w:rsid w:val="00685196"/>
    <w:rsid w:val="00685508"/>
    <w:rsid w:val="00685C44"/>
    <w:rsid w:val="006864F4"/>
    <w:rsid w:val="00686793"/>
    <w:rsid w:val="00687476"/>
    <w:rsid w:val="00687B87"/>
    <w:rsid w:val="006901D3"/>
    <w:rsid w:val="00690442"/>
    <w:rsid w:val="0069064E"/>
    <w:rsid w:val="0069189E"/>
    <w:rsid w:val="00691FD8"/>
    <w:rsid w:val="00692629"/>
    <w:rsid w:val="00692AE1"/>
    <w:rsid w:val="00692CC0"/>
    <w:rsid w:val="00692EC3"/>
    <w:rsid w:val="00693915"/>
    <w:rsid w:val="006945F2"/>
    <w:rsid w:val="00694B63"/>
    <w:rsid w:val="006950EB"/>
    <w:rsid w:val="0069594E"/>
    <w:rsid w:val="006959D7"/>
    <w:rsid w:val="00695A49"/>
    <w:rsid w:val="00695C15"/>
    <w:rsid w:val="00695DCC"/>
    <w:rsid w:val="0069657B"/>
    <w:rsid w:val="00696769"/>
    <w:rsid w:val="006975B0"/>
    <w:rsid w:val="006976ED"/>
    <w:rsid w:val="006A0267"/>
    <w:rsid w:val="006A0367"/>
    <w:rsid w:val="006A0B62"/>
    <w:rsid w:val="006A2A6A"/>
    <w:rsid w:val="006A2C15"/>
    <w:rsid w:val="006A348B"/>
    <w:rsid w:val="006A369D"/>
    <w:rsid w:val="006A3B74"/>
    <w:rsid w:val="006A3D70"/>
    <w:rsid w:val="006A3E15"/>
    <w:rsid w:val="006A43C6"/>
    <w:rsid w:val="006A4AE9"/>
    <w:rsid w:val="006A4E43"/>
    <w:rsid w:val="006A513E"/>
    <w:rsid w:val="006A556C"/>
    <w:rsid w:val="006A5861"/>
    <w:rsid w:val="006A60FF"/>
    <w:rsid w:val="006A69DE"/>
    <w:rsid w:val="006A7288"/>
    <w:rsid w:val="006A7CB4"/>
    <w:rsid w:val="006A7FEE"/>
    <w:rsid w:val="006B056B"/>
    <w:rsid w:val="006B088F"/>
    <w:rsid w:val="006B1C1C"/>
    <w:rsid w:val="006B1FA1"/>
    <w:rsid w:val="006B2A37"/>
    <w:rsid w:val="006B2CDA"/>
    <w:rsid w:val="006B2E50"/>
    <w:rsid w:val="006B2E55"/>
    <w:rsid w:val="006B2E85"/>
    <w:rsid w:val="006B3ADD"/>
    <w:rsid w:val="006B470B"/>
    <w:rsid w:val="006B4E38"/>
    <w:rsid w:val="006B4EC4"/>
    <w:rsid w:val="006B5589"/>
    <w:rsid w:val="006B6353"/>
    <w:rsid w:val="006B67AD"/>
    <w:rsid w:val="006B6DBE"/>
    <w:rsid w:val="006B6F0F"/>
    <w:rsid w:val="006B7059"/>
    <w:rsid w:val="006B72EA"/>
    <w:rsid w:val="006B7D6D"/>
    <w:rsid w:val="006B7DD6"/>
    <w:rsid w:val="006C0550"/>
    <w:rsid w:val="006C16A8"/>
    <w:rsid w:val="006C2A0A"/>
    <w:rsid w:val="006C2BBC"/>
    <w:rsid w:val="006C2E82"/>
    <w:rsid w:val="006C39D7"/>
    <w:rsid w:val="006C5512"/>
    <w:rsid w:val="006C571D"/>
    <w:rsid w:val="006C5848"/>
    <w:rsid w:val="006C65FC"/>
    <w:rsid w:val="006C6668"/>
    <w:rsid w:val="006C686F"/>
    <w:rsid w:val="006C6C4E"/>
    <w:rsid w:val="006C71C3"/>
    <w:rsid w:val="006C7883"/>
    <w:rsid w:val="006C7DF6"/>
    <w:rsid w:val="006D070D"/>
    <w:rsid w:val="006D0A7B"/>
    <w:rsid w:val="006D0C89"/>
    <w:rsid w:val="006D0DBB"/>
    <w:rsid w:val="006D1AF6"/>
    <w:rsid w:val="006D1F63"/>
    <w:rsid w:val="006D2293"/>
    <w:rsid w:val="006D23D5"/>
    <w:rsid w:val="006D2A41"/>
    <w:rsid w:val="006D2CBB"/>
    <w:rsid w:val="006D3017"/>
    <w:rsid w:val="006D319A"/>
    <w:rsid w:val="006D3689"/>
    <w:rsid w:val="006D3DC2"/>
    <w:rsid w:val="006D3E29"/>
    <w:rsid w:val="006D4A41"/>
    <w:rsid w:val="006D5404"/>
    <w:rsid w:val="006D55C2"/>
    <w:rsid w:val="006D636C"/>
    <w:rsid w:val="006D6B75"/>
    <w:rsid w:val="006D6C57"/>
    <w:rsid w:val="006D6E0E"/>
    <w:rsid w:val="006D7D41"/>
    <w:rsid w:val="006D7E1F"/>
    <w:rsid w:val="006E0D3A"/>
    <w:rsid w:val="006E10A3"/>
    <w:rsid w:val="006E1957"/>
    <w:rsid w:val="006E2018"/>
    <w:rsid w:val="006E2324"/>
    <w:rsid w:val="006E36D7"/>
    <w:rsid w:val="006E3B35"/>
    <w:rsid w:val="006E3BAF"/>
    <w:rsid w:val="006E4E8E"/>
    <w:rsid w:val="006E5103"/>
    <w:rsid w:val="006E66D4"/>
    <w:rsid w:val="006F0343"/>
    <w:rsid w:val="006F069C"/>
    <w:rsid w:val="006F0795"/>
    <w:rsid w:val="006F0D73"/>
    <w:rsid w:val="006F133C"/>
    <w:rsid w:val="006F1D20"/>
    <w:rsid w:val="006F3129"/>
    <w:rsid w:val="006F32AE"/>
    <w:rsid w:val="006F33E2"/>
    <w:rsid w:val="006F380A"/>
    <w:rsid w:val="006F380F"/>
    <w:rsid w:val="006F3A20"/>
    <w:rsid w:val="006F5076"/>
    <w:rsid w:val="006F5195"/>
    <w:rsid w:val="006F546F"/>
    <w:rsid w:val="006F5810"/>
    <w:rsid w:val="006F5A8E"/>
    <w:rsid w:val="006F5CF6"/>
    <w:rsid w:val="006F6294"/>
    <w:rsid w:val="006F670C"/>
    <w:rsid w:val="006F686E"/>
    <w:rsid w:val="006F6C1C"/>
    <w:rsid w:val="006F7255"/>
    <w:rsid w:val="006F7318"/>
    <w:rsid w:val="0070033F"/>
    <w:rsid w:val="00701406"/>
    <w:rsid w:val="0070190C"/>
    <w:rsid w:val="00701E16"/>
    <w:rsid w:val="0070244A"/>
    <w:rsid w:val="00702530"/>
    <w:rsid w:val="0070264F"/>
    <w:rsid w:val="007034B0"/>
    <w:rsid w:val="0070386D"/>
    <w:rsid w:val="007039FE"/>
    <w:rsid w:val="00704005"/>
    <w:rsid w:val="00704A1B"/>
    <w:rsid w:val="0070538D"/>
    <w:rsid w:val="00705694"/>
    <w:rsid w:val="00705836"/>
    <w:rsid w:val="00705E7B"/>
    <w:rsid w:val="00706483"/>
    <w:rsid w:val="0070684B"/>
    <w:rsid w:val="00706ADC"/>
    <w:rsid w:val="00707246"/>
    <w:rsid w:val="00707CD5"/>
    <w:rsid w:val="007103E5"/>
    <w:rsid w:val="00710A4C"/>
    <w:rsid w:val="00710CE0"/>
    <w:rsid w:val="00710E55"/>
    <w:rsid w:val="00711D44"/>
    <w:rsid w:val="007122C9"/>
    <w:rsid w:val="0071294C"/>
    <w:rsid w:val="00712C7D"/>
    <w:rsid w:val="00712EDA"/>
    <w:rsid w:val="00712F66"/>
    <w:rsid w:val="007135D7"/>
    <w:rsid w:val="00713D81"/>
    <w:rsid w:val="00714E45"/>
    <w:rsid w:val="00714FE6"/>
    <w:rsid w:val="00715E1B"/>
    <w:rsid w:val="00716214"/>
    <w:rsid w:val="00716937"/>
    <w:rsid w:val="00716AC2"/>
    <w:rsid w:val="00716E09"/>
    <w:rsid w:val="007172F3"/>
    <w:rsid w:val="00720827"/>
    <w:rsid w:val="007208A5"/>
    <w:rsid w:val="00721703"/>
    <w:rsid w:val="00721844"/>
    <w:rsid w:val="00721B1A"/>
    <w:rsid w:val="00722051"/>
    <w:rsid w:val="00722213"/>
    <w:rsid w:val="00722D4E"/>
    <w:rsid w:val="00722D52"/>
    <w:rsid w:val="0072320D"/>
    <w:rsid w:val="007232CF"/>
    <w:rsid w:val="00724090"/>
    <w:rsid w:val="007240E0"/>
    <w:rsid w:val="0072494D"/>
    <w:rsid w:val="00724E7B"/>
    <w:rsid w:val="00724EFA"/>
    <w:rsid w:val="0072501A"/>
    <w:rsid w:val="007252B9"/>
    <w:rsid w:val="00725DA1"/>
    <w:rsid w:val="00726220"/>
    <w:rsid w:val="007266AE"/>
    <w:rsid w:val="00726A14"/>
    <w:rsid w:val="00726AA3"/>
    <w:rsid w:val="00726B38"/>
    <w:rsid w:val="0073047C"/>
    <w:rsid w:val="00730684"/>
    <w:rsid w:val="00730727"/>
    <w:rsid w:val="00731133"/>
    <w:rsid w:val="007317F0"/>
    <w:rsid w:val="007320D2"/>
    <w:rsid w:val="0073259B"/>
    <w:rsid w:val="00732A29"/>
    <w:rsid w:val="00732B07"/>
    <w:rsid w:val="00732B96"/>
    <w:rsid w:val="0073360D"/>
    <w:rsid w:val="00733B00"/>
    <w:rsid w:val="00733C92"/>
    <w:rsid w:val="0073426F"/>
    <w:rsid w:val="00734B42"/>
    <w:rsid w:val="00734CEC"/>
    <w:rsid w:val="00736419"/>
    <w:rsid w:val="007364F4"/>
    <w:rsid w:val="007367BA"/>
    <w:rsid w:val="00736DBC"/>
    <w:rsid w:val="00736F98"/>
    <w:rsid w:val="0073732A"/>
    <w:rsid w:val="00737698"/>
    <w:rsid w:val="007378E0"/>
    <w:rsid w:val="00740226"/>
    <w:rsid w:val="00740299"/>
    <w:rsid w:val="00740FF2"/>
    <w:rsid w:val="007412C4"/>
    <w:rsid w:val="00741A47"/>
    <w:rsid w:val="00741E9A"/>
    <w:rsid w:val="007429FF"/>
    <w:rsid w:val="00742A50"/>
    <w:rsid w:val="007434B4"/>
    <w:rsid w:val="00743674"/>
    <w:rsid w:val="00743ACC"/>
    <w:rsid w:val="00744451"/>
    <w:rsid w:val="0074453E"/>
    <w:rsid w:val="007446B7"/>
    <w:rsid w:val="00744761"/>
    <w:rsid w:val="0074544D"/>
    <w:rsid w:val="0074604F"/>
    <w:rsid w:val="007469E8"/>
    <w:rsid w:val="00746D11"/>
    <w:rsid w:val="0074700E"/>
    <w:rsid w:val="00747120"/>
    <w:rsid w:val="007472C4"/>
    <w:rsid w:val="00747A85"/>
    <w:rsid w:val="00747DAE"/>
    <w:rsid w:val="0075002A"/>
    <w:rsid w:val="0075043F"/>
    <w:rsid w:val="007504F5"/>
    <w:rsid w:val="00751214"/>
    <w:rsid w:val="007513FC"/>
    <w:rsid w:val="0075196F"/>
    <w:rsid w:val="00751EF8"/>
    <w:rsid w:val="0075264C"/>
    <w:rsid w:val="007530AA"/>
    <w:rsid w:val="00753390"/>
    <w:rsid w:val="00753BCF"/>
    <w:rsid w:val="00753E4E"/>
    <w:rsid w:val="007542C6"/>
    <w:rsid w:val="00754879"/>
    <w:rsid w:val="00754F23"/>
    <w:rsid w:val="00754F26"/>
    <w:rsid w:val="0075513C"/>
    <w:rsid w:val="007552C1"/>
    <w:rsid w:val="00755542"/>
    <w:rsid w:val="00755720"/>
    <w:rsid w:val="00755CC3"/>
    <w:rsid w:val="00756AB0"/>
    <w:rsid w:val="00756FF0"/>
    <w:rsid w:val="007573EF"/>
    <w:rsid w:val="007575DE"/>
    <w:rsid w:val="007577BD"/>
    <w:rsid w:val="007602B9"/>
    <w:rsid w:val="00760932"/>
    <w:rsid w:val="00760E20"/>
    <w:rsid w:val="00761403"/>
    <w:rsid w:val="00761953"/>
    <w:rsid w:val="007620B7"/>
    <w:rsid w:val="00762760"/>
    <w:rsid w:val="00762DC1"/>
    <w:rsid w:val="00762DD9"/>
    <w:rsid w:val="007633AC"/>
    <w:rsid w:val="00764A25"/>
    <w:rsid w:val="00765057"/>
    <w:rsid w:val="00766877"/>
    <w:rsid w:val="00766CE8"/>
    <w:rsid w:val="00766D34"/>
    <w:rsid w:val="007670B4"/>
    <w:rsid w:val="00767C5E"/>
    <w:rsid w:val="00767EDA"/>
    <w:rsid w:val="0077016D"/>
    <w:rsid w:val="0077033E"/>
    <w:rsid w:val="00770507"/>
    <w:rsid w:val="00770B58"/>
    <w:rsid w:val="0077125D"/>
    <w:rsid w:val="007716BF"/>
    <w:rsid w:val="00771AAB"/>
    <w:rsid w:val="00771B4C"/>
    <w:rsid w:val="00772112"/>
    <w:rsid w:val="007724FA"/>
    <w:rsid w:val="00772ACD"/>
    <w:rsid w:val="00772DA1"/>
    <w:rsid w:val="00772E28"/>
    <w:rsid w:val="00773871"/>
    <w:rsid w:val="007739C9"/>
    <w:rsid w:val="0077416E"/>
    <w:rsid w:val="00774955"/>
    <w:rsid w:val="00774D65"/>
    <w:rsid w:val="007752FB"/>
    <w:rsid w:val="007757C6"/>
    <w:rsid w:val="0077704B"/>
    <w:rsid w:val="00777239"/>
    <w:rsid w:val="00777CB9"/>
    <w:rsid w:val="0078019C"/>
    <w:rsid w:val="00780985"/>
    <w:rsid w:val="00780B5D"/>
    <w:rsid w:val="00780E53"/>
    <w:rsid w:val="00781175"/>
    <w:rsid w:val="00781570"/>
    <w:rsid w:val="007819BC"/>
    <w:rsid w:val="00781A29"/>
    <w:rsid w:val="00781C79"/>
    <w:rsid w:val="00782B1D"/>
    <w:rsid w:val="00782CA3"/>
    <w:rsid w:val="00782F87"/>
    <w:rsid w:val="007832C3"/>
    <w:rsid w:val="0078368D"/>
    <w:rsid w:val="00783C6A"/>
    <w:rsid w:val="00785293"/>
    <w:rsid w:val="00785DC9"/>
    <w:rsid w:val="00785E7C"/>
    <w:rsid w:val="0078613B"/>
    <w:rsid w:val="00787CB8"/>
    <w:rsid w:val="00790440"/>
    <w:rsid w:val="007906A6"/>
    <w:rsid w:val="007908EE"/>
    <w:rsid w:val="00790C65"/>
    <w:rsid w:val="0079174E"/>
    <w:rsid w:val="00791EFC"/>
    <w:rsid w:val="0079205C"/>
    <w:rsid w:val="007930C5"/>
    <w:rsid w:val="00793278"/>
    <w:rsid w:val="00793CA6"/>
    <w:rsid w:val="0079539B"/>
    <w:rsid w:val="0079564A"/>
    <w:rsid w:val="00795E79"/>
    <w:rsid w:val="00795FF5"/>
    <w:rsid w:val="007962BE"/>
    <w:rsid w:val="007975C7"/>
    <w:rsid w:val="00797CAB"/>
    <w:rsid w:val="00797CB9"/>
    <w:rsid w:val="00797ED5"/>
    <w:rsid w:val="007A003A"/>
    <w:rsid w:val="007A0100"/>
    <w:rsid w:val="007A0AD3"/>
    <w:rsid w:val="007A0BBE"/>
    <w:rsid w:val="007A1EEB"/>
    <w:rsid w:val="007A2A5A"/>
    <w:rsid w:val="007A3531"/>
    <w:rsid w:val="007A4ECF"/>
    <w:rsid w:val="007A6018"/>
    <w:rsid w:val="007A62D9"/>
    <w:rsid w:val="007A63B2"/>
    <w:rsid w:val="007A6802"/>
    <w:rsid w:val="007A6B0F"/>
    <w:rsid w:val="007A6BD5"/>
    <w:rsid w:val="007A6BF7"/>
    <w:rsid w:val="007A706F"/>
    <w:rsid w:val="007A79E0"/>
    <w:rsid w:val="007A7F3E"/>
    <w:rsid w:val="007B047C"/>
    <w:rsid w:val="007B05CE"/>
    <w:rsid w:val="007B0688"/>
    <w:rsid w:val="007B1720"/>
    <w:rsid w:val="007B1AC2"/>
    <w:rsid w:val="007B2174"/>
    <w:rsid w:val="007B2BA6"/>
    <w:rsid w:val="007B3355"/>
    <w:rsid w:val="007B3573"/>
    <w:rsid w:val="007B3889"/>
    <w:rsid w:val="007B39CE"/>
    <w:rsid w:val="007B62CE"/>
    <w:rsid w:val="007B68A1"/>
    <w:rsid w:val="007B6949"/>
    <w:rsid w:val="007B6AD0"/>
    <w:rsid w:val="007B73A1"/>
    <w:rsid w:val="007B7A26"/>
    <w:rsid w:val="007C039F"/>
    <w:rsid w:val="007C0837"/>
    <w:rsid w:val="007C1681"/>
    <w:rsid w:val="007C1D75"/>
    <w:rsid w:val="007C23CA"/>
    <w:rsid w:val="007C2892"/>
    <w:rsid w:val="007C2C3E"/>
    <w:rsid w:val="007C2D1F"/>
    <w:rsid w:val="007C4063"/>
    <w:rsid w:val="007C441C"/>
    <w:rsid w:val="007C465B"/>
    <w:rsid w:val="007C4CC6"/>
    <w:rsid w:val="007C5454"/>
    <w:rsid w:val="007C55A4"/>
    <w:rsid w:val="007C56EC"/>
    <w:rsid w:val="007C5E1D"/>
    <w:rsid w:val="007C60A5"/>
    <w:rsid w:val="007C647C"/>
    <w:rsid w:val="007C7D56"/>
    <w:rsid w:val="007C7F63"/>
    <w:rsid w:val="007D0875"/>
    <w:rsid w:val="007D10F5"/>
    <w:rsid w:val="007D1865"/>
    <w:rsid w:val="007D1A28"/>
    <w:rsid w:val="007D228F"/>
    <w:rsid w:val="007D2B74"/>
    <w:rsid w:val="007D36FE"/>
    <w:rsid w:val="007D417F"/>
    <w:rsid w:val="007D4A06"/>
    <w:rsid w:val="007D5538"/>
    <w:rsid w:val="007D5D03"/>
    <w:rsid w:val="007D692B"/>
    <w:rsid w:val="007D6A7D"/>
    <w:rsid w:val="007D723B"/>
    <w:rsid w:val="007D7357"/>
    <w:rsid w:val="007D7428"/>
    <w:rsid w:val="007D7584"/>
    <w:rsid w:val="007D7AB0"/>
    <w:rsid w:val="007E00F3"/>
    <w:rsid w:val="007E013C"/>
    <w:rsid w:val="007E02DD"/>
    <w:rsid w:val="007E0DFD"/>
    <w:rsid w:val="007E0F3D"/>
    <w:rsid w:val="007E28D7"/>
    <w:rsid w:val="007E2F45"/>
    <w:rsid w:val="007E380B"/>
    <w:rsid w:val="007E3E2A"/>
    <w:rsid w:val="007E4C40"/>
    <w:rsid w:val="007E5243"/>
    <w:rsid w:val="007E56C2"/>
    <w:rsid w:val="007E6FFB"/>
    <w:rsid w:val="007E7DDE"/>
    <w:rsid w:val="007F09A2"/>
    <w:rsid w:val="007F1311"/>
    <w:rsid w:val="007F20B3"/>
    <w:rsid w:val="007F219C"/>
    <w:rsid w:val="007F301F"/>
    <w:rsid w:val="007F3046"/>
    <w:rsid w:val="007F3183"/>
    <w:rsid w:val="007F32D9"/>
    <w:rsid w:val="007F3685"/>
    <w:rsid w:val="007F3D7C"/>
    <w:rsid w:val="007F57A9"/>
    <w:rsid w:val="007F5F01"/>
    <w:rsid w:val="007F5FFD"/>
    <w:rsid w:val="007F6546"/>
    <w:rsid w:val="007F6DD1"/>
    <w:rsid w:val="007F7162"/>
    <w:rsid w:val="007F71E8"/>
    <w:rsid w:val="007F73E8"/>
    <w:rsid w:val="007F777E"/>
    <w:rsid w:val="007F7783"/>
    <w:rsid w:val="007F79C5"/>
    <w:rsid w:val="00801A31"/>
    <w:rsid w:val="00802A97"/>
    <w:rsid w:val="00803A41"/>
    <w:rsid w:val="00804275"/>
    <w:rsid w:val="0080485E"/>
    <w:rsid w:val="00804CE7"/>
    <w:rsid w:val="00804E69"/>
    <w:rsid w:val="00804EC6"/>
    <w:rsid w:val="00804EF9"/>
    <w:rsid w:val="00805FA0"/>
    <w:rsid w:val="00806C3B"/>
    <w:rsid w:val="00806F6A"/>
    <w:rsid w:val="008077F5"/>
    <w:rsid w:val="0081012E"/>
    <w:rsid w:val="008124C5"/>
    <w:rsid w:val="008126DA"/>
    <w:rsid w:val="00813D86"/>
    <w:rsid w:val="008144D7"/>
    <w:rsid w:val="00814C19"/>
    <w:rsid w:val="008150D2"/>
    <w:rsid w:val="00815301"/>
    <w:rsid w:val="008156DC"/>
    <w:rsid w:val="008158DF"/>
    <w:rsid w:val="00815EBD"/>
    <w:rsid w:val="00816228"/>
    <w:rsid w:val="00816D3A"/>
    <w:rsid w:val="008171BF"/>
    <w:rsid w:val="00817721"/>
    <w:rsid w:val="00817CC5"/>
    <w:rsid w:val="00821396"/>
    <w:rsid w:val="00821C5C"/>
    <w:rsid w:val="00821C64"/>
    <w:rsid w:val="00822BC1"/>
    <w:rsid w:val="00823082"/>
    <w:rsid w:val="00823953"/>
    <w:rsid w:val="00823FF4"/>
    <w:rsid w:val="00824060"/>
    <w:rsid w:val="0082421D"/>
    <w:rsid w:val="00824235"/>
    <w:rsid w:val="0082499A"/>
    <w:rsid w:val="0082558F"/>
    <w:rsid w:val="00825FA2"/>
    <w:rsid w:val="008266C4"/>
    <w:rsid w:val="00827CF0"/>
    <w:rsid w:val="008307C7"/>
    <w:rsid w:val="00830884"/>
    <w:rsid w:val="00830A40"/>
    <w:rsid w:val="00831D36"/>
    <w:rsid w:val="00832757"/>
    <w:rsid w:val="008327A0"/>
    <w:rsid w:val="008330AF"/>
    <w:rsid w:val="008330BC"/>
    <w:rsid w:val="00833706"/>
    <w:rsid w:val="00833716"/>
    <w:rsid w:val="008338BA"/>
    <w:rsid w:val="00833B46"/>
    <w:rsid w:val="008342C4"/>
    <w:rsid w:val="00834B23"/>
    <w:rsid w:val="00834D2E"/>
    <w:rsid w:val="00834D4C"/>
    <w:rsid w:val="00834E67"/>
    <w:rsid w:val="00836419"/>
    <w:rsid w:val="00836532"/>
    <w:rsid w:val="0083667D"/>
    <w:rsid w:val="0083720C"/>
    <w:rsid w:val="00840499"/>
    <w:rsid w:val="00840D43"/>
    <w:rsid w:val="00840F57"/>
    <w:rsid w:val="00840FDF"/>
    <w:rsid w:val="00841156"/>
    <w:rsid w:val="008416DF"/>
    <w:rsid w:val="0084252C"/>
    <w:rsid w:val="00842FBA"/>
    <w:rsid w:val="0084325B"/>
    <w:rsid w:val="008436DC"/>
    <w:rsid w:val="00844EF3"/>
    <w:rsid w:val="008452B8"/>
    <w:rsid w:val="008460BE"/>
    <w:rsid w:val="00846590"/>
    <w:rsid w:val="008466EC"/>
    <w:rsid w:val="00846885"/>
    <w:rsid w:val="00846966"/>
    <w:rsid w:val="00846DF5"/>
    <w:rsid w:val="00847107"/>
    <w:rsid w:val="008472CA"/>
    <w:rsid w:val="00847354"/>
    <w:rsid w:val="008473E6"/>
    <w:rsid w:val="008474E3"/>
    <w:rsid w:val="0084760C"/>
    <w:rsid w:val="00847D63"/>
    <w:rsid w:val="00847DC7"/>
    <w:rsid w:val="00847E81"/>
    <w:rsid w:val="008505B3"/>
    <w:rsid w:val="00850B86"/>
    <w:rsid w:val="00850CD6"/>
    <w:rsid w:val="0085138D"/>
    <w:rsid w:val="0085139D"/>
    <w:rsid w:val="008517EA"/>
    <w:rsid w:val="00851BCB"/>
    <w:rsid w:val="0085249D"/>
    <w:rsid w:val="00852B6D"/>
    <w:rsid w:val="00854454"/>
    <w:rsid w:val="008550F5"/>
    <w:rsid w:val="008554F5"/>
    <w:rsid w:val="00855EEE"/>
    <w:rsid w:val="00856DD8"/>
    <w:rsid w:val="0085728E"/>
    <w:rsid w:val="008576F8"/>
    <w:rsid w:val="00860468"/>
    <w:rsid w:val="00860F05"/>
    <w:rsid w:val="008610D9"/>
    <w:rsid w:val="00861D78"/>
    <w:rsid w:val="00861F4F"/>
    <w:rsid w:val="008625F4"/>
    <w:rsid w:val="0086269A"/>
    <w:rsid w:val="008641DA"/>
    <w:rsid w:val="00864F41"/>
    <w:rsid w:val="00865138"/>
    <w:rsid w:val="0086521E"/>
    <w:rsid w:val="0086635C"/>
    <w:rsid w:val="0086662F"/>
    <w:rsid w:val="0086697A"/>
    <w:rsid w:val="00867456"/>
    <w:rsid w:val="008674A4"/>
    <w:rsid w:val="00870870"/>
    <w:rsid w:val="00870CD2"/>
    <w:rsid w:val="008714B9"/>
    <w:rsid w:val="008719FE"/>
    <w:rsid w:val="008724F2"/>
    <w:rsid w:val="00873734"/>
    <w:rsid w:val="008738BA"/>
    <w:rsid w:val="0087399F"/>
    <w:rsid w:val="00873A48"/>
    <w:rsid w:val="00873E40"/>
    <w:rsid w:val="00874794"/>
    <w:rsid w:val="0087495D"/>
    <w:rsid w:val="00874DE5"/>
    <w:rsid w:val="0087511F"/>
    <w:rsid w:val="00875140"/>
    <w:rsid w:val="00875B71"/>
    <w:rsid w:val="00876219"/>
    <w:rsid w:val="00876EAA"/>
    <w:rsid w:val="00876F5E"/>
    <w:rsid w:val="008772E3"/>
    <w:rsid w:val="00877381"/>
    <w:rsid w:val="00877512"/>
    <w:rsid w:val="008777EA"/>
    <w:rsid w:val="00877CF4"/>
    <w:rsid w:val="00880504"/>
    <w:rsid w:val="00880802"/>
    <w:rsid w:val="00880A7A"/>
    <w:rsid w:val="00880FBF"/>
    <w:rsid w:val="00881038"/>
    <w:rsid w:val="00881265"/>
    <w:rsid w:val="008828AA"/>
    <w:rsid w:val="00883B21"/>
    <w:rsid w:val="00885447"/>
    <w:rsid w:val="008861A7"/>
    <w:rsid w:val="00886755"/>
    <w:rsid w:val="00886DC3"/>
    <w:rsid w:val="00887546"/>
    <w:rsid w:val="008879B8"/>
    <w:rsid w:val="00887C01"/>
    <w:rsid w:val="00890C1B"/>
    <w:rsid w:val="00890E20"/>
    <w:rsid w:val="008915DD"/>
    <w:rsid w:val="00891A54"/>
    <w:rsid w:val="008925D1"/>
    <w:rsid w:val="00892AE0"/>
    <w:rsid w:val="00892E15"/>
    <w:rsid w:val="008935F7"/>
    <w:rsid w:val="00893D1D"/>
    <w:rsid w:val="0089495E"/>
    <w:rsid w:val="00894F86"/>
    <w:rsid w:val="00895828"/>
    <w:rsid w:val="00895931"/>
    <w:rsid w:val="00895A11"/>
    <w:rsid w:val="00896017"/>
    <w:rsid w:val="008966D0"/>
    <w:rsid w:val="00896CA7"/>
    <w:rsid w:val="00897618"/>
    <w:rsid w:val="00897F9D"/>
    <w:rsid w:val="008A02DE"/>
    <w:rsid w:val="008A064E"/>
    <w:rsid w:val="008A198B"/>
    <w:rsid w:val="008A1B1E"/>
    <w:rsid w:val="008A23E9"/>
    <w:rsid w:val="008A290E"/>
    <w:rsid w:val="008A409B"/>
    <w:rsid w:val="008A4FDD"/>
    <w:rsid w:val="008A505A"/>
    <w:rsid w:val="008A5B3E"/>
    <w:rsid w:val="008A614C"/>
    <w:rsid w:val="008A6515"/>
    <w:rsid w:val="008A70F6"/>
    <w:rsid w:val="008A743A"/>
    <w:rsid w:val="008A75A9"/>
    <w:rsid w:val="008A7AAC"/>
    <w:rsid w:val="008A7D08"/>
    <w:rsid w:val="008B0097"/>
    <w:rsid w:val="008B0503"/>
    <w:rsid w:val="008B05D9"/>
    <w:rsid w:val="008B12E8"/>
    <w:rsid w:val="008B225F"/>
    <w:rsid w:val="008B3640"/>
    <w:rsid w:val="008B3DC0"/>
    <w:rsid w:val="008B4061"/>
    <w:rsid w:val="008B4152"/>
    <w:rsid w:val="008B4652"/>
    <w:rsid w:val="008B4CA9"/>
    <w:rsid w:val="008B51F4"/>
    <w:rsid w:val="008B524C"/>
    <w:rsid w:val="008B53AF"/>
    <w:rsid w:val="008B5977"/>
    <w:rsid w:val="008B5F76"/>
    <w:rsid w:val="008B6808"/>
    <w:rsid w:val="008B6AD7"/>
    <w:rsid w:val="008B72E7"/>
    <w:rsid w:val="008B73B4"/>
    <w:rsid w:val="008B7828"/>
    <w:rsid w:val="008B7D35"/>
    <w:rsid w:val="008B7D5B"/>
    <w:rsid w:val="008B7E30"/>
    <w:rsid w:val="008C0121"/>
    <w:rsid w:val="008C04FE"/>
    <w:rsid w:val="008C069A"/>
    <w:rsid w:val="008C0DEC"/>
    <w:rsid w:val="008C21DB"/>
    <w:rsid w:val="008C2EC0"/>
    <w:rsid w:val="008C30CB"/>
    <w:rsid w:val="008C34AC"/>
    <w:rsid w:val="008C3EC2"/>
    <w:rsid w:val="008C4570"/>
    <w:rsid w:val="008C53B4"/>
    <w:rsid w:val="008C5B30"/>
    <w:rsid w:val="008C63C2"/>
    <w:rsid w:val="008C6A6D"/>
    <w:rsid w:val="008C6AC3"/>
    <w:rsid w:val="008C75D3"/>
    <w:rsid w:val="008C7938"/>
    <w:rsid w:val="008C7C34"/>
    <w:rsid w:val="008C7DDC"/>
    <w:rsid w:val="008D0362"/>
    <w:rsid w:val="008D0D1D"/>
    <w:rsid w:val="008D0D42"/>
    <w:rsid w:val="008D1529"/>
    <w:rsid w:val="008D197A"/>
    <w:rsid w:val="008D19D7"/>
    <w:rsid w:val="008D1D70"/>
    <w:rsid w:val="008D2899"/>
    <w:rsid w:val="008D2B2D"/>
    <w:rsid w:val="008D2B84"/>
    <w:rsid w:val="008D33F9"/>
    <w:rsid w:val="008D3461"/>
    <w:rsid w:val="008D3F7D"/>
    <w:rsid w:val="008D47A9"/>
    <w:rsid w:val="008D56EC"/>
    <w:rsid w:val="008D5E28"/>
    <w:rsid w:val="008D5E86"/>
    <w:rsid w:val="008D6249"/>
    <w:rsid w:val="008D7B5A"/>
    <w:rsid w:val="008E0B2A"/>
    <w:rsid w:val="008E0BB1"/>
    <w:rsid w:val="008E1240"/>
    <w:rsid w:val="008E1368"/>
    <w:rsid w:val="008E155F"/>
    <w:rsid w:val="008E21BC"/>
    <w:rsid w:val="008E3519"/>
    <w:rsid w:val="008E3668"/>
    <w:rsid w:val="008E380C"/>
    <w:rsid w:val="008E3F11"/>
    <w:rsid w:val="008E3F7E"/>
    <w:rsid w:val="008E4AFD"/>
    <w:rsid w:val="008E4FFA"/>
    <w:rsid w:val="008E5E38"/>
    <w:rsid w:val="008E5E8E"/>
    <w:rsid w:val="008E6238"/>
    <w:rsid w:val="008F1A2A"/>
    <w:rsid w:val="008F2776"/>
    <w:rsid w:val="008F2DF3"/>
    <w:rsid w:val="008F3A0E"/>
    <w:rsid w:val="008F3EE5"/>
    <w:rsid w:val="008F4557"/>
    <w:rsid w:val="008F4C5A"/>
    <w:rsid w:val="008F6006"/>
    <w:rsid w:val="008F60D4"/>
    <w:rsid w:val="008F669C"/>
    <w:rsid w:val="008F6EB4"/>
    <w:rsid w:val="008F72DA"/>
    <w:rsid w:val="008F7BCB"/>
    <w:rsid w:val="008F7C86"/>
    <w:rsid w:val="008F7DAC"/>
    <w:rsid w:val="0090016B"/>
    <w:rsid w:val="00900BEF"/>
    <w:rsid w:val="0090261F"/>
    <w:rsid w:val="00903167"/>
    <w:rsid w:val="009050FB"/>
    <w:rsid w:val="00905724"/>
    <w:rsid w:val="00906661"/>
    <w:rsid w:val="00906F41"/>
    <w:rsid w:val="0090709A"/>
    <w:rsid w:val="00910DEF"/>
    <w:rsid w:val="00910E8C"/>
    <w:rsid w:val="0091159D"/>
    <w:rsid w:val="009116B3"/>
    <w:rsid w:val="00911AB6"/>
    <w:rsid w:val="00913832"/>
    <w:rsid w:val="009142A2"/>
    <w:rsid w:val="009143DF"/>
    <w:rsid w:val="009147E6"/>
    <w:rsid w:val="00914FE1"/>
    <w:rsid w:val="00916956"/>
    <w:rsid w:val="00917086"/>
    <w:rsid w:val="009173E7"/>
    <w:rsid w:val="00917924"/>
    <w:rsid w:val="0092021D"/>
    <w:rsid w:val="009209A5"/>
    <w:rsid w:val="00922998"/>
    <w:rsid w:val="00922BB2"/>
    <w:rsid w:val="0092354B"/>
    <w:rsid w:val="009241EC"/>
    <w:rsid w:val="0092489C"/>
    <w:rsid w:val="00924C2B"/>
    <w:rsid w:val="00924DE6"/>
    <w:rsid w:val="009266F1"/>
    <w:rsid w:val="0092682D"/>
    <w:rsid w:val="00926A7A"/>
    <w:rsid w:val="0092733F"/>
    <w:rsid w:val="0092772B"/>
    <w:rsid w:val="00927AF5"/>
    <w:rsid w:val="00927E02"/>
    <w:rsid w:val="009307E0"/>
    <w:rsid w:val="00930831"/>
    <w:rsid w:val="00930CFD"/>
    <w:rsid w:val="009322C5"/>
    <w:rsid w:val="009325E5"/>
    <w:rsid w:val="009331F5"/>
    <w:rsid w:val="00936154"/>
    <w:rsid w:val="009362B5"/>
    <w:rsid w:val="009366EC"/>
    <w:rsid w:val="00936B19"/>
    <w:rsid w:val="00936CF2"/>
    <w:rsid w:val="00936E97"/>
    <w:rsid w:val="0094006E"/>
    <w:rsid w:val="009405ED"/>
    <w:rsid w:val="00940F6B"/>
    <w:rsid w:val="00941236"/>
    <w:rsid w:val="0094124D"/>
    <w:rsid w:val="0094186E"/>
    <w:rsid w:val="00942E82"/>
    <w:rsid w:val="00943013"/>
    <w:rsid w:val="00944461"/>
    <w:rsid w:val="00944820"/>
    <w:rsid w:val="00944883"/>
    <w:rsid w:val="00945097"/>
    <w:rsid w:val="00945A17"/>
    <w:rsid w:val="00946D49"/>
    <w:rsid w:val="009475DD"/>
    <w:rsid w:val="00947923"/>
    <w:rsid w:val="00947BC7"/>
    <w:rsid w:val="00950F5B"/>
    <w:rsid w:val="00951267"/>
    <w:rsid w:val="00951B9E"/>
    <w:rsid w:val="00952126"/>
    <w:rsid w:val="00952B4C"/>
    <w:rsid w:val="00952FB6"/>
    <w:rsid w:val="009535EF"/>
    <w:rsid w:val="009546E9"/>
    <w:rsid w:val="0095631E"/>
    <w:rsid w:val="0095672F"/>
    <w:rsid w:val="0095692E"/>
    <w:rsid w:val="009573EF"/>
    <w:rsid w:val="009575E5"/>
    <w:rsid w:val="009578B0"/>
    <w:rsid w:val="009578E1"/>
    <w:rsid w:val="009617D9"/>
    <w:rsid w:val="00961BCE"/>
    <w:rsid w:val="00962040"/>
    <w:rsid w:val="009620F4"/>
    <w:rsid w:val="009629EF"/>
    <w:rsid w:val="00963242"/>
    <w:rsid w:val="00963F5A"/>
    <w:rsid w:val="00963FD7"/>
    <w:rsid w:val="009644E2"/>
    <w:rsid w:val="00965042"/>
    <w:rsid w:val="0096530A"/>
    <w:rsid w:val="009675FA"/>
    <w:rsid w:val="00967872"/>
    <w:rsid w:val="00967BB1"/>
    <w:rsid w:val="009708BF"/>
    <w:rsid w:val="009709DC"/>
    <w:rsid w:val="00970CBF"/>
    <w:rsid w:val="00971258"/>
    <w:rsid w:val="00971909"/>
    <w:rsid w:val="00972180"/>
    <w:rsid w:val="009728FE"/>
    <w:rsid w:val="00972A19"/>
    <w:rsid w:val="00972D1E"/>
    <w:rsid w:val="00972E56"/>
    <w:rsid w:val="009757A8"/>
    <w:rsid w:val="00975FA4"/>
    <w:rsid w:val="00976BDA"/>
    <w:rsid w:val="00976BEE"/>
    <w:rsid w:val="00976F98"/>
    <w:rsid w:val="009779E7"/>
    <w:rsid w:val="00977D32"/>
    <w:rsid w:val="00980D57"/>
    <w:rsid w:val="00981C32"/>
    <w:rsid w:val="00981C9D"/>
    <w:rsid w:val="009822B7"/>
    <w:rsid w:val="009827EE"/>
    <w:rsid w:val="00982EFF"/>
    <w:rsid w:val="00982F91"/>
    <w:rsid w:val="009832C0"/>
    <w:rsid w:val="00984461"/>
    <w:rsid w:val="00984846"/>
    <w:rsid w:val="00985FB8"/>
    <w:rsid w:val="00986552"/>
    <w:rsid w:val="00986FB2"/>
    <w:rsid w:val="0098781A"/>
    <w:rsid w:val="009907A2"/>
    <w:rsid w:val="00990D01"/>
    <w:rsid w:val="0099172A"/>
    <w:rsid w:val="00991D45"/>
    <w:rsid w:val="00991EEC"/>
    <w:rsid w:val="00993DA7"/>
    <w:rsid w:val="00993FA1"/>
    <w:rsid w:val="0099471A"/>
    <w:rsid w:val="009952B3"/>
    <w:rsid w:val="00996640"/>
    <w:rsid w:val="00996AB0"/>
    <w:rsid w:val="00996AC6"/>
    <w:rsid w:val="00996CC5"/>
    <w:rsid w:val="00996F4F"/>
    <w:rsid w:val="009977E1"/>
    <w:rsid w:val="00997913"/>
    <w:rsid w:val="00997D6A"/>
    <w:rsid w:val="00997FAF"/>
    <w:rsid w:val="009A08FD"/>
    <w:rsid w:val="009A100C"/>
    <w:rsid w:val="009A2657"/>
    <w:rsid w:val="009A2CAE"/>
    <w:rsid w:val="009A2FD6"/>
    <w:rsid w:val="009A330E"/>
    <w:rsid w:val="009A3A92"/>
    <w:rsid w:val="009A43A6"/>
    <w:rsid w:val="009A45D5"/>
    <w:rsid w:val="009A4AE8"/>
    <w:rsid w:val="009A4D42"/>
    <w:rsid w:val="009A597A"/>
    <w:rsid w:val="009A5CF3"/>
    <w:rsid w:val="009A5F60"/>
    <w:rsid w:val="009A670C"/>
    <w:rsid w:val="009A68D2"/>
    <w:rsid w:val="009A7BE9"/>
    <w:rsid w:val="009A7F36"/>
    <w:rsid w:val="009B1B22"/>
    <w:rsid w:val="009B1FDD"/>
    <w:rsid w:val="009B21C7"/>
    <w:rsid w:val="009B226B"/>
    <w:rsid w:val="009B325D"/>
    <w:rsid w:val="009B424A"/>
    <w:rsid w:val="009B4456"/>
    <w:rsid w:val="009B4D98"/>
    <w:rsid w:val="009B4E6E"/>
    <w:rsid w:val="009B58DA"/>
    <w:rsid w:val="009B6012"/>
    <w:rsid w:val="009B6D4C"/>
    <w:rsid w:val="009B742B"/>
    <w:rsid w:val="009B7440"/>
    <w:rsid w:val="009C11CC"/>
    <w:rsid w:val="009C165D"/>
    <w:rsid w:val="009C1675"/>
    <w:rsid w:val="009C16B7"/>
    <w:rsid w:val="009C1814"/>
    <w:rsid w:val="009C1AFB"/>
    <w:rsid w:val="009C1CD9"/>
    <w:rsid w:val="009C20AA"/>
    <w:rsid w:val="009C2B26"/>
    <w:rsid w:val="009C2BBB"/>
    <w:rsid w:val="009C3AD9"/>
    <w:rsid w:val="009C3FCF"/>
    <w:rsid w:val="009C51C7"/>
    <w:rsid w:val="009C527B"/>
    <w:rsid w:val="009C53B0"/>
    <w:rsid w:val="009C5FB7"/>
    <w:rsid w:val="009C6892"/>
    <w:rsid w:val="009C71FE"/>
    <w:rsid w:val="009D04C9"/>
    <w:rsid w:val="009D18AB"/>
    <w:rsid w:val="009D2DED"/>
    <w:rsid w:val="009D3619"/>
    <w:rsid w:val="009D3B2D"/>
    <w:rsid w:val="009D4E3F"/>
    <w:rsid w:val="009D500E"/>
    <w:rsid w:val="009D530B"/>
    <w:rsid w:val="009D64A6"/>
    <w:rsid w:val="009D6A32"/>
    <w:rsid w:val="009D6F1B"/>
    <w:rsid w:val="009D7BB0"/>
    <w:rsid w:val="009E0114"/>
    <w:rsid w:val="009E138A"/>
    <w:rsid w:val="009E192A"/>
    <w:rsid w:val="009E1D97"/>
    <w:rsid w:val="009E297C"/>
    <w:rsid w:val="009E2F8A"/>
    <w:rsid w:val="009E3133"/>
    <w:rsid w:val="009E331F"/>
    <w:rsid w:val="009E3A0E"/>
    <w:rsid w:val="009E3BFB"/>
    <w:rsid w:val="009E3EE8"/>
    <w:rsid w:val="009E4E33"/>
    <w:rsid w:val="009E557F"/>
    <w:rsid w:val="009E594A"/>
    <w:rsid w:val="009E5D41"/>
    <w:rsid w:val="009E6019"/>
    <w:rsid w:val="009E644C"/>
    <w:rsid w:val="009E70C8"/>
    <w:rsid w:val="009E7634"/>
    <w:rsid w:val="009F0A01"/>
    <w:rsid w:val="009F0C36"/>
    <w:rsid w:val="009F0DAD"/>
    <w:rsid w:val="009F1A68"/>
    <w:rsid w:val="009F1C50"/>
    <w:rsid w:val="009F3772"/>
    <w:rsid w:val="009F3A0E"/>
    <w:rsid w:val="009F45ED"/>
    <w:rsid w:val="009F47D9"/>
    <w:rsid w:val="009F4FEC"/>
    <w:rsid w:val="009F502D"/>
    <w:rsid w:val="009F6378"/>
    <w:rsid w:val="009F661E"/>
    <w:rsid w:val="009F6A48"/>
    <w:rsid w:val="009F72D6"/>
    <w:rsid w:val="009F7350"/>
    <w:rsid w:val="00A00914"/>
    <w:rsid w:val="00A00951"/>
    <w:rsid w:val="00A00ACB"/>
    <w:rsid w:val="00A010F1"/>
    <w:rsid w:val="00A016CF"/>
    <w:rsid w:val="00A018D0"/>
    <w:rsid w:val="00A01F59"/>
    <w:rsid w:val="00A027EE"/>
    <w:rsid w:val="00A02914"/>
    <w:rsid w:val="00A03637"/>
    <w:rsid w:val="00A0390D"/>
    <w:rsid w:val="00A03B0A"/>
    <w:rsid w:val="00A0403B"/>
    <w:rsid w:val="00A04073"/>
    <w:rsid w:val="00A0423D"/>
    <w:rsid w:val="00A048E1"/>
    <w:rsid w:val="00A04C8B"/>
    <w:rsid w:val="00A04D23"/>
    <w:rsid w:val="00A05A8A"/>
    <w:rsid w:val="00A05F10"/>
    <w:rsid w:val="00A06581"/>
    <w:rsid w:val="00A067DB"/>
    <w:rsid w:val="00A068F4"/>
    <w:rsid w:val="00A072E4"/>
    <w:rsid w:val="00A07BC6"/>
    <w:rsid w:val="00A07DC0"/>
    <w:rsid w:val="00A10082"/>
    <w:rsid w:val="00A10898"/>
    <w:rsid w:val="00A10985"/>
    <w:rsid w:val="00A109EB"/>
    <w:rsid w:val="00A117C9"/>
    <w:rsid w:val="00A11B13"/>
    <w:rsid w:val="00A11D6C"/>
    <w:rsid w:val="00A1235C"/>
    <w:rsid w:val="00A12FB7"/>
    <w:rsid w:val="00A1370E"/>
    <w:rsid w:val="00A13841"/>
    <w:rsid w:val="00A141F5"/>
    <w:rsid w:val="00A14308"/>
    <w:rsid w:val="00A14BF0"/>
    <w:rsid w:val="00A14C60"/>
    <w:rsid w:val="00A14F8D"/>
    <w:rsid w:val="00A15318"/>
    <w:rsid w:val="00A15416"/>
    <w:rsid w:val="00A163C7"/>
    <w:rsid w:val="00A168DA"/>
    <w:rsid w:val="00A204EE"/>
    <w:rsid w:val="00A209EA"/>
    <w:rsid w:val="00A21CF1"/>
    <w:rsid w:val="00A2213F"/>
    <w:rsid w:val="00A22807"/>
    <w:rsid w:val="00A22AE8"/>
    <w:rsid w:val="00A22D5D"/>
    <w:rsid w:val="00A2308D"/>
    <w:rsid w:val="00A234E7"/>
    <w:rsid w:val="00A2375D"/>
    <w:rsid w:val="00A23A20"/>
    <w:rsid w:val="00A23E0A"/>
    <w:rsid w:val="00A23FC2"/>
    <w:rsid w:val="00A2447A"/>
    <w:rsid w:val="00A249EF"/>
    <w:rsid w:val="00A24E77"/>
    <w:rsid w:val="00A277E6"/>
    <w:rsid w:val="00A3025D"/>
    <w:rsid w:val="00A307E4"/>
    <w:rsid w:val="00A313E9"/>
    <w:rsid w:val="00A319A5"/>
    <w:rsid w:val="00A31C5F"/>
    <w:rsid w:val="00A31DAC"/>
    <w:rsid w:val="00A31F19"/>
    <w:rsid w:val="00A32A0A"/>
    <w:rsid w:val="00A33420"/>
    <w:rsid w:val="00A33BE0"/>
    <w:rsid w:val="00A3405E"/>
    <w:rsid w:val="00A34448"/>
    <w:rsid w:val="00A344B5"/>
    <w:rsid w:val="00A34579"/>
    <w:rsid w:val="00A34F1C"/>
    <w:rsid w:val="00A35544"/>
    <w:rsid w:val="00A36043"/>
    <w:rsid w:val="00A364CB"/>
    <w:rsid w:val="00A36A9C"/>
    <w:rsid w:val="00A370A2"/>
    <w:rsid w:val="00A419FA"/>
    <w:rsid w:val="00A41ED2"/>
    <w:rsid w:val="00A42586"/>
    <w:rsid w:val="00A428AC"/>
    <w:rsid w:val="00A43184"/>
    <w:rsid w:val="00A438A3"/>
    <w:rsid w:val="00A43ED2"/>
    <w:rsid w:val="00A4461F"/>
    <w:rsid w:val="00A45066"/>
    <w:rsid w:val="00A45172"/>
    <w:rsid w:val="00A4542D"/>
    <w:rsid w:val="00A4580D"/>
    <w:rsid w:val="00A4639F"/>
    <w:rsid w:val="00A467A1"/>
    <w:rsid w:val="00A475E9"/>
    <w:rsid w:val="00A50A52"/>
    <w:rsid w:val="00A52DDD"/>
    <w:rsid w:val="00A5303A"/>
    <w:rsid w:val="00A539EC"/>
    <w:rsid w:val="00A53DE6"/>
    <w:rsid w:val="00A53E2C"/>
    <w:rsid w:val="00A542F0"/>
    <w:rsid w:val="00A546EB"/>
    <w:rsid w:val="00A54CDC"/>
    <w:rsid w:val="00A54FFE"/>
    <w:rsid w:val="00A5552A"/>
    <w:rsid w:val="00A563CA"/>
    <w:rsid w:val="00A5660D"/>
    <w:rsid w:val="00A56F55"/>
    <w:rsid w:val="00A57324"/>
    <w:rsid w:val="00A57560"/>
    <w:rsid w:val="00A60696"/>
    <w:rsid w:val="00A6075F"/>
    <w:rsid w:val="00A60A09"/>
    <w:rsid w:val="00A60ACF"/>
    <w:rsid w:val="00A6137C"/>
    <w:rsid w:val="00A614E0"/>
    <w:rsid w:val="00A61E9D"/>
    <w:rsid w:val="00A6273D"/>
    <w:rsid w:val="00A634C4"/>
    <w:rsid w:val="00A63ABC"/>
    <w:rsid w:val="00A6434A"/>
    <w:rsid w:val="00A64759"/>
    <w:rsid w:val="00A64CAE"/>
    <w:rsid w:val="00A6500E"/>
    <w:rsid w:val="00A658F1"/>
    <w:rsid w:val="00A65FB2"/>
    <w:rsid w:val="00A6610A"/>
    <w:rsid w:val="00A66458"/>
    <w:rsid w:val="00A66563"/>
    <w:rsid w:val="00A673BE"/>
    <w:rsid w:val="00A6798C"/>
    <w:rsid w:val="00A70149"/>
    <w:rsid w:val="00A70303"/>
    <w:rsid w:val="00A70847"/>
    <w:rsid w:val="00A71338"/>
    <w:rsid w:val="00A714E3"/>
    <w:rsid w:val="00A715D3"/>
    <w:rsid w:val="00A71DDF"/>
    <w:rsid w:val="00A71F7A"/>
    <w:rsid w:val="00A72319"/>
    <w:rsid w:val="00A7245D"/>
    <w:rsid w:val="00A7275D"/>
    <w:rsid w:val="00A72C8F"/>
    <w:rsid w:val="00A73625"/>
    <w:rsid w:val="00A74F5C"/>
    <w:rsid w:val="00A75967"/>
    <w:rsid w:val="00A75B7D"/>
    <w:rsid w:val="00A76FD3"/>
    <w:rsid w:val="00A774AE"/>
    <w:rsid w:val="00A77658"/>
    <w:rsid w:val="00A7769C"/>
    <w:rsid w:val="00A77A10"/>
    <w:rsid w:val="00A77DFA"/>
    <w:rsid w:val="00A800AF"/>
    <w:rsid w:val="00A80479"/>
    <w:rsid w:val="00A80B34"/>
    <w:rsid w:val="00A828F6"/>
    <w:rsid w:val="00A829A3"/>
    <w:rsid w:val="00A82A2C"/>
    <w:rsid w:val="00A83539"/>
    <w:rsid w:val="00A83631"/>
    <w:rsid w:val="00A842FE"/>
    <w:rsid w:val="00A84666"/>
    <w:rsid w:val="00A854AC"/>
    <w:rsid w:val="00A859A4"/>
    <w:rsid w:val="00A85BF9"/>
    <w:rsid w:val="00A85CE8"/>
    <w:rsid w:val="00A866F9"/>
    <w:rsid w:val="00A86701"/>
    <w:rsid w:val="00A867AC"/>
    <w:rsid w:val="00A87978"/>
    <w:rsid w:val="00A87E33"/>
    <w:rsid w:val="00A9007F"/>
    <w:rsid w:val="00A90BB4"/>
    <w:rsid w:val="00A90C91"/>
    <w:rsid w:val="00A910D1"/>
    <w:rsid w:val="00A91374"/>
    <w:rsid w:val="00A918E8"/>
    <w:rsid w:val="00A91A85"/>
    <w:rsid w:val="00A91C29"/>
    <w:rsid w:val="00A92997"/>
    <w:rsid w:val="00A92C8B"/>
    <w:rsid w:val="00A953D9"/>
    <w:rsid w:val="00A95A9F"/>
    <w:rsid w:val="00A969D7"/>
    <w:rsid w:val="00A972BA"/>
    <w:rsid w:val="00A975DD"/>
    <w:rsid w:val="00AA012A"/>
    <w:rsid w:val="00AA097F"/>
    <w:rsid w:val="00AA0CDD"/>
    <w:rsid w:val="00AA1726"/>
    <w:rsid w:val="00AA17C0"/>
    <w:rsid w:val="00AA21D4"/>
    <w:rsid w:val="00AA29E9"/>
    <w:rsid w:val="00AA3C0E"/>
    <w:rsid w:val="00AA3CB9"/>
    <w:rsid w:val="00AA4B8C"/>
    <w:rsid w:val="00AA4C70"/>
    <w:rsid w:val="00AA5FC9"/>
    <w:rsid w:val="00AA6030"/>
    <w:rsid w:val="00AA652B"/>
    <w:rsid w:val="00AA6C4E"/>
    <w:rsid w:val="00AB0092"/>
    <w:rsid w:val="00AB0326"/>
    <w:rsid w:val="00AB0959"/>
    <w:rsid w:val="00AB16EB"/>
    <w:rsid w:val="00AB2CD6"/>
    <w:rsid w:val="00AB2EDD"/>
    <w:rsid w:val="00AB3188"/>
    <w:rsid w:val="00AB3726"/>
    <w:rsid w:val="00AB4584"/>
    <w:rsid w:val="00AB4C61"/>
    <w:rsid w:val="00AB500A"/>
    <w:rsid w:val="00AB5027"/>
    <w:rsid w:val="00AB5EF4"/>
    <w:rsid w:val="00AB5FAD"/>
    <w:rsid w:val="00AB7419"/>
    <w:rsid w:val="00AC064D"/>
    <w:rsid w:val="00AC23E8"/>
    <w:rsid w:val="00AC2E43"/>
    <w:rsid w:val="00AC39BB"/>
    <w:rsid w:val="00AC3EED"/>
    <w:rsid w:val="00AC4B73"/>
    <w:rsid w:val="00AC5D2E"/>
    <w:rsid w:val="00AC60D0"/>
    <w:rsid w:val="00AC6683"/>
    <w:rsid w:val="00AC6B62"/>
    <w:rsid w:val="00AC6CEF"/>
    <w:rsid w:val="00AC6D72"/>
    <w:rsid w:val="00AC73A6"/>
    <w:rsid w:val="00AC73ED"/>
    <w:rsid w:val="00AD0140"/>
    <w:rsid w:val="00AD08C4"/>
    <w:rsid w:val="00AD0E0E"/>
    <w:rsid w:val="00AD150C"/>
    <w:rsid w:val="00AD164E"/>
    <w:rsid w:val="00AD1A2C"/>
    <w:rsid w:val="00AD214E"/>
    <w:rsid w:val="00AD2647"/>
    <w:rsid w:val="00AD3A1F"/>
    <w:rsid w:val="00AD3A22"/>
    <w:rsid w:val="00AD407F"/>
    <w:rsid w:val="00AD44C3"/>
    <w:rsid w:val="00AD4574"/>
    <w:rsid w:val="00AD4ABC"/>
    <w:rsid w:val="00AD7347"/>
    <w:rsid w:val="00AD763A"/>
    <w:rsid w:val="00AD79F7"/>
    <w:rsid w:val="00AE0278"/>
    <w:rsid w:val="00AE03A9"/>
    <w:rsid w:val="00AE04D2"/>
    <w:rsid w:val="00AE0DC8"/>
    <w:rsid w:val="00AE132A"/>
    <w:rsid w:val="00AE1DC8"/>
    <w:rsid w:val="00AE1FD9"/>
    <w:rsid w:val="00AE2720"/>
    <w:rsid w:val="00AE286B"/>
    <w:rsid w:val="00AE3729"/>
    <w:rsid w:val="00AE38AA"/>
    <w:rsid w:val="00AE3DE0"/>
    <w:rsid w:val="00AE3E35"/>
    <w:rsid w:val="00AE4371"/>
    <w:rsid w:val="00AE445B"/>
    <w:rsid w:val="00AE48C1"/>
    <w:rsid w:val="00AE49FD"/>
    <w:rsid w:val="00AE4A77"/>
    <w:rsid w:val="00AE5994"/>
    <w:rsid w:val="00AE5C95"/>
    <w:rsid w:val="00AE5F5E"/>
    <w:rsid w:val="00AE63E7"/>
    <w:rsid w:val="00AE670F"/>
    <w:rsid w:val="00AF06C9"/>
    <w:rsid w:val="00AF26D4"/>
    <w:rsid w:val="00AF2957"/>
    <w:rsid w:val="00AF2EDE"/>
    <w:rsid w:val="00AF2FB3"/>
    <w:rsid w:val="00AF2FC3"/>
    <w:rsid w:val="00AF4BE5"/>
    <w:rsid w:val="00AF5CCF"/>
    <w:rsid w:val="00AF636F"/>
    <w:rsid w:val="00AF6472"/>
    <w:rsid w:val="00B00A03"/>
    <w:rsid w:val="00B00F7F"/>
    <w:rsid w:val="00B017E2"/>
    <w:rsid w:val="00B017F5"/>
    <w:rsid w:val="00B01FCC"/>
    <w:rsid w:val="00B0211D"/>
    <w:rsid w:val="00B02450"/>
    <w:rsid w:val="00B0375A"/>
    <w:rsid w:val="00B03CF9"/>
    <w:rsid w:val="00B03F58"/>
    <w:rsid w:val="00B0467A"/>
    <w:rsid w:val="00B052CE"/>
    <w:rsid w:val="00B05638"/>
    <w:rsid w:val="00B05703"/>
    <w:rsid w:val="00B05B0F"/>
    <w:rsid w:val="00B05B53"/>
    <w:rsid w:val="00B06A07"/>
    <w:rsid w:val="00B06E48"/>
    <w:rsid w:val="00B07A09"/>
    <w:rsid w:val="00B114AC"/>
    <w:rsid w:val="00B11B9A"/>
    <w:rsid w:val="00B12137"/>
    <w:rsid w:val="00B12C8E"/>
    <w:rsid w:val="00B137A5"/>
    <w:rsid w:val="00B14193"/>
    <w:rsid w:val="00B14649"/>
    <w:rsid w:val="00B15A42"/>
    <w:rsid w:val="00B172BA"/>
    <w:rsid w:val="00B17BF6"/>
    <w:rsid w:val="00B17C02"/>
    <w:rsid w:val="00B21739"/>
    <w:rsid w:val="00B22316"/>
    <w:rsid w:val="00B2295A"/>
    <w:rsid w:val="00B229B4"/>
    <w:rsid w:val="00B23042"/>
    <w:rsid w:val="00B23187"/>
    <w:rsid w:val="00B23248"/>
    <w:rsid w:val="00B23E17"/>
    <w:rsid w:val="00B24815"/>
    <w:rsid w:val="00B252C8"/>
    <w:rsid w:val="00B25C00"/>
    <w:rsid w:val="00B25DF7"/>
    <w:rsid w:val="00B261D5"/>
    <w:rsid w:val="00B26989"/>
    <w:rsid w:val="00B26E24"/>
    <w:rsid w:val="00B27826"/>
    <w:rsid w:val="00B30234"/>
    <w:rsid w:val="00B3025C"/>
    <w:rsid w:val="00B30B35"/>
    <w:rsid w:val="00B311FA"/>
    <w:rsid w:val="00B31212"/>
    <w:rsid w:val="00B31E23"/>
    <w:rsid w:val="00B31EB4"/>
    <w:rsid w:val="00B3224C"/>
    <w:rsid w:val="00B33135"/>
    <w:rsid w:val="00B3317F"/>
    <w:rsid w:val="00B33528"/>
    <w:rsid w:val="00B34542"/>
    <w:rsid w:val="00B349B2"/>
    <w:rsid w:val="00B369B6"/>
    <w:rsid w:val="00B373FC"/>
    <w:rsid w:val="00B37CC4"/>
    <w:rsid w:val="00B402B7"/>
    <w:rsid w:val="00B409AE"/>
    <w:rsid w:val="00B40C90"/>
    <w:rsid w:val="00B40D28"/>
    <w:rsid w:val="00B421B5"/>
    <w:rsid w:val="00B42D13"/>
    <w:rsid w:val="00B465EF"/>
    <w:rsid w:val="00B46681"/>
    <w:rsid w:val="00B46C54"/>
    <w:rsid w:val="00B471E1"/>
    <w:rsid w:val="00B47441"/>
    <w:rsid w:val="00B50524"/>
    <w:rsid w:val="00B51342"/>
    <w:rsid w:val="00B513E0"/>
    <w:rsid w:val="00B52C43"/>
    <w:rsid w:val="00B53057"/>
    <w:rsid w:val="00B53D1F"/>
    <w:rsid w:val="00B54874"/>
    <w:rsid w:val="00B54C57"/>
    <w:rsid w:val="00B54C6D"/>
    <w:rsid w:val="00B5542B"/>
    <w:rsid w:val="00B558D5"/>
    <w:rsid w:val="00B56DBD"/>
    <w:rsid w:val="00B578D8"/>
    <w:rsid w:val="00B606C1"/>
    <w:rsid w:val="00B60E87"/>
    <w:rsid w:val="00B610AC"/>
    <w:rsid w:val="00B6189F"/>
    <w:rsid w:val="00B61A1F"/>
    <w:rsid w:val="00B61C99"/>
    <w:rsid w:val="00B62718"/>
    <w:rsid w:val="00B63699"/>
    <w:rsid w:val="00B63776"/>
    <w:rsid w:val="00B63C4A"/>
    <w:rsid w:val="00B644C9"/>
    <w:rsid w:val="00B645FD"/>
    <w:rsid w:val="00B648FC"/>
    <w:rsid w:val="00B64952"/>
    <w:rsid w:val="00B65195"/>
    <w:rsid w:val="00B65286"/>
    <w:rsid w:val="00B667A7"/>
    <w:rsid w:val="00B67145"/>
    <w:rsid w:val="00B672B9"/>
    <w:rsid w:val="00B6766D"/>
    <w:rsid w:val="00B67E56"/>
    <w:rsid w:val="00B702B8"/>
    <w:rsid w:val="00B704F9"/>
    <w:rsid w:val="00B707EF"/>
    <w:rsid w:val="00B7105C"/>
    <w:rsid w:val="00B71556"/>
    <w:rsid w:val="00B723CD"/>
    <w:rsid w:val="00B723EC"/>
    <w:rsid w:val="00B72554"/>
    <w:rsid w:val="00B72586"/>
    <w:rsid w:val="00B741B6"/>
    <w:rsid w:val="00B746B5"/>
    <w:rsid w:val="00B754C0"/>
    <w:rsid w:val="00B7576F"/>
    <w:rsid w:val="00B77A2E"/>
    <w:rsid w:val="00B804BC"/>
    <w:rsid w:val="00B80923"/>
    <w:rsid w:val="00B8097C"/>
    <w:rsid w:val="00B80B08"/>
    <w:rsid w:val="00B80D9C"/>
    <w:rsid w:val="00B810C0"/>
    <w:rsid w:val="00B817D7"/>
    <w:rsid w:val="00B821AC"/>
    <w:rsid w:val="00B82C14"/>
    <w:rsid w:val="00B8352E"/>
    <w:rsid w:val="00B8464E"/>
    <w:rsid w:val="00B85375"/>
    <w:rsid w:val="00B85A80"/>
    <w:rsid w:val="00B85AE9"/>
    <w:rsid w:val="00B85B86"/>
    <w:rsid w:val="00B85D89"/>
    <w:rsid w:val="00B8618F"/>
    <w:rsid w:val="00B872CE"/>
    <w:rsid w:val="00B8789F"/>
    <w:rsid w:val="00B87F3F"/>
    <w:rsid w:val="00B90AD0"/>
    <w:rsid w:val="00B918FB"/>
    <w:rsid w:val="00B91AE0"/>
    <w:rsid w:val="00B91BE1"/>
    <w:rsid w:val="00B9235B"/>
    <w:rsid w:val="00B92ECB"/>
    <w:rsid w:val="00B932D7"/>
    <w:rsid w:val="00B9348D"/>
    <w:rsid w:val="00B93639"/>
    <w:rsid w:val="00B940B8"/>
    <w:rsid w:val="00B9429A"/>
    <w:rsid w:val="00B942DC"/>
    <w:rsid w:val="00B9588E"/>
    <w:rsid w:val="00B95B4F"/>
    <w:rsid w:val="00B95D31"/>
    <w:rsid w:val="00B97BE7"/>
    <w:rsid w:val="00B97DD2"/>
    <w:rsid w:val="00B97E0A"/>
    <w:rsid w:val="00BA10E9"/>
    <w:rsid w:val="00BA16D2"/>
    <w:rsid w:val="00BA1BFB"/>
    <w:rsid w:val="00BA224A"/>
    <w:rsid w:val="00BA24CF"/>
    <w:rsid w:val="00BA24F7"/>
    <w:rsid w:val="00BA284A"/>
    <w:rsid w:val="00BA3329"/>
    <w:rsid w:val="00BA4233"/>
    <w:rsid w:val="00BA4950"/>
    <w:rsid w:val="00BA4E12"/>
    <w:rsid w:val="00BA6485"/>
    <w:rsid w:val="00BA648F"/>
    <w:rsid w:val="00BA6669"/>
    <w:rsid w:val="00BA728F"/>
    <w:rsid w:val="00BB06A4"/>
    <w:rsid w:val="00BB1791"/>
    <w:rsid w:val="00BB2237"/>
    <w:rsid w:val="00BB26C4"/>
    <w:rsid w:val="00BB27AA"/>
    <w:rsid w:val="00BB3C10"/>
    <w:rsid w:val="00BB3DCE"/>
    <w:rsid w:val="00BB4418"/>
    <w:rsid w:val="00BB4587"/>
    <w:rsid w:val="00BB51DC"/>
    <w:rsid w:val="00BB6543"/>
    <w:rsid w:val="00BB6B02"/>
    <w:rsid w:val="00BB6F93"/>
    <w:rsid w:val="00BB754C"/>
    <w:rsid w:val="00BB7855"/>
    <w:rsid w:val="00BC094B"/>
    <w:rsid w:val="00BC1090"/>
    <w:rsid w:val="00BC304E"/>
    <w:rsid w:val="00BC34DE"/>
    <w:rsid w:val="00BC3AC7"/>
    <w:rsid w:val="00BC3D51"/>
    <w:rsid w:val="00BC482F"/>
    <w:rsid w:val="00BC4AF1"/>
    <w:rsid w:val="00BC4BFC"/>
    <w:rsid w:val="00BC4D32"/>
    <w:rsid w:val="00BC506D"/>
    <w:rsid w:val="00BC59DB"/>
    <w:rsid w:val="00BC5BF8"/>
    <w:rsid w:val="00BC5D5B"/>
    <w:rsid w:val="00BC610B"/>
    <w:rsid w:val="00BC7E96"/>
    <w:rsid w:val="00BD00FF"/>
    <w:rsid w:val="00BD03A4"/>
    <w:rsid w:val="00BD04C8"/>
    <w:rsid w:val="00BD1868"/>
    <w:rsid w:val="00BD1889"/>
    <w:rsid w:val="00BD29E7"/>
    <w:rsid w:val="00BD2B32"/>
    <w:rsid w:val="00BD2C46"/>
    <w:rsid w:val="00BD31E1"/>
    <w:rsid w:val="00BD32E5"/>
    <w:rsid w:val="00BD3D15"/>
    <w:rsid w:val="00BD4956"/>
    <w:rsid w:val="00BD4A49"/>
    <w:rsid w:val="00BD4CA1"/>
    <w:rsid w:val="00BD4F98"/>
    <w:rsid w:val="00BD5A48"/>
    <w:rsid w:val="00BD5DB6"/>
    <w:rsid w:val="00BD5F59"/>
    <w:rsid w:val="00BD62DD"/>
    <w:rsid w:val="00BD6662"/>
    <w:rsid w:val="00BD73A5"/>
    <w:rsid w:val="00BD777C"/>
    <w:rsid w:val="00BD7EE9"/>
    <w:rsid w:val="00BE0734"/>
    <w:rsid w:val="00BE0960"/>
    <w:rsid w:val="00BE0BC4"/>
    <w:rsid w:val="00BE0C9C"/>
    <w:rsid w:val="00BE0DF3"/>
    <w:rsid w:val="00BE1208"/>
    <w:rsid w:val="00BE1717"/>
    <w:rsid w:val="00BE1BC8"/>
    <w:rsid w:val="00BE28C1"/>
    <w:rsid w:val="00BE2C67"/>
    <w:rsid w:val="00BE2E7D"/>
    <w:rsid w:val="00BE394B"/>
    <w:rsid w:val="00BE3EAD"/>
    <w:rsid w:val="00BE40CF"/>
    <w:rsid w:val="00BE471E"/>
    <w:rsid w:val="00BE576A"/>
    <w:rsid w:val="00BE5C3A"/>
    <w:rsid w:val="00BE6102"/>
    <w:rsid w:val="00BE6409"/>
    <w:rsid w:val="00BE6697"/>
    <w:rsid w:val="00BE693D"/>
    <w:rsid w:val="00BE6E23"/>
    <w:rsid w:val="00BE7338"/>
    <w:rsid w:val="00BE75E5"/>
    <w:rsid w:val="00BE7A14"/>
    <w:rsid w:val="00BE7DC3"/>
    <w:rsid w:val="00BF0B27"/>
    <w:rsid w:val="00BF15C1"/>
    <w:rsid w:val="00BF26A0"/>
    <w:rsid w:val="00BF28FF"/>
    <w:rsid w:val="00BF2E79"/>
    <w:rsid w:val="00BF3C43"/>
    <w:rsid w:val="00BF41B0"/>
    <w:rsid w:val="00BF4565"/>
    <w:rsid w:val="00BF45A8"/>
    <w:rsid w:val="00BF4F22"/>
    <w:rsid w:val="00BF4FD8"/>
    <w:rsid w:val="00BF58CD"/>
    <w:rsid w:val="00BF6149"/>
    <w:rsid w:val="00BF62BD"/>
    <w:rsid w:val="00BF74E5"/>
    <w:rsid w:val="00BF77CF"/>
    <w:rsid w:val="00C00473"/>
    <w:rsid w:val="00C004AE"/>
    <w:rsid w:val="00C006AC"/>
    <w:rsid w:val="00C00ABE"/>
    <w:rsid w:val="00C0100F"/>
    <w:rsid w:val="00C0133F"/>
    <w:rsid w:val="00C01D86"/>
    <w:rsid w:val="00C02598"/>
    <w:rsid w:val="00C02E45"/>
    <w:rsid w:val="00C0389E"/>
    <w:rsid w:val="00C03AB4"/>
    <w:rsid w:val="00C03D39"/>
    <w:rsid w:val="00C04B77"/>
    <w:rsid w:val="00C05885"/>
    <w:rsid w:val="00C05B9B"/>
    <w:rsid w:val="00C060D2"/>
    <w:rsid w:val="00C0630F"/>
    <w:rsid w:val="00C06ECA"/>
    <w:rsid w:val="00C07794"/>
    <w:rsid w:val="00C078A4"/>
    <w:rsid w:val="00C112A2"/>
    <w:rsid w:val="00C115A3"/>
    <w:rsid w:val="00C11C0B"/>
    <w:rsid w:val="00C134AF"/>
    <w:rsid w:val="00C136DD"/>
    <w:rsid w:val="00C138ED"/>
    <w:rsid w:val="00C13DCC"/>
    <w:rsid w:val="00C1534E"/>
    <w:rsid w:val="00C157D2"/>
    <w:rsid w:val="00C161DF"/>
    <w:rsid w:val="00C17273"/>
    <w:rsid w:val="00C17299"/>
    <w:rsid w:val="00C172C8"/>
    <w:rsid w:val="00C17517"/>
    <w:rsid w:val="00C178E2"/>
    <w:rsid w:val="00C2056F"/>
    <w:rsid w:val="00C20C70"/>
    <w:rsid w:val="00C20C7C"/>
    <w:rsid w:val="00C2162E"/>
    <w:rsid w:val="00C21CE4"/>
    <w:rsid w:val="00C23AF8"/>
    <w:rsid w:val="00C23C13"/>
    <w:rsid w:val="00C23E1D"/>
    <w:rsid w:val="00C25054"/>
    <w:rsid w:val="00C25AC6"/>
    <w:rsid w:val="00C25BD9"/>
    <w:rsid w:val="00C25BEE"/>
    <w:rsid w:val="00C26199"/>
    <w:rsid w:val="00C27959"/>
    <w:rsid w:val="00C304F2"/>
    <w:rsid w:val="00C31001"/>
    <w:rsid w:val="00C32105"/>
    <w:rsid w:val="00C3235E"/>
    <w:rsid w:val="00C32715"/>
    <w:rsid w:val="00C3309F"/>
    <w:rsid w:val="00C331CF"/>
    <w:rsid w:val="00C3341F"/>
    <w:rsid w:val="00C33564"/>
    <w:rsid w:val="00C33BDA"/>
    <w:rsid w:val="00C34094"/>
    <w:rsid w:val="00C34108"/>
    <w:rsid w:val="00C3487A"/>
    <w:rsid w:val="00C34D8E"/>
    <w:rsid w:val="00C3593A"/>
    <w:rsid w:val="00C36F40"/>
    <w:rsid w:val="00C37D3C"/>
    <w:rsid w:val="00C40D6A"/>
    <w:rsid w:val="00C40FBE"/>
    <w:rsid w:val="00C421DB"/>
    <w:rsid w:val="00C42B61"/>
    <w:rsid w:val="00C42F8D"/>
    <w:rsid w:val="00C44CB8"/>
    <w:rsid w:val="00C4646F"/>
    <w:rsid w:val="00C46815"/>
    <w:rsid w:val="00C47954"/>
    <w:rsid w:val="00C47FE2"/>
    <w:rsid w:val="00C510DB"/>
    <w:rsid w:val="00C52233"/>
    <w:rsid w:val="00C522A4"/>
    <w:rsid w:val="00C52B5E"/>
    <w:rsid w:val="00C53236"/>
    <w:rsid w:val="00C53404"/>
    <w:rsid w:val="00C53D57"/>
    <w:rsid w:val="00C545EA"/>
    <w:rsid w:val="00C54C00"/>
    <w:rsid w:val="00C56F47"/>
    <w:rsid w:val="00C573F9"/>
    <w:rsid w:val="00C57456"/>
    <w:rsid w:val="00C575BA"/>
    <w:rsid w:val="00C60429"/>
    <w:rsid w:val="00C6090D"/>
    <w:rsid w:val="00C60C16"/>
    <w:rsid w:val="00C60F0F"/>
    <w:rsid w:val="00C611A2"/>
    <w:rsid w:val="00C621CD"/>
    <w:rsid w:val="00C622BB"/>
    <w:rsid w:val="00C624C6"/>
    <w:rsid w:val="00C6418C"/>
    <w:rsid w:val="00C64521"/>
    <w:rsid w:val="00C6492A"/>
    <w:rsid w:val="00C65D43"/>
    <w:rsid w:val="00C6659E"/>
    <w:rsid w:val="00C70148"/>
    <w:rsid w:val="00C70981"/>
    <w:rsid w:val="00C70AFE"/>
    <w:rsid w:val="00C71F3A"/>
    <w:rsid w:val="00C72849"/>
    <w:rsid w:val="00C73048"/>
    <w:rsid w:val="00C730D5"/>
    <w:rsid w:val="00C733B6"/>
    <w:rsid w:val="00C735F9"/>
    <w:rsid w:val="00C73871"/>
    <w:rsid w:val="00C73CB7"/>
    <w:rsid w:val="00C73E72"/>
    <w:rsid w:val="00C74221"/>
    <w:rsid w:val="00C74408"/>
    <w:rsid w:val="00C74595"/>
    <w:rsid w:val="00C74E27"/>
    <w:rsid w:val="00C751CE"/>
    <w:rsid w:val="00C757EE"/>
    <w:rsid w:val="00C766CE"/>
    <w:rsid w:val="00C803FF"/>
    <w:rsid w:val="00C80C8E"/>
    <w:rsid w:val="00C8198F"/>
    <w:rsid w:val="00C823F9"/>
    <w:rsid w:val="00C83107"/>
    <w:rsid w:val="00C839DA"/>
    <w:rsid w:val="00C83D90"/>
    <w:rsid w:val="00C842CB"/>
    <w:rsid w:val="00C84789"/>
    <w:rsid w:val="00C849A0"/>
    <w:rsid w:val="00C860EB"/>
    <w:rsid w:val="00C8669C"/>
    <w:rsid w:val="00C868AF"/>
    <w:rsid w:val="00C86A7C"/>
    <w:rsid w:val="00C86E91"/>
    <w:rsid w:val="00C86FFC"/>
    <w:rsid w:val="00C87605"/>
    <w:rsid w:val="00C87655"/>
    <w:rsid w:val="00C90A3F"/>
    <w:rsid w:val="00C90EB5"/>
    <w:rsid w:val="00C9100D"/>
    <w:rsid w:val="00C91654"/>
    <w:rsid w:val="00C92055"/>
    <w:rsid w:val="00C92614"/>
    <w:rsid w:val="00C93408"/>
    <w:rsid w:val="00C9355D"/>
    <w:rsid w:val="00C93701"/>
    <w:rsid w:val="00C939CC"/>
    <w:rsid w:val="00C94457"/>
    <w:rsid w:val="00C958FA"/>
    <w:rsid w:val="00C95D1B"/>
    <w:rsid w:val="00C9672C"/>
    <w:rsid w:val="00C96757"/>
    <w:rsid w:val="00C9773D"/>
    <w:rsid w:val="00C97EFC"/>
    <w:rsid w:val="00CA016A"/>
    <w:rsid w:val="00CA0A43"/>
    <w:rsid w:val="00CA1A42"/>
    <w:rsid w:val="00CA1B90"/>
    <w:rsid w:val="00CA1F99"/>
    <w:rsid w:val="00CA2025"/>
    <w:rsid w:val="00CA3005"/>
    <w:rsid w:val="00CA3125"/>
    <w:rsid w:val="00CA48A8"/>
    <w:rsid w:val="00CA49EA"/>
    <w:rsid w:val="00CA4D45"/>
    <w:rsid w:val="00CA4FF6"/>
    <w:rsid w:val="00CA58F7"/>
    <w:rsid w:val="00CA6918"/>
    <w:rsid w:val="00CA696F"/>
    <w:rsid w:val="00CA6C63"/>
    <w:rsid w:val="00CA742D"/>
    <w:rsid w:val="00CB066D"/>
    <w:rsid w:val="00CB0756"/>
    <w:rsid w:val="00CB083F"/>
    <w:rsid w:val="00CB0C67"/>
    <w:rsid w:val="00CB1DD0"/>
    <w:rsid w:val="00CB1DFE"/>
    <w:rsid w:val="00CB1EC6"/>
    <w:rsid w:val="00CB338F"/>
    <w:rsid w:val="00CB35E1"/>
    <w:rsid w:val="00CB360F"/>
    <w:rsid w:val="00CB3917"/>
    <w:rsid w:val="00CB3D74"/>
    <w:rsid w:val="00CB3F56"/>
    <w:rsid w:val="00CB4132"/>
    <w:rsid w:val="00CB417E"/>
    <w:rsid w:val="00CB4358"/>
    <w:rsid w:val="00CB43D2"/>
    <w:rsid w:val="00CB4470"/>
    <w:rsid w:val="00CB448D"/>
    <w:rsid w:val="00CB452D"/>
    <w:rsid w:val="00CB4555"/>
    <w:rsid w:val="00CB4A42"/>
    <w:rsid w:val="00CB500A"/>
    <w:rsid w:val="00CB53FF"/>
    <w:rsid w:val="00CB553C"/>
    <w:rsid w:val="00CB5650"/>
    <w:rsid w:val="00CB567E"/>
    <w:rsid w:val="00CB5ABE"/>
    <w:rsid w:val="00CB5FBE"/>
    <w:rsid w:val="00CB6256"/>
    <w:rsid w:val="00CB635D"/>
    <w:rsid w:val="00CB63C3"/>
    <w:rsid w:val="00CB6666"/>
    <w:rsid w:val="00CB693F"/>
    <w:rsid w:val="00CC23D5"/>
    <w:rsid w:val="00CC2ACD"/>
    <w:rsid w:val="00CC2DB3"/>
    <w:rsid w:val="00CC2F23"/>
    <w:rsid w:val="00CC3A49"/>
    <w:rsid w:val="00CC433F"/>
    <w:rsid w:val="00CC480A"/>
    <w:rsid w:val="00CC5032"/>
    <w:rsid w:val="00CC5AEF"/>
    <w:rsid w:val="00CC6D9D"/>
    <w:rsid w:val="00CC6EFA"/>
    <w:rsid w:val="00CC7C1A"/>
    <w:rsid w:val="00CD1D42"/>
    <w:rsid w:val="00CD2B28"/>
    <w:rsid w:val="00CD2C4A"/>
    <w:rsid w:val="00CD3655"/>
    <w:rsid w:val="00CD3E06"/>
    <w:rsid w:val="00CD4241"/>
    <w:rsid w:val="00CD4582"/>
    <w:rsid w:val="00CD4757"/>
    <w:rsid w:val="00CD4CFE"/>
    <w:rsid w:val="00CD5AA9"/>
    <w:rsid w:val="00CD5C6D"/>
    <w:rsid w:val="00CD71FD"/>
    <w:rsid w:val="00CE0ADC"/>
    <w:rsid w:val="00CE0B91"/>
    <w:rsid w:val="00CE1800"/>
    <w:rsid w:val="00CE29C2"/>
    <w:rsid w:val="00CE2ACE"/>
    <w:rsid w:val="00CE2E35"/>
    <w:rsid w:val="00CE30EF"/>
    <w:rsid w:val="00CE39DA"/>
    <w:rsid w:val="00CE411F"/>
    <w:rsid w:val="00CE472E"/>
    <w:rsid w:val="00CE4774"/>
    <w:rsid w:val="00CE4B90"/>
    <w:rsid w:val="00CE4E5F"/>
    <w:rsid w:val="00CE5187"/>
    <w:rsid w:val="00CE5465"/>
    <w:rsid w:val="00CE570B"/>
    <w:rsid w:val="00CE67FE"/>
    <w:rsid w:val="00CE6BA0"/>
    <w:rsid w:val="00CE6DCD"/>
    <w:rsid w:val="00CE710E"/>
    <w:rsid w:val="00CF04E2"/>
    <w:rsid w:val="00CF0696"/>
    <w:rsid w:val="00CF0CF4"/>
    <w:rsid w:val="00CF17D8"/>
    <w:rsid w:val="00CF2046"/>
    <w:rsid w:val="00CF23A1"/>
    <w:rsid w:val="00CF2A4F"/>
    <w:rsid w:val="00CF3A3A"/>
    <w:rsid w:val="00CF407F"/>
    <w:rsid w:val="00CF54BC"/>
    <w:rsid w:val="00CF5AEB"/>
    <w:rsid w:val="00CF641B"/>
    <w:rsid w:val="00CF79BD"/>
    <w:rsid w:val="00CF7FBE"/>
    <w:rsid w:val="00D003BF"/>
    <w:rsid w:val="00D0120C"/>
    <w:rsid w:val="00D01EFB"/>
    <w:rsid w:val="00D02211"/>
    <w:rsid w:val="00D022F0"/>
    <w:rsid w:val="00D02FC5"/>
    <w:rsid w:val="00D03064"/>
    <w:rsid w:val="00D0326B"/>
    <w:rsid w:val="00D038CB"/>
    <w:rsid w:val="00D0395B"/>
    <w:rsid w:val="00D05F6B"/>
    <w:rsid w:val="00D061A1"/>
    <w:rsid w:val="00D06635"/>
    <w:rsid w:val="00D069C1"/>
    <w:rsid w:val="00D06F60"/>
    <w:rsid w:val="00D07010"/>
    <w:rsid w:val="00D07B07"/>
    <w:rsid w:val="00D1005E"/>
    <w:rsid w:val="00D10A8A"/>
    <w:rsid w:val="00D10D38"/>
    <w:rsid w:val="00D119A7"/>
    <w:rsid w:val="00D11FB1"/>
    <w:rsid w:val="00D12984"/>
    <w:rsid w:val="00D13421"/>
    <w:rsid w:val="00D13906"/>
    <w:rsid w:val="00D141BF"/>
    <w:rsid w:val="00D146BD"/>
    <w:rsid w:val="00D14D6D"/>
    <w:rsid w:val="00D1513D"/>
    <w:rsid w:val="00D1544F"/>
    <w:rsid w:val="00D1587F"/>
    <w:rsid w:val="00D16230"/>
    <w:rsid w:val="00D163D6"/>
    <w:rsid w:val="00D16BD8"/>
    <w:rsid w:val="00D17277"/>
    <w:rsid w:val="00D17960"/>
    <w:rsid w:val="00D17A03"/>
    <w:rsid w:val="00D20201"/>
    <w:rsid w:val="00D20A7B"/>
    <w:rsid w:val="00D21992"/>
    <w:rsid w:val="00D21FE9"/>
    <w:rsid w:val="00D22365"/>
    <w:rsid w:val="00D23CFA"/>
    <w:rsid w:val="00D24A69"/>
    <w:rsid w:val="00D255CD"/>
    <w:rsid w:val="00D25C25"/>
    <w:rsid w:val="00D25CD6"/>
    <w:rsid w:val="00D25EF7"/>
    <w:rsid w:val="00D25F75"/>
    <w:rsid w:val="00D25FA3"/>
    <w:rsid w:val="00D2613D"/>
    <w:rsid w:val="00D2686C"/>
    <w:rsid w:val="00D2711D"/>
    <w:rsid w:val="00D272E9"/>
    <w:rsid w:val="00D27307"/>
    <w:rsid w:val="00D27B51"/>
    <w:rsid w:val="00D27B9B"/>
    <w:rsid w:val="00D30109"/>
    <w:rsid w:val="00D302AC"/>
    <w:rsid w:val="00D30408"/>
    <w:rsid w:val="00D3059A"/>
    <w:rsid w:val="00D30E29"/>
    <w:rsid w:val="00D314EC"/>
    <w:rsid w:val="00D31783"/>
    <w:rsid w:val="00D31AD0"/>
    <w:rsid w:val="00D3296E"/>
    <w:rsid w:val="00D33BBC"/>
    <w:rsid w:val="00D34308"/>
    <w:rsid w:val="00D346BA"/>
    <w:rsid w:val="00D34847"/>
    <w:rsid w:val="00D34FD0"/>
    <w:rsid w:val="00D3524E"/>
    <w:rsid w:val="00D36160"/>
    <w:rsid w:val="00D36C07"/>
    <w:rsid w:val="00D375D5"/>
    <w:rsid w:val="00D37941"/>
    <w:rsid w:val="00D379F6"/>
    <w:rsid w:val="00D37E5F"/>
    <w:rsid w:val="00D4081E"/>
    <w:rsid w:val="00D40B2F"/>
    <w:rsid w:val="00D4201D"/>
    <w:rsid w:val="00D428E1"/>
    <w:rsid w:val="00D43924"/>
    <w:rsid w:val="00D43E21"/>
    <w:rsid w:val="00D44F39"/>
    <w:rsid w:val="00D4564D"/>
    <w:rsid w:val="00D4574C"/>
    <w:rsid w:val="00D45AD4"/>
    <w:rsid w:val="00D45B80"/>
    <w:rsid w:val="00D45D9C"/>
    <w:rsid w:val="00D47884"/>
    <w:rsid w:val="00D501F8"/>
    <w:rsid w:val="00D50256"/>
    <w:rsid w:val="00D507AA"/>
    <w:rsid w:val="00D507AD"/>
    <w:rsid w:val="00D51508"/>
    <w:rsid w:val="00D51528"/>
    <w:rsid w:val="00D516FF"/>
    <w:rsid w:val="00D52552"/>
    <w:rsid w:val="00D52F40"/>
    <w:rsid w:val="00D535EA"/>
    <w:rsid w:val="00D53B31"/>
    <w:rsid w:val="00D552A5"/>
    <w:rsid w:val="00D55CCE"/>
    <w:rsid w:val="00D56176"/>
    <w:rsid w:val="00D56289"/>
    <w:rsid w:val="00D56936"/>
    <w:rsid w:val="00D57A92"/>
    <w:rsid w:val="00D6061F"/>
    <w:rsid w:val="00D60C2B"/>
    <w:rsid w:val="00D61744"/>
    <w:rsid w:val="00D622A0"/>
    <w:rsid w:val="00D625D8"/>
    <w:rsid w:val="00D62848"/>
    <w:rsid w:val="00D628D7"/>
    <w:rsid w:val="00D62970"/>
    <w:rsid w:val="00D632DB"/>
    <w:rsid w:val="00D63C8F"/>
    <w:rsid w:val="00D64435"/>
    <w:rsid w:val="00D64B78"/>
    <w:rsid w:val="00D65558"/>
    <w:rsid w:val="00D66425"/>
    <w:rsid w:val="00D7083E"/>
    <w:rsid w:val="00D7087C"/>
    <w:rsid w:val="00D71E4C"/>
    <w:rsid w:val="00D720E1"/>
    <w:rsid w:val="00D724EC"/>
    <w:rsid w:val="00D7294B"/>
    <w:rsid w:val="00D729F4"/>
    <w:rsid w:val="00D72EFC"/>
    <w:rsid w:val="00D732EC"/>
    <w:rsid w:val="00D73B19"/>
    <w:rsid w:val="00D74187"/>
    <w:rsid w:val="00D74927"/>
    <w:rsid w:val="00D74B7D"/>
    <w:rsid w:val="00D75245"/>
    <w:rsid w:val="00D755A2"/>
    <w:rsid w:val="00D76013"/>
    <w:rsid w:val="00D763AF"/>
    <w:rsid w:val="00D7643C"/>
    <w:rsid w:val="00D76A5C"/>
    <w:rsid w:val="00D77179"/>
    <w:rsid w:val="00D80970"/>
    <w:rsid w:val="00D80FCE"/>
    <w:rsid w:val="00D8133B"/>
    <w:rsid w:val="00D81787"/>
    <w:rsid w:val="00D81981"/>
    <w:rsid w:val="00D82215"/>
    <w:rsid w:val="00D828F5"/>
    <w:rsid w:val="00D847A7"/>
    <w:rsid w:val="00D8524C"/>
    <w:rsid w:val="00D85319"/>
    <w:rsid w:val="00D855AA"/>
    <w:rsid w:val="00D856BD"/>
    <w:rsid w:val="00D8635B"/>
    <w:rsid w:val="00D90027"/>
    <w:rsid w:val="00D90D69"/>
    <w:rsid w:val="00D91FC9"/>
    <w:rsid w:val="00D92553"/>
    <w:rsid w:val="00D93529"/>
    <w:rsid w:val="00D93590"/>
    <w:rsid w:val="00D93DEB"/>
    <w:rsid w:val="00D93FCA"/>
    <w:rsid w:val="00D941DD"/>
    <w:rsid w:val="00D9436D"/>
    <w:rsid w:val="00D94537"/>
    <w:rsid w:val="00D9492B"/>
    <w:rsid w:val="00D94F4E"/>
    <w:rsid w:val="00D95E55"/>
    <w:rsid w:val="00D96B0B"/>
    <w:rsid w:val="00D970F7"/>
    <w:rsid w:val="00DA027D"/>
    <w:rsid w:val="00DA1234"/>
    <w:rsid w:val="00DA124C"/>
    <w:rsid w:val="00DA1C79"/>
    <w:rsid w:val="00DA29AF"/>
    <w:rsid w:val="00DA2A47"/>
    <w:rsid w:val="00DA2C39"/>
    <w:rsid w:val="00DA4392"/>
    <w:rsid w:val="00DA4BE8"/>
    <w:rsid w:val="00DA581A"/>
    <w:rsid w:val="00DA59B7"/>
    <w:rsid w:val="00DA6596"/>
    <w:rsid w:val="00DA6C91"/>
    <w:rsid w:val="00DA74AD"/>
    <w:rsid w:val="00DA7546"/>
    <w:rsid w:val="00DA75A0"/>
    <w:rsid w:val="00DA77A2"/>
    <w:rsid w:val="00DA7E2D"/>
    <w:rsid w:val="00DB0D9B"/>
    <w:rsid w:val="00DB158B"/>
    <w:rsid w:val="00DB19EA"/>
    <w:rsid w:val="00DB19F9"/>
    <w:rsid w:val="00DB230B"/>
    <w:rsid w:val="00DB2D47"/>
    <w:rsid w:val="00DB2FF7"/>
    <w:rsid w:val="00DB3763"/>
    <w:rsid w:val="00DB3E31"/>
    <w:rsid w:val="00DB3F6A"/>
    <w:rsid w:val="00DB3FE8"/>
    <w:rsid w:val="00DB468C"/>
    <w:rsid w:val="00DB50EF"/>
    <w:rsid w:val="00DB5709"/>
    <w:rsid w:val="00DB5C9A"/>
    <w:rsid w:val="00DB5F80"/>
    <w:rsid w:val="00DB6284"/>
    <w:rsid w:val="00DB6548"/>
    <w:rsid w:val="00DB690A"/>
    <w:rsid w:val="00DB6A6A"/>
    <w:rsid w:val="00DB7121"/>
    <w:rsid w:val="00DB7122"/>
    <w:rsid w:val="00DB76E7"/>
    <w:rsid w:val="00DB770B"/>
    <w:rsid w:val="00DB78BE"/>
    <w:rsid w:val="00DB7C83"/>
    <w:rsid w:val="00DC02D7"/>
    <w:rsid w:val="00DC09D3"/>
    <w:rsid w:val="00DC106E"/>
    <w:rsid w:val="00DC1A65"/>
    <w:rsid w:val="00DC20E1"/>
    <w:rsid w:val="00DC280B"/>
    <w:rsid w:val="00DC2B73"/>
    <w:rsid w:val="00DC328E"/>
    <w:rsid w:val="00DC3565"/>
    <w:rsid w:val="00DC363A"/>
    <w:rsid w:val="00DC3867"/>
    <w:rsid w:val="00DC4537"/>
    <w:rsid w:val="00DC4773"/>
    <w:rsid w:val="00DC4D08"/>
    <w:rsid w:val="00DC699D"/>
    <w:rsid w:val="00DC6B33"/>
    <w:rsid w:val="00DC7248"/>
    <w:rsid w:val="00DD0178"/>
    <w:rsid w:val="00DD06A3"/>
    <w:rsid w:val="00DD0A90"/>
    <w:rsid w:val="00DD10B1"/>
    <w:rsid w:val="00DD142A"/>
    <w:rsid w:val="00DD1797"/>
    <w:rsid w:val="00DD1901"/>
    <w:rsid w:val="00DD195B"/>
    <w:rsid w:val="00DD3327"/>
    <w:rsid w:val="00DD34A8"/>
    <w:rsid w:val="00DD3659"/>
    <w:rsid w:val="00DD3CBB"/>
    <w:rsid w:val="00DD52CC"/>
    <w:rsid w:val="00DD5B5E"/>
    <w:rsid w:val="00DD5F0D"/>
    <w:rsid w:val="00DD62E1"/>
    <w:rsid w:val="00DD7EB9"/>
    <w:rsid w:val="00DE0583"/>
    <w:rsid w:val="00DE06D3"/>
    <w:rsid w:val="00DE0B73"/>
    <w:rsid w:val="00DE1A1E"/>
    <w:rsid w:val="00DE227A"/>
    <w:rsid w:val="00DE22FB"/>
    <w:rsid w:val="00DE2A24"/>
    <w:rsid w:val="00DE2E46"/>
    <w:rsid w:val="00DE3503"/>
    <w:rsid w:val="00DE3CB5"/>
    <w:rsid w:val="00DE4E36"/>
    <w:rsid w:val="00DE52BF"/>
    <w:rsid w:val="00DE5BDF"/>
    <w:rsid w:val="00DE5D81"/>
    <w:rsid w:val="00DE5E25"/>
    <w:rsid w:val="00DE6484"/>
    <w:rsid w:val="00DE6682"/>
    <w:rsid w:val="00DE6A2A"/>
    <w:rsid w:val="00DE79DC"/>
    <w:rsid w:val="00DF0010"/>
    <w:rsid w:val="00DF0335"/>
    <w:rsid w:val="00DF08AE"/>
    <w:rsid w:val="00DF0D77"/>
    <w:rsid w:val="00DF1768"/>
    <w:rsid w:val="00DF190F"/>
    <w:rsid w:val="00DF1A07"/>
    <w:rsid w:val="00DF224B"/>
    <w:rsid w:val="00DF2692"/>
    <w:rsid w:val="00DF2D8B"/>
    <w:rsid w:val="00DF2EA3"/>
    <w:rsid w:val="00DF37D0"/>
    <w:rsid w:val="00DF41FC"/>
    <w:rsid w:val="00DF6591"/>
    <w:rsid w:val="00DF6B3E"/>
    <w:rsid w:val="00DF6ED1"/>
    <w:rsid w:val="00DF7BC5"/>
    <w:rsid w:val="00E007A6"/>
    <w:rsid w:val="00E00D46"/>
    <w:rsid w:val="00E01BE2"/>
    <w:rsid w:val="00E02BF3"/>
    <w:rsid w:val="00E0399C"/>
    <w:rsid w:val="00E039B8"/>
    <w:rsid w:val="00E03D86"/>
    <w:rsid w:val="00E03E17"/>
    <w:rsid w:val="00E053F6"/>
    <w:rsid w:val="00E055F1"/>
    <w:rsid w:val="00E0607F"/>
    <w:rsid w:val="00E060FA"/>
    <w:rsid w:val="00E06E7F"/>
    <w:rsid w:val="00E0791E"/>
    <w:rsid w:val="00E11249"/>
    <w:rsid w:val="00E11458"/>
    <w:rsid w:val="00E11A30"/>
    <w:rsid w:val="00E131CC"/>
    <w:rsid w:val="00E14CD9"/>
    <w:rsid w:val="00E14F92"/>
    <w:rsid w:val="00E15CAC"/>
    <w:rsid w:val="00E15D3C"/>
    <w:rsid w:val="00E161F0"/>
    <w:rsid w:val="00E16426"/>
    <w:rsid w:val="00E17B49"/>
    <w:rsid w:val="00E202DB"/>
    <w:rsid w:val="00E203EE"/>
    <w:rsid w:val="00E20561"/>
    <w:rsid w:val="00E20F0F"/>
    <w:rsid w:val="00E222FF"/>
    <w:rsid w:val="00E24218"/>
    <w:rsid w:val="00E242FF"/>
    <w:rsid w:val="00E24943"/>
    <w:rsid w:val="00E24D45"/>
    <w:rsid w:val="00E2522B"/>
    <w:rsid w:val="00E25E05"/>
    <w:rsid w:val="00E26B15"/>
    <w:rsid w:val="00E26B17"/>
    <w:rsid w:val="00E26FAD"/>
    <w:rsid w:val="00E275DE"/>
    <w:rsid w:val="00E279E4"/>
    <w:rsid w:val="00E27BC6"/>
    <w:rsid w:val="00E27FA6"/>
    <w:rsid w:val="00E31027"/>
    <w:rsid w:val="00E311DE"/>
    <w:rsid w:val="00E31379"/>
    <w:rsid w:val="00E316A6"/>
    <w:rsid w:val="00E31943"/>
    <w:rsid w:val="00E31E22"/>
    <w:rsid w:val="00E31FA0"/>
    <w:rsid w:val="00E32021"/>
    <w:rsid w:val="00E32584"/>
    <w:rsid w:val="00E32A7D"/>
    <w:rsid w:val="00E32D2B"/>
    <w:rsid w:val="00E34602"/>
    <w:rsid w:val="00E34A3E"/>
    <w:rsid w:val="00E354E1"/>
    <w:rsid w:val="00E35F99"/>
    <w:rsid w:val="00E36281"/>
    <w:rsid w:val="00E36FA9"/>
    <w:rsid w:val="00E408AE"/>
    <w:rsid w:val="00E41994"/>
    <w:rsid w:val="00E419C6"/>
    <w:rsid w:val="00E41EEF"/>
    <w:rsid w:val="00E4285E"/>
    <w:rsid w:val="00E43865"/>
    <w:rsid w:val="00E43C66"/>
    <w:rsid w:val="00E4406A"/>
    <w:rsid w:val="00E44B8E"/>
    <w:rsid w:val="00E44C0E"/>
    <w:rsid w:val="00E44D3F"/>
    <w:rsid w:val="00E454D7"/>
    <w:rsid w:val="00E46A46"/>
    <w:rsid w:val="00E4713E"/>
    <w:rsid w:val="00E47B8C"/>
    <w:rsid w:val="00E47DE6"/>
    <w:rsid w:val="00E50337"/>
    <w:rsid w:val="00E5163E"/>
    <w:rsid w:val="00E53A8C"/>
    <w:rsid w:val="00E53AAF"/>
    <w:rsid w:val="00E53ACD"/>
    <w:rsid w:val="00E5532A"/>
    <w:rsid w:val="00E5558A"/>
    <w:rsid w:val="00E558B6"/>
    <w:rsid w:val="00E56432"/>
    <w:rsid w:val="00E5655D"/>
    <w:rsid w:val="00E566C7"/>
    <w:rsid w:val="00E573DB"/>
    <w:rsid w:val="00E5753C"/>
    <w:rsid w:val="00E57950"/>
    <w:rsid w:val="00E579CA"/>
    <w:rsid w:val="00E602EE"/>
    <w:rsid w:val="00E60534"/>
    <w:rsid w:val="00E610C1"/>
    <w:rsid w:val="00E611F9"/>
    <w:rsid w:val="00E61968"/>
    <w:rsid w:val="00E61BEE"/>
    <w:rsid w:val="00E61D79"/>
    <w:rsid w:val="00E62033"/>
    <w:rsid w:val="00E62674"/>
    <w:rsid w:val="00E630AF"/>
    <w:rsid w:val="00E637E6"/>
    <w:rsid w:val="00E63AC6"/>
    <w:rsid w:val="00E63B84"/>
    <w:rsid w:val="00E64E89"/>
    <w:rsid w:val="00E6531E"/>
    <w:rsid w:val="00E655EE"/>
    <w:rsid w:val="00E65A77"/>
    <w:rsid w:val="00E66469"/>
    <w:rsid w:val="00E66A20"/>
    <w:rsid w:val="00E6717B"/>
    <w:rsid w:val="00E67426"/>
    <w:rsid w:val="00E67C56"/>
    <w:rsid w:val="00E70545"/>
    <w:rsid w:val="00E70A76"/>
    <w:rsid w:val="00E70E5D"/>
    <w:rsid w:val="00E716F8"/>
    <w:rsid w:val="00E71704"/>
    <w:rsid w:val="00E719FD"/>
    <w:rsid w:val="00E71B75"/>
    <w:rsid w:val="00E71C91"/>
    <w:rsid w:val="00E7221E"/>
    <w:rsid w:val="00E72884"/>
    <w:rsid w:val="00E72EDB"/>
    <w:rsid w:val="00E73305"/>
    <w:rsid w:val="00E734F6"/>
    <w:rsid w:val="00E7470A"/>
    <w:rsid w:val="00E7503E"/>
    <w:rsid w:val="00E76416"/>
    <w:rsid w:val="00E7660F"/>
    <w:rsid w:val="00E76CA1"/>
    <w:rsid w:val="00E77742"/>
    <w:rsid w:val="00E7786D"/>
    <w:rsid w:val="00E77EAB"/>
    <w:rsid w:val="00E8138B"/>
    <w:rsid w:val="00E8163D"/>
    <w:rsid w:val="00E83375"/>
    <w:rsid w:val="00E838E9"/>
    <w:rsid w:val="00E83E78"/>
    <w:rsid w:val="00E844FA"/>
    <w:rsid w:val="00E86380"/>
    <w:rsid w:val="00E867B2"/>
    <w:rsid w:val="00E86E22"/>
    <w:rsid w:val="00E90563"/>
    <w:rsid w:val="00E90706"/>
    <w:rsid w:val="00E9163E"/>
    <w:rsid w:val="00E9272E"/>
    <w:rsid w:val="00E92818"/>
    <w:rsid w:val="00E9383B"/>
    <w:rsid w:val="00E93A36"/>
    <w:rsid w:val="00E93E8A"/>
    <w:rsid w:val="00E9401E"/>
    <w:rsid w:val="00E94049"/>
    <w:rsid w:val="00E94492"/>
    <w:rsid w:val="00E94A0A"/>
    <w:rsid w:val="00E94BA6"/>
    <w:rsid w:val="00E95938"/>
    <w:rsid w:val="00E95FD8"/>
    <w:rsid w:val="00E960E4"/>
    <w:rsid w:val="00E96812"/>
    <w:rsid w:val="00E96AA5"/>
    <w:rsid w:val="00E973AD"/>
    <w:rsid w:val="00E979F5"/>
    <w:rsid w:val="00EA002F"/>
    <w:rsid w:val="00EA14BD"/>
    <w:rsid w:val="00EA1A87"/>
    <w:rsid w:val="00EA252F"/>
    <w:rsid w:val="00EA299F"/>
    <w:rsid w:val="00EA3054"/>
    <w:rsid w:val="00EA3F2E"/>
    <w:rsid w:val="00EA4C4F"/>
    <w:rsid w:val="00EA518D"/>
    <w:rsid w:val="00EA5486"/>
    <w:rsid w:val="00EA55E6"/>
    <w:rsid w:val="00EA56B7"/>
    <w:rsid w:val="00EA5C29"/>
    <w:rsid w:val="00EA5DC2"/>
    <w:rsid w:val="00EA619E"/>
    <w:rsid w:val="00EA6249"/>
    <w:rsid w:val="00EA6974"/>
    <w:rsid w:val="00EA6D92"/>
    <w:rsid w:val="00EA7753"/>
    <w:rsid w:val="00EA7A96"/>
    <w:rsid w:val="00EA7F9E"/>
    <w:rsid w:val="00EB0A0A"/>
    <w:rsid w:val="00EB0D29"/>
    <w:rsid w:val="00EB0E90"/>
    <w:rsid w:val="00EB1006"/>
    <w:rsid w:val="00EB1371"/>
    <w:rsid w:val="00EB183B"/>
    <w:rsid w:val="00EB1B29"/>
    <w:rsid w:val="00EB208B"/>
    <w:rsid w:val="00EB217E"/>
    <w:rsid w:val="00EB2893"/>
    <w:rsid w:val="00EB2B8D"/>
    <w:rsid w:val="00EB33C5"/>
    <w:rsid w:val="00EB3C84"/>
    <w:rsid w:val="00EB3D39"/>
    <w:rsid w:val="00EB3E79"/>
    <w:rsid w:val="00EB4152"/>
    <w:rsid w:val="00EB480A"/>
    <w:rsid w:val="00EB4FC4"/>
    <w:rsid w:val="00EB4FF3"/>
    <w:rsid w:val="00EB54E4"/>
    <w:rsid w:val="00EB60F8"/>
    <w:rsid w:val="00EB6769"/>
    <w:rsid w:val="00EB7D2B"/>
    <w:rsid w:val="00EC0353"/>
    <w:rsid w:val="00EC0C82"/>
    <w:rsid w:val="00EC185B"/>
    <w:rsid w:val="00EC194B"/>
    <w:rsid w:val="00EC2302"/>
    <w:rsid w:val="00EC23CF"/>
    <w:rsid w:val="00EC2D83"/>
    <w:rsid w:val="00EC3C7F"/>
    <w:rsid w:val="00EC40F7"/>
    <w:rsid w:val="00EC4517"/>
    <w:rsid w:val="00EC4695"/>
    <w:rsid w:val="00EC46AF"/>
    <w:rsid w:val="00EC4ABF"/>
    <w:rsid w:val="00EC6A05"/>
    <w:rsid w:val="00EC780E"/>
    <w:rsid w:val="00EC7B98"/>
    <w:rsid w:val="00ED029A"/>
    <w:rsid w:val="00ED04BC"/>
    <w:rsid w:val="00ED057F"/>
    <w:rsid w:val="00ED094A"/>
    <w:rsid w:val="00ED0A62"/>
    <w:rsid w:val="00ED16D9"/>
    <w:rsid w:val="00ED181E"/>
    <w:rsid w:val="00ED2173"/>
    <w:rsid w:val="00ED2425"/>
    <w:rsid w:val="00ED25CA"/>
    <w:rsid w:val="00ED25FE"/>
    <w:rsid w:val="00ED299B"/>
    <w:rsid w:val="00ED2B03"/>
    <w:rsid w:val="00ED2BB5"/>
    <w:rsid w:val="00ED3271"/>
    <w:rsid w:val="00ED3735"/>
    <w:rsid w:val="00ED39CF"/>
    <w:rsid w:val="00ED3AA1"/>
    <w:rsid w:val="00ED3C2E"/>
    <w:rsid w:val="00ED40D9"/>
    <w:rsid w:val="00ED681F"/>
    <w:rsid w:val="00ED69A9"/>
    <w:rsid w:val="00ED7011"/>
    <w:rsid w:val="00ED74B5"/>
    <w:rsid w:val="00ED7A00"/>
    <w:rsid w:val="00ED7AA0"/>
    <w:rsid w:val="00ED7AF5"/>
    <w:rsid w:val="00ED7E4B"/>
    <w:rsid w:val="00EE0315"/>
    <w:rsid w:val="00EE079A"/>
    <w:rsid w:val="00EE0FC6"/>
    <w:rsid w:val="00EE1B5C"/>
    <w:rsid w:val="00EE1E11"/>
    <w:rsid w:val="00EE2392"/>
    <w:rsid w:val="00EE2D16"/>
    <w:rsid w:val="00EE31D5"/>
    <w:rsid w:val="00EE3543"/>
    <w:rsid w:val="00EE3CD9"/>
    <w:rsid w:val="00EE4004"/>
    <w:rsid w:val="00EE429A"/>
    <w:rsid w:val="00EE4E0C"/>
    <w:rsid w:val="00EE4EF9"/>
    <w:rsid w:val="00EE57DB"/>
    <w:rsid w:val="00EE6049"/>
    <w:rsid w:val="00EE6970"/>
    <w:rsid w:val="00EE7AD3"/>
    <w:rsid w:val="00EE7DAF"/>
    <w:rsid w:val="00EF0590"/>
    <w:rsid w:val="00EF076A"/>
    <w:rsid w:val="00EF11C0"/>
    <w:rsid w:val="00EF19CB"/>
    <w:rsid w:val="00EF1B1E"/>
    <w:rsid w:val="00EF227C"/>
    <w:rsid w:val="00EF2D85"/>
    <w:rsid w:val="00EF2EDF"/>
    <w:rsid w:val="00EF34CD"/>
    <w:rsid w:val="00EF4727"/>
    <w:rsid w:val="00EF4987"/>
    <w:rsid w:val="00EF4C15"/>
    <w:rsid w:val="00EF5023"/>
    <w:rsid w:val="00EF6465"/>
    <w:rsid w:val="00EF6AE9"/>
    <w:rsid w:val="00EF71D5"/>
    <w:rsid w:val="00F000D9"/>
    <w:rsid w:val="00F00293"/>
    <w:rsid w:val="00F01881"/>
    <w:rsid w:val="00F02451"/>
    <w:rsid w:val="00F0247A"/>
    <w:rsid w:val="00F04A4E"/>
    <w:rsid w:val="00F04EC8"/>
    <w:rsid w:val="00F05346"/>
    <w:rsid w:val="00F05B9D"/>
    <w:rsid w:val="00F0648C"/>
    <w:rsid w:val="00F06C65"/>
    <w:rsid w:val="00F06FEE"/>
    <w:rsid w:val="00F07A69"/>
    <w:rsid w:val="00F07F42"/>
    <w:rsid w:val="00F07FE4"/>
    <w:rsid w:val="00F1039F"/>
    <w:rsid w:val="00F10691"/>
    <w:rsid w:val="00F10834"/>
    <w:rsid w:val="00F108CC"/>
    <w:rsid w:val="00F10994"/>
    <w:rsid w:val="00F10BBE"/>
    <w:rsid w:val="00F10EB8"/>
    <w:rsid w:val="00F11F35"/>
    <w:rsid w:val="00F130EC"/>
    <w:rsid w:val="00F131F4"/>
    <w:rsid w:val="00F1378F"/>
    <w:rsid w:val="00F14814"/>
    <w:rsid w:val="00F14892"/>
    <w:rsid w:val="00F14E45"/>
    <w:rsid w:val="00F15A58"/>
    <w:rsid w:val="00F15FB1"/>
    <w:rsid w:val="00F1641D"/>
    <w:rsid w:val="00F16A99"/>
    <w:rsid w:val="00F177C4"/>
    <w:rsid w:val="00F178B0"/>
    <w:rsid w:val="00F205F3"/>
    <w:rsid w:val="00F207BB"/>
    <w:rsid w:val="00F20C96"/>
    <w:rsid w:val="00F20F37"/>
    <w:rsid w:val="00F237B5"/>
    <w:rsid w:val="00F24245"/>
    <w:rsid w:val="00F245BA"/>
    <w:rsid w:val="00F254D7"/>
    <w:rsid w:val="00F254F1"/>
    <w:rsid w:val="00F25FFB"/>
    <w:rsid w:val="00F260DC"/>
    <w:rsid w:val="00F26257"/>
    <w:rsid w:val="00F2645F"/>
    <w:rsid w:val="00F267D4"/>
    <w:rsid w:val="00F26991"/>
    <w:rsid w:val="00F26E5D"/>
    <w:rsid w:val="00F2762A"/>
    <w:rsid w:val="00F27AAC"/>
    <w:rsid w:val="00F27D4A"/>
    <w:rsid w:val="00F27DEB"/>
    <w:rsid w:val="00F27EF6"/>
    <w:rsid w:val="00F3100E"/>
    <w:rsid w:val="00F31405"/>
    <w:rsid w:val="00F31463"/>
    <w:rsid w:val="00F31EF7"/>
    <w:rsid w:val="00F32440"/>
    <w:rsid w:val="00F32822"/>
    <w:rsid w:val="00F32A42"/>
    <w:rsid w:val="00F32BCA"/>
    <w:rsid w:val="00F32EB0"/>
    <w:rsid w:val="00F33172"/>
    <w:rsid w:val="00F3397A"/>
    <w:rsid w:val="00F33BCB"/>
    <w:rsid w:val="00F33E54"/>
    <w:rsid w:val="00F341FB"/>
    <w:rsid w:val="00F34B08"/>
    <w:rsid w:val="00F34FB1"/>
    <w:rsid w:val="00F355A4"/>
    <w:rsid w:val="00F356CD"/>
    <w:rsid w:val="00F35922"/>
    <w:rsid w:val="00F35B71"/>
    <w:rsid w:val="00F35E19"/>
    <w:rsid w:val="00F36852"/>
    <w:rsid w:val="00F36BA2"/>
    <w:rsid w:val="00F37983"/>
    <w:rsid w:val="00F37C2A"/>
    <w:rsid w:val="00F41ED4"/>
    <w:rsid w:val="00F425E2"/>
    <w:rsid w:val="00F42745"/>
    <w:rsid w:val="00F42CDD"/>
    <w:rsid w:val="00F43698"/>
    <w:rsid w:val="00F43DA5"/>
    <w:rsid w:val="00F44071"/>
    <w:rsid w:val="00F44AFB"/>
    <w:rsid w:val="00F44DEC"/>
    <w:rsid w:val="00F45965"/>
    <w:rsid w:val="00F45EEA"/>
    <w:rsid w:val="00F46A51"/>
    <w:rsid w:val="00F46C23"/>
    <w:rsid w:val="00F46D36"/>
    <w:rsid w:val="00F47C2D"/>
    <w:rsid w:val="00F47D96"/>
    <w:rsid w:val="00F47D9D"/>
    <w:rsid w:val="00F50BC0"/>
    <w:rsid w:val="00F50DEF"/>
    <w:rsid w:val="00F50F40"/>
    <w:rsid w:val="00F5103A"/>
    <w:rsid w:val="00F51E80"/>
    <w:rsid w:val="00F5212E"/>
    <w:rsid w:val="00F52577"/>
    <w:rsid w:val="00F530A3"/>
    <w:rsid w:val="00F538A0"/>
    <w:rsid w:val="00F53927"/>
    <w:rsid w:val="00F541EC"/>
    <w:rsid w:val="00F54751"/>
    <w:rsid w:val="00F55A97"/>
    <w:rsid w:val="00F5615E"/>
    <w:rsid w:val="00F565E5"/>
    <w:rsid w:val="00F5688F"/>
    <w:rsid w:val="00F56981"/>
    <w:rsid w:val="00F56D68"/>
    <w:rsid w:val="00F56FAB"/>
    <w:rsid w:val="00F570BA"/>
    <w:rsid w:val="00F571E4"/>
    <w:rsid w:val="00F574E5"/>
    <w:rsid w:val="00F57F12"/>
    <w:rsid w:val="00F60287"/>
    <w:rsid w:val="00F60624"/>
    <w:rsid w:val="00F6139C"/>
    <w:rsid w:val="00F61D97"/>
    <w:rsid w:val="00F6206B"/>
    <w:rsid w:val="00F63124"/>
    <w:rsid w:val="00F65020"/>
    <w:rsid w:val="00F65152"/>
    <w:rsid w:val="00F65815"/>
    <w:rsid w:val="00F65970"/>
    <w:rsid w:val="00F66A08"/>
    <w:rsid w:val="00F66C4C"/>
    <w:rsid w:val="00F67281"/>
    <w:rsid w:val="00F67994"/>
    <w:rsid w:val="00F700EE"/>
    <w:rsid w:val="00F70151"/>
    <w:rsid w:val="00F705D9"/>
    <w:rsid w:val="00F70CD5"/>
    <w:rsid w:val="00F70D7D"/>
    <w:rsid w:val="00F718D6"/>
    <w:rsid w:val="00F719D8"/>
    <w:rsid w:val="00F71B08"/>
    <w:rsid w:val="00F729E7"/>
    <w:rsid w:val="00F72CBC"/>
    <w:rsid w:val="00F73834"/>
    <w:rsid w:val="00F73A48"/>
    <w:rsid w:val="00F740A1"/>
    <w:rsid w:val="00F74152"/>
    <w:rsid w:val="00F74A56"/>
    <w:rsid w:val="00F74DC1"/>
    <w:rsid w:val="00F75FF3"/>
    <w:rsid w:val="00F76BE3"/>
    <w:rsid w:val="00F770F7"/>
    <w:rsid w:val="00F77919"/>
    <w:rsid w:val="00F80687"/>
    <w:rsid w:val="00F8089D"/>
    <w:rsid w:val="00F80E66"/>
    <w:rsid w:val="00F818AF"/>
    <w:rsid w:val="00F81E81"/>
    <w:rsid w:val="00F8264A"/>
    <w:rsid w:val="00F83E3E"/>
    <w:rsid w:val="00F84023"/>
    <w:rsid w:val="00F842C0"/>
    <w:rsid w:val="00F8458C"/>
    <w:rsid w:val="00F845D5"/>
    <w:rsid w:val="00F853ED"/>
    <w:rsid w:val="00F85D1B"/>
    <w:rsid w:val="00F85DCE"/>
    <w:rsid w:val="00F85EAE"/>
    <w:rsid w:val="00F86485"/>
    <w:rsid w:val="00F864E2"/>
    <w:rsid w:val="00F86DA7"/>
    <w:rsid w:val="00F8789D"/>
    <w:rsid w:val="00F87D06"/>
    <w:rsid w:val="00F90400"/>
    <w:rsid w:val="00F91FCD"/>
    <w:rsid w:val="00F92901"/>
    <w:rsid w:val="00F92B57"/>
    <w:rsid w:val="00F92E91"/>
    <w:rsid w:val="00F92F3D"/>
    <w:rsid w:val="00F9345A"/>
    <w:rsid w:val="00F94153"/>
    <w:rsid w:val="00F951C7"/>
    <w:rsid w:val="00F95D2E"/>
    <w:rsid w:val="00F968D9"/>
    <w:rsid w:val="00F96997"/>
    <w:rsid w:val="00F96C79"/>
    <w:rsid w:val="00F96FB5"/>
    <w:rsid w:val="00F974B9"/>
    <w:rsid w:val="00F974C1"/>
    <w:rsid w:val="00F979FA"/>
    <w:rsid w:val="00FA028B"/>
    <w:rsid w:val="00FA07C4"/>
    <w:rsid w:val="00FA0BAC"/>
    <w:rsid w:val="00FA0C45"/>
    <w:rsid w:val="00FA2193"/>
    <w:rsid w:val="00FA2FC6"/>
    <w:rsid w:val="00FA3702"/>
    <w:rsid w:val="00FA3816"/>
    <w:rsid w:val="00FA3862"/>
    <w:rsid w:val="00FA39F3"/>
    <w:rsid w:val="00FA52D5"/>
    <w:rsid w:val="00FA583A"/>
    <w:rsid w:val="00FA6D9B"/>
    <w:rsid w:val="00FA747B"/>
    <w:rsid w:val="00FB0435"/>
    <w:rsid w:val="00FB044A"/>
    <w:rsid w:val="00FB0751"/>
    <w:rsid w:val="00FB07B9"/>
    <w:rsid w:val="00FB0ABD"/>
    <w:rsid w:val="00FB0D90"/>
    <w:rsid w:val="00FB0E1F"/>
    <w:rsid w:val="00FB1494"/>
    <w:rsid w:val="00FB186C"/>
    <w:rsid w:val="00FB1CDF"/>
    <w:rsid w:val="00FB23D9"/>
    <w:rsid w:val="00FB2DE6"/>
    <w:rsid w:val="00FB5111"/>
    <w:rsid w:val="00FB51DC"/>
    <w:rsid w:val="00FB5479"/>
    <w:rsid w:val="00FB57A8"/>
    <w:rsid w:val="00FB5B34"/>
    <w:rsid w:val="00FB5D22"/>
    <w:rsid w:val="00FB5E66"/>
    <w:rsid w:val="00FB6B84"/>
    <w:rsid w:val="00FB717C"/>
    <w:rsid w:val="00FB7E9F"/>
    <w:rsid w:val="00FC00D4"/>
    <w:rsid w:val="00FC101D"/>
    <w:rsid w:val="00FC1493"/>
    <w:rsid w:val="00FC18C6"/>
    <w:rsid w:val="00FC1C95"/>
    <w:rsid w:val="00FC1CC6"/>
    <w:rsid w:val="00FC1F0F"/>
    <w:rsid w:val="00FC3C61"/>
    <w:rsid w:val="00FC44EB"/>
    <w:rsid w:val="00FC4C1E"/>
    <w:rsid w:val="00FC5E5F"/>
    <w:rsid w:val="00FC6238"/>
    <w:rsid w:val="00FC64F2"/>
    <w:rsid w:val="00FC6EB9"/>
    <w:rsid w:val="00FC76C8"/>
    <w:rsid w:val="00FC7E48"/>
    <w:rsid w:val="00FD04BD"/>
    <w:rsid w:val="00FD060B"/>
    <w:rsid w:val="00FD0FD5"/>
    <w:rsid w:val="00FD191C"/>
    <w:rsid w:val="00FD1C21"/>
    <w:rsid w:val="00FD2F5C"/>
    <w:rsid w:val="00FD352D"/>
    <w:rsid w:val="00FD43D4"/>
    <w:rsid w:val="00FD4682"/>
    <w:rsid w:val="00FD5020"/>
    <w:rsid w:val="00FD51EB"/>
    <w:rsid w:val="00FD591D"/>
    <w:rsid w:val="00FD65C9"/>
    <w:rsid w:val="00FD6C47"/>
    <w:rsid w:val="00FD6CBE"/>
    <w:rsid w:val="00FD7ACC"/>
    <w:rsid w:val="00FD7C2C"/>
    <w:rsid w:val="00FE049A"/>
    <w:rsid w:val="00FE0672"/>
    <w:rsid w:val="00FE0987"/>
    <w:rsid w:val="00FE1006"/>
    <w:rsid w:val="00FE1108"/>
    <w:rsid w:val="00FE12CD"/>
    <w:rsid w:val="00FE1848"/>
    <w:rsid w:val="00FE215C"/>
    <w:rsid w:val="00FE2858"/>
    <w:rsid w:val="00FE2866"/>
    <w:rsid w:val="00FE3819"/>
    <w:rsid w:val="00FE3EF2"/>
    <w:rsid w:val="00FE4599"/>
    <w:rsid w:val="00FE4849"/>
    <w:rsid w:val="00FE5FDA"/>
    <w:rsid w:val="00FE6740"/>
    <w:rsid w:val="00FE7581"/>
    <w:rsid w:val="00FE79B6"/>
    <w:rsid w:val="00FE7B35"/>
    <w:rsid w:val="00FF0EE1"/>
    <w:rsid w:val="00FF1B2D"/>
    <w:rsid w:val="00FF2624"/>
    <w:rsid w:val="00FF375C"/>
    <w:rsid w:val="00FF4519"/>
    <w:rsid w:val="00FF4590"/>
    <w:rsid w:val="00FF4CCD"/>
    <w:rsid w:val="00FF58AD"/>
    <w:rsid w:val="00FF5AF2"/>
    <w:rsid w:val="00FF5CE3"/>
    <w:rsid w:val="00FF6095"/>
    <w:rsid w:val="00FF67B7"/>
    <w:rsid w:val="00FF6B92"/>
    <w:rsid w:val="048AE320"/>
    <w:rsid w:val="0652ED4A"/>
    <w:rsid w:val="068C5E1D"/>
    <w:rsid w:val="07BB74BB"/>
    <w:rsid w:val="0B333FE8"/>
    <w:rsid w:val="126F5441"/>
    <w:rsid w:val="14ED38AA"/>
    <w:rsid w:val="1FE9F55A"/>
    <w:rsid w:val="2F31F437"/>
    <w:rsid w:val="3888A7A5"/>
    <w:rsid w:val="3C37567B"/>
    <w:rsid w:val="41B628ED"/>
    <w:rsid w:val="523647F6"/>
    <w:rsid w:val="54C81B7C"/>
    <w:rsid w:val="562CD00D"/>
    <w:rsid w:val="59754924"/>
    <w:rsid w:val="5DF2BE48"/>
    <w:rsid w:val="5E0E5D06"/>
    <w:rsid w:val="5FC37BC3"/>
    <w:rsid w:val="5FE16670"/>
    <w:rsid w:val="5FE65E9E"/>
    <w:rsid w:val="6D551497"/>
    <w:rsid w:val="6D613403"/>
    <w:rsid w:val="70E3E177"/>
    <w:rsid w:val="72A13694"/>
    <w:rsid w:val="7FD32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6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AD0"/>
    <w:pPr>
      <w:keepNext/>
      <w:keepLines/>
      <w:pageBreakBefore/>
      <w:numPr>
        <w:numId w:val="18"/>
      </w:numPr>
      <w:spacing w:before="240"/>
      <w:outlineLvl w:val="0"/>
    </w:pPr>
    <w:rPr>
      <w:rFonts w:asciiTheme="majorHAnsi" w:eastAsiaTheme="majorEastAsia" w:hAnsiTheme="majorHAnsi" w:cstheme="majorBidi"/>
      <w:b/>
      <w:color w:val="0070C0"/>
      <w:sz w:val="32"/>
      <w:szCs w:val="32"/>
    </w:rPr>
  </w:style>
  <w:style w:type="paragraph" w:styleId="Heading2">
    <w:name w:val="heading 2"/>
    <w:basedOn w:val="Normal"/>
    <w:next w:val="Normal"/>
    <w:link w:val="Heading2Char"/>
    <w:uiPriority w:val="9"/>
    <w:unhideWhenUsed/>
    <w:qFormat/>
    <w:rsid w:val="005B1F73"/>
    <w:pPr>
      <w:keepNext/>
      <w:keepLines/>
      <w:spacing w:before="40"/>
      <w:outlineLvl w:val="1"/>
    </w:pPr>
    <w:rPr>
      <w:rFonts w:asciiTheme="majorHAnsi" w:eastAsiaTheme="majorEastAsia" w:hAnsiTheme="majorHAnsi" w:cstheme="majorBidi"/>
      <w:b/>
      <w:color w:val="0070C0"/>
      <w:sz w:val="26"/>
      <w:szCs w:val="26"/>
    </w:rPr>
  </w:style>
  <w:style w:type="paragraph" w:styleId="Heading3">
    <w:name w:val="heading 3"/>
    <w:basedOn w:val="Normal"/>
    <w:next w:val="Normal"/>
    <w:link w:val="Heading3Char"/>
    <w:uiPriority w:val="9"/>
    <w:unhideWhenUsed/>
    <w:qFormat/>
    <w:rsid w:val="00B6766D"/>
    <w:pPr>
      <w:keepNext/>
      <w:keepLines/>
      <w:spacing w:before="40"/>
      <w:outlineLvl w:val="2"/>
    </w:pPr>
    <w:rPr>
      <w:rFonts w:asciiTheme="majorHAnsi" w:eastAsiaTheme="majorEastAsia" w:hAnsiTheme="majorHAnsi" w:cstheme="majorBidi"/>
      <w:b/>
      <w:color w:val="0070C0"/>
      <w:sz w:val="24"/>
      <w:szCs w:val="24"/>
    </w:rPr>
  </w:style>
  <w:style w:type="paragraph" w:styleId="Heading4">
    <w:name w:val="heading 4"/>
    <w:basedOn w:val="Normal"/>
    <w:next w:val="Normal"/>
    <w:link w:val="Heading4Char"/>
    <w:uiPriority w:val="9"/>
    <w:unhideWhenUsed/>
    <w:qFormat/>
    <w:rsid w:val="001E463E"/>
    <w:pPr>
      <w:keepNext/>
      <w:keepLines/>
      <w:spacing w:before="40"/>
      <w:outlineLvl w:val="3"/>
    </w:pPr>
    <w:rPr>
      <w:rFonts w:asciiTheme="majorHAnsi" w:eastAsiaTheme="majorEastAsia" w:hAnsiTheme="majorHAnsi" w:cstheme="majorBidi"/>
      <w:i/>
      <w:iCs/>
      <w:color w:val="0070C0"/>
    </w:rPr>
  </w:style>
  <w:style w:type="paragraph" w:styleId="Heading5">
    <w:name w:val="heading 5"/>
    <w:basedOn w:val="Normal"/>
    <w:next w:val="Normal"/>
    <w:link w:val="Heading5Char"/>
    <w:uiPriority w:val="9"/>
    <w:unhideWhenUsed/>
    <w:qFormat/>
    <w:rsid w:val="00890E20"/>
    <w:pPr>
      <w:keepNext/>
      <w:keepLines/>
      <w:spacing w:before="40"/>
      <w:outlineLvl w:val="4"/>
    </w:pPr>
    <w:rPr>
      <w:rFonts w:asciiTheme="majorHAnsi" w:eastAsiaTheme="majorEastAsia" w:hAnsiTheme="majorHAnsi" w:cstheme="majorBidi"/>
      <w:color w:val="1F3B1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BDD"/>
    <w:pPr>
      <w:ind w:left="720"/>
      <w:contextualSpacing/>
    </w:pPr>
  </w:style>
  <w:style w:type="character" w:styleId="Hyperlink">
    <w:name w:val="Hyperlink"/>
    <w:basedOn w:val="DefaultParagraphFont"/>
    <w:uiPriority w:val="99"/>
    <w:unhideWhenUsed/>
    <w:rsid w:val="0060247A"/>
    <w:rPr>
      <w:color w:val="6B9F25" w:themeColor="hyperlink"/>
      <w:u w:val="single"/>
    </w:rPr>
  </w:style>
  <w:style w:type="character" w:customStyle="1" w:styleId="UnresolvedMention1">
    <w:name w:val="Unresolved Mention1"/>
    <w:basedOn w:val="DefaultParagraphFont"/>
    <w:uiPriority w:val="99"/>
    <w:semiHidden/>
    <w:unhideWhenUsed/>
    <w:rsid w:val="0060247A"/>
    <w:rPr>
      <w:color w:val="605E5C"/>
      <w:shd w:val="clear" w:color="auto" w:fill="E1DFDD"/>
    </w:rPr>
  </w:style>
  <w:style w:type="paragraph" w:styleId="BodyText">
    <w:name w:val="Body Text"/>
    <w:basedOn w:val="Normal"/>
    <w:link w:val="BodyTextChar"/>
    <w:uiPriority w:val="1"/>
    <w:qFormat/>
    <w:rsid w:val="00A016CF"/>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A016CF"/>
    <w:rPr>
      <w:rFonts w:ascii="Calibri" w:eastAsia="Calibri" w:hAnsi="Calibri" w:cs="Calibri"/>
    </w:rPr>
  </w:style>
  <w:style w:type="table" w:styleId="TableGrid">
    <w:name w:val="Table Grid"/>
    <w:basedOn w:val="TableNormal"/>
    <w:uiPriority w:val="39"/>
    <w:rsid w:val="00501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2B5E"/>
    <w:rPr>
      <w:color w:val="BA6906" w:themeColor="followedHyperlink"/>
      <w:u w:val="single"/>
    </w:rPr>
  </w:style>
  <w:style w:type="character" w:styleId="CommentReference">
    <w:name w:val="annotation reference"/>
    <w:basedOn w:val="DefaultParagraphFont"/>
    <w:uiPriority w:val="99"/>
    <w:semiHidden/>
    <w:unhideWhenUsed/>
    <w:rsid w:val="00113F60"/>
    <w:rPr>
      <w:sz w:val="16"/>
      <w:szCs w:val="16"/>
    </w:rPr>
  </w:style>
  <w:style w:type="paragraph" w:styleId="CommentText">
    <w:name w:val="annotation text"/>
    <w:basedOn w:val="Normal"/>
    <w:link w:val="CommentTextChar"/>
    <w:uiPriority w:val="99"/>
    <w:unhideWhenUsed/>
    <w:rsid w:val="00113F60"/>
    <w:rPr>
      <w:sz w:val="20"/>
      <w:szCs w:val="20"/>
    </w:rPr>
  </w:style>
  <w:style w:type="character" w:customStyle="1" w:styleId="CommentTextChar">
    <w:name w:val="Comment Text Char"/>
    <w:basedOn w:val="DefaultParagraphFont"/>
    <w:link w:val="CommentText"/>
    <w:uiPriority w:val="99"/>
    <w:rsid w:val="00113F60"/>
    <w:rPr>
      <w:sz w:val="20"/>
      <w:szCs w:val="20"/>
    </w:rPr>
  </w:style>
  <w:style w:type="paragraph" w:styleId="CommentSubject">
    <w:name w:val="annotation subject"/>
    <w:basedOn w:val="CommentText"/>
    <w:next w:val="CommentText"/>
    <w:link w:val="CommentSubjectChar"/>
    <w:uiPriority w:val="99"/>
    <w:semiHidden/>
    <w:unhideWhenUsed/>
    <w:rsid w:val="00113F60"/>
    <w:rPr>
      <w:b/>
      <w:bCs/>
    </w:rPr>
  </w:style>
  <w:style w:type="character" w:customStyle="1" w:styleId="CommentSubjectChar">
    <w:name w:val="Comment Subject Char"/>
    <w:basedOn w:val="CommentTextChar"/>
    <w:link w:val="CommentSubject"/>
    <w:uiPriority w:val="99"/>
    <w:semiHidden/>
    <w:rsid w:val="00113F60"/>
    <w:rPr>
      <w:b/>
      <w:bCs/>
      <w:sz w:val="20"/>
      <w:szCs w:val="20"/>
    </w:rPr>
  </w:style>
  <w:style w:type="paragraph" w:styleId="Revision">
    <w:name w:val="Revision"/>
    <w:hidden/>
    <w:uiPriority w:val="99"/>
    <w:semiHidden/>
    <w:rsid w:val="00D93DEB"/>
  </w:style>
  <w:style w:type="paragraph" w:styleId="Header">
    <w:name w:val="header"/>
    <w:basedOn w:val="Normal"/>
    <w:link w:val="HeaderChar"/>
    <w:uiPriority w:val="99"/>
    <w:unhideWhenUsed/>
    <w:rsid w:val="005F00BF"/>
    <w:pPr>
      <w:tabs>
        <w:tab w:val="center" w:pos="4513"/>
        <w:tab w:val="right" w:pos="9026"/>
      </w:tabs>
    </w:pPr>
  </w:style>
  <w:style w:type="character" w:customStyle="1" w:styleId="HeaderChar">
    <w:name w:val="Header Char"/>
    <w:basedOn w:val="DefaultParagraphFont"/>
    <w:link w:val="Header"/>
    <w:uiPriority w:val="99"/>
    <w:rsid w:val="005F00BF"/>
  </w:style>
  <w:style w:type="paragraph" w:styleId="Footer">
    <w:name w:val="footer"/>
    <w:basedOn w:val="Normal"/>
    <w:link w:val="FooterChar"/>
    <w:uiPriority w:val="99"/>
    <w:unhideWhenUsed/>
    <w:rsid w:val="005F00BF"/>
    <w:pPr>
      <w:tabs>
        <w:tab w:val="center" w:pos="4513"/>
        <w:tab w:val="right" w:pos="9026"/>
      </w:tabs>
    </w:pPr>
  </w:style>
  <w:style w:type="character" w:customStyle="1" w:styleId="FooterChar">
    <w:name w:val="Footer Char"/>
    <w:basedOn w:val="DefaultParagraphFont"/>
    <w:link w:val="Footer"/>
    <w:uiPriority w:val="99"/>
    <w:rsid w:val="005F00BF"/>
  </w:style>
  <w:style w:type="paragraph" w:styleId="BalloonText">
    <w:name w:val="Balloon Text"/>
    <w:basedOn w:val="Normal"/>
    <w:link w:val="BalloonTextChar"/>
    <w:uiPriority w:val="99"/>
    <w:semiHidden/>
    <w:unhideWhenUsed/>
    <w:rsid w:val="005D2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8E2"/>
    <w:rPr>
      <w:rFonts w:ascii="Segoe UI" w:hAnsi="Segoe UI" w:cs="Segoe UI"/>
      <w:sz w:val="18"/>
      <w:szCs w:val="18"/>
    </w:rPr>
  </w:style>
  <w:style w:type="character" w:customStyle="1" w:styleId="Heading2Char">
    <w:name w:val="Heading 2 Char"/>
    <w:basedOn w:val="DefaultParagraphFont"/>
    <w:link w:val="Heading2"/>
    <w:uiPriority w:val="9"/>
    <w:rsid w:val="005B1F73"/>
    <w:rPr>
      <w:rFonts w:asciiTheme="majorHAnsi" w:eastAsiaTheme="majorEastAsia" w:hAnsiTheme="majorHAnsi" w:cstheme="majorBidi"/>
      <w:b/>
      <w:color w:val="0070C0"/>
      <w:sz w:val="26"/>
      <w:szCs w:val="26"/>
    </w:rPr>
  </w:style>
  <w:style w:type="character" w:customStyle="1" w:styleId="Heading3Char">
    <w:name w:val="Heading 3 Char"/>
    <w:basedOn w:val="DefaultParagraphFont"/>
    <w:link w:val="Heading3"/>
    <w:uiPriority w:val="9"/>
    <w:rsid w:val="00B6766D"/>
    <w:rPr>
      <w:rFonts w:asciiTheme="majorHAnsi" w:eastAsiaTheme="majorEastAsia" w:hAnsiTheme="majorHAnsi" w:cstheme="majorBidi"/>
      <w:b/>
      <w:color w:val="0070C0"/>
      <w:sz w:val="24"/>
      <w:szCs w:val="24"/>
    </w:rPr>
  </w:style>
  <w:style w:type="paragraph" w:styleId="Caption">
    <w:name w:val="caption"/>
    <w:basedOn w:val="Normal"/>
    <w:next w:val="Normal"/>
    <w:link w:val="CaptionChar"/>
    <w:autoRedefine/>
    <w:uiPriority w:val="35"/>
    <w:unhideWhenUsed/>
    <w:qFormat/>
    <w:rsid w:val="00475E28"/>
    <w:pPr>
      <w:keepNext/>
      <w:keepLines/>
      <w:jc w:val="center"/>
    </w:pPr>
    <w:rPr>
      <w:rFonts w:ascii="Arial" w:eastAsiaTheme="minorEastAsia" w:hAnsi="Arial"/>
      <w:bCs/>
      <w:i/>
      <w:color w:val="404040" w:themeColor="text1" w:themeTint="BF"/>
      <w:szCs w:val="20"/>
    </w:rPr>
  </w:style>
  <w:style w:type="character" w:customStyle="1" w:styleId="CaptionChar">
    <w:name w:val="Caption Char"/>
    <w:basedOn w:val="DefaultParagraphFont"/>
    <w:link w:val="Caption"/>
    <w:uiPriority w:val="35"/>
    <w:rsid w:val="00475E28"/>
    <w:rPr>
      <w:rFonts w:ascii="Arial" w:eastAsiaTheme="minorEastAsia" w:hAnsi="Arial"/>
      <w:bCs/>
      <w:i/>
      <w:color w:val="404040" w:themeColor="text1" w:themeTint="BF"/>
      <w:szCs w:val="20"/>
    </w:rPr>
  </w:style>
  <w:style w:type="table" w:styleId="ListTable3-Accent2">
    <w:name w:val="List Table 3 Accent 2"/>
    <w:basedOn w:val="TableNormal"/>
    <w:uiPriority w:val="48"/>
    <w:rsid w:val="00EC46AF"/>
    <w:rPr>
      <w:rFonts w:eastAsiaTheme="minorEastAsia"/>
      <w:sz w:val="21"/>
      <w:szCs w:val="21"/>
      <w:lang w:val="en-US"/>
    </w:rPr>
    <w:tblPr>
      <w:tblStyleRowBandSize w:val="1"/>
      <w:tblStyleColBandSize w:val="1"/>
      <w:tblBorders>
        <w:top w:val="single" w:sz="4" w:space="0" w:color="3F762A" w:themeColor="accent2"/>
        <w:left w:val="single" w:sz="4" w:space="0" w:color="3F762A" w:themeColor="accent2"/>
        <w:bottom w:val="single" w:sz="4" w:space="0" w:color="3F762A" w:themeColor="accent2"/>
        <w:right w:val="single" w:sz="4" w:space="0" w:color="3F762A" w:themeColor="accent2"/>
      </w:tblBorders>
    </w:tblPr>
    <w:tblStylePr w:type="firstRow">
      <w:rPr>
        <w:b/>
        <w:bCs/>
        <w:color w:val="FFFFFF" w:themeColor="background1"/>
      </w:rPr>
      <w:tblPr/>
      <w:tcPr>
        <w:shd w:val="clear" w:color="auto" w:fill="3F762A" w:themeFill="accent2"/>
      </w:tcPr>
    </w:tblStylePr>
    <w:tblStylePr w:type="lastRow">
      <w:rPr>
        <w:b/>
        <w:bCs/>
      </w:rPr>
      <w:tblPr/>
      <w:tcPr>
        <w:tcBorders>
          <w:top w:val="double" w:sz="4" w:space="0" w:color="3F762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762A" w:themeColor="accent2"/>
          <w:right w:val="single" w:sz="4" w:space="0" w:color="3F762A" w:themeColor="accent2"/>
        </w:tcBorders>
      </w:tcPr>
    </w:tblStylePr>
    <w:tblStylePr w:type="band1Horz">
      <w:tblPr/>
      <w:tcPr>
        <w:tcBorders>
          <w:top w:val="single" w:sz="4" w:space="0" w:color="3F762A" w:themeColor="accent2"/>
          <w:bottom w:val="single" w:sz="4" w:space="0" w:color="3F762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762A" w:themeColor="accent2"/>
          <w:left w:val="nil"/>
        </w:tcBorders>
      </w:tcPr>
    </w:tblStylePr>
    <w:tblStylePr w:type="swCell">
      <w:tblPr/>
      <w:tcPr>
        <w:tcBorders>
          <w:top w:val="double" w:sz="4" w:space="0" w:color="3F762A" w:themeColor="accent2"/>
          <w:right w:val="nil"/>
        </w:tcBorders>
      </w:tcPr>
    </w:tblStylePr>
  </w:style>
  <w:style w:type="table" w:styleId="GridTable1Light-Accent5">
    <w:name w:val="Grid Table 1 Light Accent 5"/>
    <w:basedOn w:val="TableNormal"/>
    <w:uiPriority w:val="46"/>
    <w:rsid w:val="001414F2"/>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44831"/>
    <w:tblPr>
      <w:tblStyleRowBandSize w:val="1"/>
      <w:tblStyleColBandSize w:val="1"/>
      <w:tblBorders>
        <w:top w:val="single" w:sz="4" w:space="0" w:color="7FC764" w:themeColor="accent2" w:themeTint="99"/>
        <w:left w:val="single" w:sz="4" w:space="0" w:color="7FC764" w:themeColor="accent2" w:themeTint="99"/>
        <w:bottom w:val="single" w:sz="4" w:space="0" w:color="7FC764" w:themeColor="accent2" w:themeTint="99"/>
        <w:right w:val="single" w:sz="4" w:space="0" w:color="7FC764" w:themeColor="accent2" w:themeTint="99"/>
        <w:insideH w:val="single" w:sz="4" w:space="0" w:color="7FC764" w:themeColor="accent2" w:themeTint="99"/>
        <w:insideV w:val="single" w:sz="4" w:space="0" w:color="7FC764" w:themeColor="accent2" w:themeTint="99"/>
      </w:tblBorders>
    </w:tblPr>
    <w:tblStylePr w:type="firstRow">
      <w:rPr>
        <w:b/>
        <w:bCs/>
        <w:color w:val="FFFFFF" w:themeColor="background1"/>
      </w:rPr>
      <w:tblPr/>
      <w:tcPr>
        <w:tcBorders>
          <w:top w:val="single" w:sz="4" w:space="0" w:color="3F762A" w:themeColor="accent2"/>
          <w:left w:val="single" w:sz="4" w:space="0" w:color="3F762A" w:themeColor="accent2"/>
          <w:bottom w:val="single" w:sz="4" w:space="0" w:color="3F762A" w:themeColor="accent2"/>
          <w:right w:val="single" w:sz="4" w:space="0" w:color="3F762A" w:themeColor="accent2"/>
          <w:insideH w:val="nil"/>
          <w:insideV w:val="nil"/>
        </w:tcBorders>
        <w:shd w:val="clear" w:color="auto" w:fill="3F762A" w:themeFill="accent2"/>
      </w:tcPr>
    </w:tblStylePr>
    <w:tblStylePr w:type="lastRow">
      <w:rPr>
        <w:b/>
        <w:bCs/>
      </w:rPr>
      <w:tblPr/>
      <w:tcPr>
        <w:tcBorders>
          <w:top w:val="double" w:sz="4" w:space="0" w:color="3F762A" w:themeColor="accent2"/>
        </w:tcBorders>
      </w:tcPr>
    </w:tblStylePr>
    <w:tblStylePr w:type="firstCol">
      <w:rPr>
        <w:b/>
        <w:bCs/>
      </w:rPr>
    </w:tblStylePr>
    <w:tblStylePr w:type="lastCol">
      <w:rPr>
        <w:b/>
        <w:bCs/>
      </w:rPr>
    </w:tblStylePr>
    <w:tblStylePr w:type="band1Vert">
      <w:tblPr/>
      <w:tcPr>
        <w:shd w:val="clear" w:color="auto" w:fill="D4ECCB" w:themeFill="accent2" w:themeFillTint="33"/>
      </w:tcPr>
    </w:tblStylePr>
    <w:tblStylePr w:type="band1Horz">
      <w:tblPr/>
      <w:tcPr>
        <w:shd w:val="clear" w:color="auto" w:fill="D4ECCB" w:themeFill="accent2" w:themeFillTint="33"/>
      </w:tcPr>
    </w:tblStylePr>
  </w:style>
  <w:style w:type="table" w:styleId="GridTable4-Accent1">
    <w:name w:val="Grid Table 4 Accent 1"/>
    <w:basedOn w:val="TableNormal"/>
    <w:uiPriority w:val="49"/>
    <w:rsid w:val="00344831"/>
    <w:tblPr>
      <w:tblStyleRowBandSize w:val="1"/>
      <w:tblStyleColBandSize w:val="1"/>
      <w:tblBorders>
        <w:top w:val="single" w:sz="4" w:space="0" w:color="6BBF4C" w:themeColor="accent1" w:themeTint="99"/>
        <w:left w:val="single" w:sz="4" w:space="0" w:color="6BBF4C" w:themeColor="accent1" w:themeTint="99"/>
        <w:bottom w:val="single" w:sz="4" w:space="0" w:color="6BBF4C" w:themeColor="accent1" w:themeTint="99"/>
        <w:right w:val="single" w:sz="4" w:space="0" w:color="6BBF4C" w:themeColor="accent1" w:themeTint="99"/>
        <w:insideH w:val="single" w:sz="4" w:space="0" w:color="6BBF4C" w:themeColor="accent1" w:themeTint="99"/>
        <w:insideV w:val="single" w:sz="4" w:space="0" w:color="6BBF4C" w:themeColor="accent1" w:themeTint="99"/>
      </w:tblBorders>
    </w:tblPr>
    <w:tblStylePr w:type="firstRow">
      <w:rPr>
        <w:b/>
        <w:bCs/>
        <w:color w:val="FFFFFF" w:themeColor="background1"/>
      </w:rPr>
      <w:tblPr/>
      <w:tcPr>
        <w:tcBorders>
          <w:top w:val="single" w:sz="4" w:space="0" w:color="2A4F1C" w:themeColor="accent1"/>
          <w:left w:val="single" w:sz="4" w:space="0" w:color="2A4F1C" w:themeColor="accent1"/>
          <w:bottom w:val="single" w:sz="4" w:space="0" w:color="2A4F1C" w:themeColor="accent1"/>
          <w:right w:val="single" w:sz="4" w:space="0" w:color="2A4F1C" w:themeColor="accent1"/>
          <w:insideH w:val="nil"/>
          <w:insideV w:val="nil"/>
        </w:tcBorders>
        <w:shd w:val="clear" w:color="auto" w:fill="2A4F1C" w:themeFill="accent1"/>
      </w:tcPr>
    </w:tblStylePr>
    <w:tblStylePr w:type="lastRow">
      <w:rPr>
        <w:b/>
        <w:bCs/>
      </w:rPr>
      <w:tblPr/>
      <w:tcPr>
        <w:tcBorders>
          <w:top w:val="double" w:sz="4" w:space="0" w:color="2A4F1C" w:themeColor="accent1"/>
        </w:tcBorders>
      </w:tcPr>
    </w:tblStylePr>
    <w:tblStylePr w:type="firstCol">
      <w:rPr>
        <w:b/>
        <w:bCs/>
      </w:rPr>
    </w:tblStylePr>
    <w:tblStylePr w:type="lastCol">
      <w:rPr>
        <w:b/>
        <w:bCs/>
      </w:rPr>
    </w:tblStylePr>
    <w:tblStylePr w:type="band1Vert">
      <w:tblPr/>
      <w:tcPr>
        <w:shd w:val="clear" w:color="auto" w:fill="CDEAC3" w:themeFill="accent1" w:themeFillTint="33"/>
      </w:tcPr>
    </w:tblStylePr>
    <w:tblStylePr w:type="band1Horz">
      <w:tblPr/>
      <w:tcPr>
        <w:shd w:val="clear" w:color="auto" w:fill="CDEAC3" w:themeFill="accent1" w:themeFillTint="33"/>
      </w:tcPr>
    </w:tblStylePr>
  </w:style>
  <w:style w:type="character" w:customStyle="1" w:styleId="Heading4Char">
    <w:name w:val="Heading 4 Char"/>
    <w:basedOn w:val="DefaultParagraphFont"/>
    <w:link w:val="Heading4"/>
    <w:uiPriority w:val="9"/>
    <w:rsid w:val="001E463E"/>
    <w:rPr>
      <w:rFonts w:asciiTheme="majorHAnsi" w:eastAsiaTheme="majorEastAsia" w:hAnsiTheme="majorHAnsi" w:cstheme="majorBidi"/>
      <w:i/>
      <w:iCs/>
      <w:color w:val="0070C0"/>
    </w:rPr>
  </w:style>
  <w:style w:type="character" w:styleId="UnresolvedMention">
    <w:name w:val="Unresolved Mention"/>
    <w:basedOn w:val="DefaultParagraphFont"/>
    <w:uiPriority w:val="99"/>
    <w:semiHidden/>
    <w:unhideWhenUsed/>
    <w:rsid w:val="00F729E7"/>
    <w:rPr>
      <w:color w:val="605E5C"/>
      <w:shd w:val="clear" w:color="auto" w:fill="E1DFDD"/>
    </w:rPr>
  </w:style>
  <w:style w:type="paragraph" w:customStyle="1" w:styleId="Default">
    <w:name w:val="Default"/>
    <w:rsid w:val="004F0A4C"/>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234355"/>
    <w:rPr>
      <w:sz w:val="20"/>
      <w:szCs w:val="20"/>
    </w:rPr>
  </w:style>
  <w:style w:type="character" w:customStyle="1" w:styleId="FootnoteTextChar">
    <w:name w:val="Footnote Text Char"/>
    <w:basedOn w:val="DefaultParagraphFont"/>
    <w:link w:val="FootnoteText"/>
    <w:uiPriority w:val="99"/>
    <w:rsid w:val="00234355"/>
    <w:rPr>
      <w:sz w:val="20"/>
      <w:szCs w:val="20"/>
    </w:rPr>
  </w:style>
  <w:style w:type="character" w:styleId="FootnoteReference">
    <w:name w:val="footnote reference"/>
    <w:basedOn w:val="DefaultParagraphFont"/>
    <w:uiPriority w:val="99"/>
    <w:unhideWhenUsed/>
    <w:rsid w:val="00234355"/>
    <w:rPr>
      <w:vertAlign w:val="superscript"/>
    </w:rPr>
  </w:style>
  <w:style w:type="character" w:customStyle="1" w:styleId="Heading1Char">
    <w:name w:val="Heading 1 Char"/>
    <w:basedOn w:val="DefaultParagraphFont"/>
    <w:link w:val="Heading1"/>
    <w:uiPriority w:val="9"/>
    <w:rsid w:val="00E7660F"/>
    <w:rPr>
      <w:rFonts w:asciiTheme="majorHAnsi" w:eastAsiaTheme="majorEastAsia" w:hAnsiTheme="majorHAnsi" w:cstheme="majorBidi"/>
      <w:b/>
      <w:color w:val="0070C0"/>
      <w:sz w:val="32"/>
      <w:szCs w:val="32"/>
    </w:rPr>
  </w:style>
  <w:style w:type="paragraph" w:styleId="Title">
    <w:name w:val="Title"/>
    <w:basedOn w:val="Normal"/>
    <w:link w:val="TitleChar"/>
    <w:uiPriority w:val="10"/>
    <w:qFormat/>
    <w:rsid w:val="001E463E"/>
    <w:pPr>
      <w:widowControl w:val="0"/>
      <w:autoSpaceDE w:val="0"/>
      <w:autoSpaceDN w:val="0"/>
      <w:spacing w:before="154"/>
      <w:ind w:left="2283"/>
    </w:pPr>
    <w:rPr>
      <w:rFonts w:ascii="Arial" w:eastAsia="Arial" w:hAnsi="Arial" w:cs="Arial"/>
      <w:b/>
      <w:bCs/>
      <w:color w:val="0070C0"/>
      <w:sz w:val="20"/>
      <w:szCs w:val="20"/>
      <w:lang w:val="en-US"/>
    </w:rPr>
  </w:style>
  <w:style w:type="character" w:customStyle="1" w:styleId="TitleChar">
    <w:name w:val="Title Char"/>
    <w:basedOn w:val="DefaultParagraphFont"/>
    <w:link w:val="Title"/>
    <w:uiPriority w:val="10"/>
    <w:rsid w:val="001E463E"/>
    <w:rPr>
      <w:rFonts w:ascii="Arial" w:eastAsia="Arial" w:hAnsi="Arial" w:cs="Arial"/>
      <w:b/>
      <w:bCs/>
      <w:color w:val="0070C0"/>
      <w:sz w:val="20"/>
      <w:szCs w:val="20"/>
      <w:lang w:val="en-US"/>
    </w:rPr>
  </w:style>
  <w:style w:type="paragraph" w:styleId="TOCHeading">
    <w:name w:val="TOC Heading"/>
    <w:basedOn w:val="Heading1"/>
    <w:next w:val="Normal"/>
    <w:uiPriority w:val="39"/>
    <w:unhideWhenUsed/>
    <w:qFormat/>
    <w:rsid w:val="002D5B3D"/>
    <w:pPr>
      <w:numPr>
        <w:numId w:val="0"/>
      </w:numPr>
      <w:spacing w:line="259" w:lineRule="auto"/>
      <w:outlineLvl w:val="9"/>
    </w:pPr>
    <w:rPr>
      <w:lang w:val="en-US"/>
    </w:rPr>
  </w:style>
  <w:style w:type="paragraph" w:styleId="TOC1">
    <w:name w:val="toc 1"/>
    <w:basedOn w:val="Normal"/>
    <w:next w:val="Normal"/>
    <w:autoRedefine/>
    <w:uiPriority w:val="39"/>
    <w:unhideWhenUsed/>
    <w:rsid w:val="002D5B3D"/>
    <w:pPr>
      <w:tabs>
        <w:tab w:val="left" w:pos="369"/>
        <w:tab w:val="right" w:leader="dot" w:pos="9016"/>
      </w:tabs>
      <w:spacing w:after="100"/>
    </w:pPr>
    <w:rPr>
      <w:noProof/>
    </w:rPr>
  </w:style>
  <w:style w:type="paragraph" w:styleId="TOC2">
    <w:name w:val="toc 2"/>
    <w:basedOn w:val="Normal"/>
    <w:next w:val="Normal"/>
    <w:autoRedefine/>
    <w:uiPriority w:val="39"/>
    <w:unhideWhenUsed/>
    <w:rsid w:val="002D5B3D"/>
    <w:pPr>
      <w:tabs>
        <w:tab w:val="right" w:leader="dot" w:pos="9016"/>
      </w:tabs>
      <w:spacing w:after="100"/>
      <w:ind w:left="397"/>
    </w:pPr>
  </w:style>
  <w:style w:type="paragraph" w:styleId="TOC3">
    <w:name w:val="toc 3"/>
    <w:basedOn w:val="Normal"/>
    <w:next w:val="Normal"/>
    <w:autoRedefine/>
    <w:uiPriority w:val="39"/>
    <w:unhideWhenUsed/>
    <w:rsid w:val="00E53AAF"/>
    <w:pPr>
      <w:spacing w:after="100"/>
      <w:ind w:left="440"/>
    </w:pPr>
  </w:style>
  <w:style w:type="paragraph" w:styleId="TableofFigures">
    <w:name w:val="table of figures"/>
    <w:basedOn w:val="Normal"/>
    <w:next w:val="Normal"/>
    <w:uiPriority w:val="99"/>
    <w:unhideWhenUsed/>
    <w:rsid w:val="003552C3"/>
    <w:pPr>
      <w:ind w:left="720" w:hanging="720"/>
    </w:pPr>
  </w:style>
  <w:style w:type="paragraph" w:styleId="NoSpacing">
    <w:name w:val="No Spacing"/>
    <w:link w:val="NoSpacingChar"/>
    <w:uiPriority w:val="1"/>
    <w:qFormat/>
    <w:rsid w:val="00064340"/>
    <w:rPr>
      <w:rFonts w:eastAsiaTheme="minorEastAsia"/>
      <w:lang w:val="en-US"/>
    </w:rPr>
  </w:style>
  <w:style w:type="character" w:customStyle="1" w:styleId="NoSpacingChar">
    <w:name w:val="No Spacing Char"/>
    <w:basedOn w:val="DefaultParagraphFont"/>
    <w:link w:val="NoSpacing"/>
    <w:uiPriority w:val="1"/>
    <w:rsid w:val="00064340"/>
    <w:rPr>
      <w:rFonts w:eastAsiaTheme="minorEastAsia"/>
      <w:lang w:val="en-US"/>
    </w:rPr>
  </w:style>
  <w:style w:type="paragraph" w:styleId="Quote">
    <w:name w:val="Quote"/>
    <w:basedOn w:val="Normal"/>
    <w:next w:val="Normal"/>
    <w:link w:val="QuoteChar"/>
    <w:uiPriority w:val="29"/>
    <w:qFormat/>
    <w:rsid w:val="000964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96403"/>
    <w:rPr>
      <w:i/>
      <w:iCs/>
      <w:color w:val="404040" w:themeColor="text1" w:themeTint="BF"/>
    </w:rPr>
  </w:style>
  <w:style w:type="paragraph" w:styleId="IntenseQuote">
    <w:name w:val="Intense Quote"/>
    <w:basedOn w:val="Normal"/>
    <w:next w:val="Normal"/>
    <w:link w:val="IntenseQuoteChar"/>
    <w:uiPriority w:val="30"/>
    <w:qFormat/>
    <w:rsid w:val="00096403"/>
    <w:pPr>
      <w:pBdr>
        <w:top w:val="single" w:sz="4" w:space="10" w:color="2A4F1C" w:themeColor="accent1"/>
        <w:bottom w:val="single" w:sz="4" w:space="10" w:color="2A4F1C" w:themeColor="accent1"/>
      </w:pBdr>
      <w:spacing w:before="360" w:after="360"/>
      <w:ind w:left="864" w:right="864"/>
      <w:jc w:val="center"/>
    </w:pPr>
    <w:rPr>
      <w:i/>
      <w:iCs/>
      <w:color w:val="2A4F1C" w:themeColor="accent1"/>
    </w:rPr>
  </w:style>
  <w:style w:type="character" w:customStyle="1" w:styleId="IntenseQuoteChar">
    <w:name w:val="Intense Quote Char"/>
    <w:basedOn w:val="DefaultParagraphFont"/>
    <w:link w:val="IntenseQuote"/>
    <w:uiPriority w:val="30"/>
    <w:rsid w:val="00096403"/>
    <w:rPr>
      <w:i/>
      <w:iCs/>
      <w:color w:val="2A4F1C" w:themeColor="accent1"/>
    </w:rPr>
  </w:style>
  <w:style w:type="table" w:styleId="GridTable1Light">
    <w:name w:val="Grid Table 1 Light"/>
    <w:basedOn w:val="TableNormal"/>
    <w:uiPriority w:val="46"/>
    <w:rsid w:val="00877C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890E20"/>
    <w:rPr>
      <w:rFonts w:asciiTheme="majorHAnsi" w:eastAsiaTheme="majorEastAsia" w:hAnsiTheme="majorHAnsi" w:cstheme="majorBidi"/>
      <w:color w:val="1F3B1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221">
      <w:bodyDiv w:val="1"/>
      <w:marLeft w:val="0"/>
      <w:marRight w:val="0"/>
      <w:marTop w:val="0"/>
      <w:marBottom w:val="0"/>
      <w:divBdr>
        <w:top w:val="none" w:sz="0" w:space="0" w:color="auto"/>
        <w:left w:val="none" w:sz="0" w:space="0" w:color="auto"/>
        <w:bottom w:val="none" w:sz="0" w:space="0" w:color="auto"/>
        <w:right w:val="none" w:sz="0" w:space="0" w:color="auto"/>
      </w:divBdr>
    </w:div>
    <w:div w:id="13121749">
      <w:bodyDiv w:val="1"/>
      <w:marLeft w:val="0"/>
      <w:marRight w:val="0"/>
      <w:marTop w:val="0"/>
      <w:marBottom w:val="0"/>
      <w:divBdr>
        <w:top w:val="none" w:sz="0" w:space="0" w:color="auto"/>
        <w:left w:val="none" w:sz="0" w:space="0" w:color="auto"/>
        <w:bottom w:val="none" w:sz="0" w:space="0" w:color="auto"/>
        <w:right w:val="none" w:sz="0" w:space="0" w:color="auto"/>
      </w:divBdr>
      <w:divsChild>
        <w:div w:id="1692144671">
          <w:marLeft w:val="360"/>
          <w:marRight w:val="0"/>
          <w:marTop w:val="200"/>
          <w:marBottom w:val="0"/>
          <w:divBdr>
            <w:top w:val="none" w:sz="0" w:space="0" w:color="auto"/>
            <w:left w:val="none" w:sz="0" w:space="0" w:color="auto"/>
            <w:bottom w:val="none" w:sz="0" w:space="0" w:color="auto"/>
            <w:right w:val="none" w:sz="0" w:space="0" w:color="auto"/>
          </w:divBdr>
        </w:div>
      </w:divsChild>
    </w:div>
    <w:div w:id="26373456">
      <w:bodyDiv w:val="1"/>
      <w:marLeft w:val="0"/>
      <w:marRight w:val="0"/>
      <w:marTop w:val="0"/>
      <w:marBottom w:val="0"/>
      <w:divBdr>
        <w:top w:val="none" w:sz="0" w:space="0" w:color="auto"/>
        <w:left w:val="none" w:sz="0" w:space="0" w:color="auto"/>
        <w:bottom w:val="none" w:sz="0" w:space="0" w:color="auto"/>
        <w:right w:val="none" w:sz="0" w:space="0" w:color="auto"/>
      </w:divBdr>
    </w:div>
    <w:div w:id="97726006">
      <w:bodyDiv w:val="1"/>
      <w:marLeft w:val="0"/>
      <w:marRight w:val="0"/>
      <w:marTop w:val="0"/>
      <w:marBottom w:val="0"/>
      <w:divBdr>
        <w:top w:val="none" w:sz="0" w:space="0" w:color="auto"/>
        <w:left w:val="none" w:sz="0" w:space="0" w:color="auto"/>
        <w:bottom w:val="none" w:sz="0" w:space="0" w:color="auto"/>
        <w:right w:val="none" w:sz="0" w:space="0" w:color="auto"/>
      </w:divBdr>
    </w:div>
    <w:div w:id="133067625">
      <w:bodyDiv w:val="1"/>
      <w:marLeft w:val="0"/>
      <w:marRight w:val="0"/>
      <w:marTop w:val="0"/>
      <w:marBottom w:val="0"/>
      <w:divBdr>
        <w:top w:val="none" w:sz="0" w:space="0" w:color="auto"/>
        <w:left w:val="none" w:sz="0" w:space="0" w:color="auto"/>
        <w:bottom w:val="none" w:sz="0" w:space="0" w:color="auto"/>
        <w:right w:val="none" w:sz="0" w:space="0" w:color="auto"/>
      </w:divBdr>
    </w:div>
    <w:div w:id="161048750">
      <w:bodyDiv w:val="1"/>
      <w:marLeft w:val="0"/>
      <w:marRight w:val="0"/>
      <w:marTop w:val="0"/>
      <w:marBottom w:val="0"/>
      <w:divBdr>
        <w:top w:val="none" w:sz="0" w:space="0" w:color="auto"/>
        <w:left w:val="none" w:sz="0" w:space="0" w:color="auto"/>
        <w:bottom w:val="none" w:sz="0" w:space="0" w:color="auto"/>
        <w:right w:val="none" w:sz="0" w:space="0" w:color="auto"/>
      </w:divBdr>
    </w:div>
    <w:div w:id="243611936">
      <w:bodyDiv w:val="1"/>
      <w:marLeft w:val="0"/>
      <w:marRight w:val="0"/>
      <w:marTop w:val="0"/>
      <w:marBottom w:val="0"/>
      <w:divBdr>
        <w:top w:val="none" w:sz="0" w:space="0" w:color="auto"/>
        <w:left w:val="none" w:sz="0" w:space="0" w:color="auto"/>
        <w:bottom w:val="none" w:sz="0" w:space="0" w:color="auto"/>
        <w:right w:val="none" w:sz="0" w:space="0" w:color="auto"/>
      </w:divBdr>
    </w:div>
    <w:div w:id="292753934">
      <w:bodyDiv w:val="1"/>
      <w:marLeft w:val="0"/>
      <w:marRight w:val="0"/>
      <w:marTop w:val="0"/>
      <w:marBottom w:val="0"/>
      <w:divBdr>
        <w:top w:val="none" w:sz="0" w:space="0" w:color="auto"/>
        <w:left w:val="none" w:sz="0" w:space="0" w:color="auto"/>
        <w:bottom w:val="none" w:sz="0" w:space="0" w:color="auto"/>
        <w:right w:val="none" w:sz="0" w:space="0" w:color="auto"/>
      </w:divBdr>
    </w:div>
    <w:div w:id="389040121">
      <w:bodyDiv w:val="1"/>
      <w:marLeft w:val="0"/>
      <w:marRight w:val="0"/>
      <w:marTop w:val="0"/>
      <w:marBottom w:val="0"/>
      <w:divBdr>
        <w:top w:val="none" w:sz="0" w:space="0" w:color="auto"/>
        <w:left w:val="none" w:sz="0" w:space="0" w:color="auto"/>
        <w:bottom w:val="none" w:sz="0" w:space="0" w:color="auto"/>
        <w:right w:val="none" w:sz="0" w:space="0" w:color="auto"/>
      </w:divBdr>
    </w:div>
    <w:div w:id="418139542">
      <w:bodyDiv w:val="1"/>
      <w:marLeft w:val="0"/>
      <w:marRight w:val="0"/>
      <w:marTop w:val="0"/>
      <w:marBottom w:val="0"/>
      <w:divBdr>
        <w:top w:val="none" w:sz="0" w:space="0" w:color="auto"/>
        <w:left w:val="none" w:sz="0" w:space="0" w:color="auto"/>
        <w:bottom w:val="none" w:sz="0" w:space="0" w:color="auto"/>
        <w:right w:val="none" w:sz="0" w:space="0" w:color="auto"/>
      </w:divBdr>
    </w:div>
    <w:div w:id="468132559">
      <w:bodyDiv w:val="1"/>
      <w:marLeft w:val="0"/>
      <w:marRight w:val="0"/>
      <w:marTop w:val="0"/>
      <w:marBottom w:val="0"/>
      <w:divBdr>
        <w:top w:val="none" w:sz="0" w:space="0" w:color="auto"/>
        <w:left w:val="none" w:sz="0" w:space="0" w:color="auto"/>
        <w:bottom w:val="none" w:sz="0" w:space="0" w:color="auto"/>
        <w:right w:val="none" w:sz="0" w:space="0" w:color="auto"/>
      </w:divBdr>
    </w:div>
    <w:div w:id="515269092">
      <w:bodyDiv w:val="1"/>
      <w:marLeft w:val="0"/>
      <w:marRight w:val="0"/>
      <w:marTop w:val="0"/>
      <w:marBottom w:val="0"/>
      <w:divBdr>
        <w:top w:val="none" w:sz="0" w:space="0" w:color="auto"/>
        <w:left w:val="none" w:sz="0" w:space="0" w:color="auto"/>
        <w:bottom w:val="none" w:sz="0" w:space="0" w:color="auto"/>
        <w:right w:val="none" w:sz="0" w:space="0" w:color="auto"/>
      </w:divBdr>
      <w:divsChild>
        <w:div w:id="522400896">
          <w:marLeft w:val="1800"/>
          <w:marRight w:val="0"/>
          <w:marTop w:val="100"/>
          <w:marBottom w:val="0"/>
          <w:divBdr>
            <w:top w:val="none" w:sz="0" w:space="0" w:color="auto"/>
            <w:left w:val="none" w:sz="0" w:space="0" w:color="auto"/>
            <w:bottom w:val="none" w:sz="0" w:space="0" w:color="auto"/>
            <w:right w:val="none" w:sz="0" w:space="0" w:color="auto"/>
          </w:divBdr>
        </w:div>
        <w:div w:id="1176116942">
          <w:marLeft w:val="1800"/>
          <w:marRight w:val="0"/>
          <w:marTop w:val="100"/>
          <w:marBottom w:val="0"/>
          <w:divBdr>
            <w:top w:val="none" w:sz="0" w:space="0" w:color="auto"/>
            <w:left w:val="none" w:sz="0" w:space="0" w:color="auto"/>
            <w:bottom w:val="none" w:sz="0" w:space="0" w:color="auto"/>
            <w:right w:val="none" w:sz="0" w:space="0" w:color="auto"/>
          </w:divBdr>
        </w:div>
        <w:div w:id="1309437465">
          <w:marLeft w:val="1080"/>
          <w:marRight w:val="0"/>
          <w:marTop w:val="100"/>
          <w:marBottom w:val="0"/>
          <w:divBdr>
            <w:top w:val="none" w:sz="0" w:space="0" w:color="auto"/>
            <w:left w:val="none" w:sz="0" w:space="0" w:color="auto"/>
            <w:bottom w:val="none" w:sz="0" w:space="0" w:color="auto"/>
            <w:right w:val="none" w:sz="0" w:space="0" w:color="auto"/>
          </w:divBdr>
        </w:div>
        <w:div w:id="1660842159">
          <w:marLeft w:val="1800"/>
          <w:marRight w:val="0"/>
          <w:marTop w:val="100"/>
          <w:marBottom w:val="0"/>
          <w:divBdr>
            <w:top w:val="none" w:sz="0" w:space="0" w:color="auto"/>
            <w:left w:val="none" w:sz="0" w:space="0" w:color="auto"/>
            <w:bottom w:val="none" w:sz="0" w:space="0" w:color="auto"/>
            <w:right w:val="none" w:sz="0" w:space="0" w:color="auto"/>
          </w:divBdr>
        </w:div>
        <w:div w:id="1784885026">
          <w:marLeft w:val="1080"/>
          <w:marRight w:val="0"/>
          <w:marTop w:val="100"/>
          <w:marBottom w:val="0"/>
          <w:divBdr>
            <w:top w:val="none" w:sz="0" w:space="0" w:color="auto"/>
            <w:left w:val="none" w:sz="0" w:space="0" w:color="auto"/>
            <w:bottom w:val="none" w:sz="0" w:space="0" w:color="auto"/>
            <w:right w:val="none" w:sz="0" w:space="0" w:color="auto"/>
          </w:divBdr>
        </w:div>
        <w:div w:id="1943680575">
          <w:marLeft w:val="1800"/>
          <w:marRight w:val="0"/>
          <w:marTop w:val="100"/>
          <w:marBottom w:val="0"/>
          <w:divBdr>
            <w:top w:val="none" w:sz="0" w:space="0" w:color="auto"/>
            <w:left w:val="none" w:sz="0" w:space="0" w:color="auto"/>
            <w:bottom w:val="none" w:sz="0" w:space="0" w:color="auto"/>
            <w:right w:val="none" w:sz="0" w:space="0" w:color="auto"/>
          </w:divBdr>
        </w:div>
        <w:div w:id="2135248377">
          <w:marLeft w:val="360"/>
          <w:marRight w:val="0"/>
          <w:marTop w:val="200"/>
          <w:marBottom w:val="0"/>
          <w:divBdr>
            <w:top w:val="none" w:sz="0" w:space="0" w:color="auto"/>
            <w:left w:val="none" w:sz="0" w:space="0" w:color="auto"/>
            <w:bottom w:val="none" w:sz="0" w:space="0" w:color="auto"/>
            <w:right w:val="none" w:sz="0" w:space="0" w:color="auto"/>
          </w:divBdr>
        </w:div>
      </w:divsChild>
    </w:div>
    <w:div w:id="565381813">
      <w:bodyDiv w:val="1"/>
      <w:marLeft w:val="0"/>
      <w:marRight w:val="0"/>
      <w:marTop w:val="0"/>
      <w:marBottom w:val="0"/>
      <w:divBdr>
        <w:top w:val="none" w:sz="0" w:space="0" w:color="auto"/>
        <w:left w:val="none" w:sz="0" w:space="0" w:color="auto"/>
        <w:bottom w:val="none" w:sz="0" w:space="0" w:color="auto"/>
        <w:right w:val="none" w:sz="0" w:space="0" w:color="auto"/>
      </w:divBdr>
    </w:div>
    <w:div w:id="598215666">
      <w:bodyDiv w:val="1"/>
      <w:marLeft w:val="0"/>
      <w:marRight w:val="0"/>
      <w:marTop w:val="0"/>
      <w:marBottom w:val="0"/>
      <w:divBdr>
        <w:top w:val="none" w:sz="0" w:space="0" w:color="auto"/>
        <w:left w:val="none" w:sz="0" w:space="0" w:color="auto"/>
        <w:bottom w:val="none" w:sz="0" w:space="0" w:color="auto"/>
        <w:right w:val="none" w:sz="0" w:space="0" w:color="auto"/>
      </w:divBdr>
      <w:divsChild>
        <w:div w:id="206569750">
          <w:marLeft w:val="360"/>
          <w:marRight w:val="0"/>
          <w:marTop w:val="200"/>
          <w:marBottom w:val="0"/>
          <w:divBdr>
            <w:top w:val="none" w:sz="0" w:space="0" w:color="auto"/>
            <w:left w:val="none" w:sz="0" w:space="0" w:color="auto"/>
            <w:bottom w:val="none" w:sz="0" w:space="0" w:color="auto"/>
            <w:right w:val="none" w:sz="0" w:space="0" w:color="auto"/>
          </w:divBdr>
        </w:div>
        <w:div w:id="375158981">
          <w:marLeft w:val="1080"/>
          <w:marRight w:val="0"/>
          <w:marTop w:val="100"/>
          <w:marBottom w:val="0"/>
          <w:divBdr>
            <w:top w:val="none" w:sz="0" w:space="0" w:color="auto"/>
            <w:left w:val="none" w:sz="0" w:space="0" w:color="auto"/>
            <w:bottom w:val="none" w:sz="0" w:space="0" w:color="auto"/>
            <w:right w:val="none" w:sz="0" w:space="0" w:color="auto"/>
          </w:divBdr>
        </w:div>
        <w:div w:id="485778965">
          <w:marLeft w:val="1080"/>
          <w:marRight w:val="0"/>
          <w:marTop w:val="100"/>
          <w:marBottom w:val="0"/>
          <w:divBdr>
            <w:top w:val="none" w:sz="0" w:space="0" w:color="auto"/>
            <w:left w:val="none" w:sz="0" w:space="0" w:color="auto"/>
            <w:bottom w:val="none" w:sz="0" w:space="0" w:color="auto"/>
            <w:right w:val="none" w:sz="0" w:space="0" w:color="auto"/>
          </w:divBdr>
        </w:div>
        <w:div w:id="538713053">
          <w:marLeft w:val="360"/>
          <w:marRight w:val="0"/>
          <w:marTop w:val="200"/>
          <w:marBottom w:val="0"/>
          <w:divBdr>
            <w:top w:val="none" w:sz="0" w:space="0" w:color="auto"/>
            <w:left w:val="none" w:sz="0" w:space="0" w:color="auto"/>
            <w:bottom w:val="none" w:sz="0" w:space="0" w:color="auto"/>
            <w:right w:val="none" w:sz="0" w:space="0" w:color="auto"/>
          </w:divBdr>
        </w:div>
        <w:div w:id="604533379">
          <w:marLeft w:val="1080"/>
          <w:marRight w:val="0"/>
          <w:marTop w:val="100"/>
          <w:marBottom w:val="0"/>
          <w:divBdr>
            <w:top w:val="none" w:sz="0" w:space="0" w:color="auto"/>
            <w:left w:val="none" w:sz="0" w:space="0" w:color="auto"/>
            <w:bottom w:val="none" w:sz="0" w:space="0" w:color="auto"/>
            <w:right w:val="none" w:sz="0" w:space="0" w:color="auto"/>
          </w:divBdr>
        </w:div>
        <w:div w:id="901065783">
          <w:marLeft w:val="360"/>
          <w:marRight w:val="0"/>
          <w:marTop w:val="200"/>
          <w:marBottom w:val="0"/>
          <w:divBdr>
            <w:top w:val="none" w:sz="0" w:space="0" w:color="auto"/>
            <w:left w:val="none" w:sz="0" w:space="0" w:color="auto"/>
            <w:bottom w:val="none" w:sz="0" w:space="0" w:color="auto"/>
            <w:right w:val="none" w:sz="0" w:space="0" w:color="auto"/>
          </w:divBdr>
        </w:div>
        <w:div w:id="947782828">
          <w:marLeft w:val="1080"/>
          <w:marRight w:val="0"/>
          <w:marTop w:val="100"/>
          <w:marBottom w:val="0"/>
          <w:divBdr>
            <w:top w:val="none" w:sz="0" w:space="0" w:color="auto"/>
            <w:left w:val="none" w:sz="0" w:space="0" w:color="auto"/>
            <w:bottom w:val="none" w:sz="0" w:space="0" w:color="auto"/>
            <w:right w:val="none" w:sz="0" w:space="0" w:color="auto"/>
          </w:divBdr>
        </w:div>
        <w:div w:id="1156991536">
          <w:marLeft w:val="1800"/>
          <w:marRight w:val="0"/>
          <w:marTop w:val="100"/>
          <w:marBottom w:val="0"/>
          <w:divBdr>
            <w:top w:val="none" w:sz="0" w:space="0" w:color="auto"/>
            <w:left w:val="none" w:sz="0" w:space="0" w:color="auto"/>
            <w:bottom w:val="none" w:sz="0" w:space="0" w:color="auto"/>
            <w:right w:val="none" w:sz="0" w:space="0" w:color="auto"/>
          </w:divBdr>
        </w:div>
        <w:div w:id="1203398876">
          <w:marLeft w:val="1800"/>
          <w:marRight w:val="0"/>
          <w:marTop w:val="100"/>
          <w:marBottom w:val="0"/>
          <w:divBdr>
            <w:top w:val="none" w:sz="0" w:space="0" w:color="auto"/>
            <w:left w:val="none" w:sz="0" w:space="0" w:color="auto"/>
            <w:bottom w:val="none" w:sz="0" w:space="0" w:color="auto"/>
            <w:right w:val="none" w:sz="0" w:space="0" w:color="auto"/>
          </w:divBdr>
        </w:div>
        <w:div w:id="1362707022">
          <w:marLeft w:val="1080"/>
          <w:marRight w:val="0"/>
          <w:marTop w:val="100"/>
          <w:marBottom w:val="0"/>
          <w:divBdr>
            <w:top w:val="none" w:sz="0" w:space="0" w:color="auto"/>
            <w:left w:val="none" w:sz="0" w:space="0" w:color="auto"/>
            <w:bottom w:val="none" w:sz="0" w:space="0" w:color="auto"/>
            <w:right w:val="none" w:sz="0" w:space="0" w:color="auto"/>
          </w:divBdr>
        </w:div>
        <w:div w:id="1457792234">
          <w:marLeft w:val="360"/>
          <w:marRight w:val="0"/>
          <w:marTop w:val="200"/>
          <w:marBottom w:val="0"/>
          <w:divBdr>
            <w:top w:val="none" w:sz="0" w:space="0" w:color="auto"/>
            <w:left w:val="none" w:sz="0" w:space="0" w:color="auto"/>
            <w:bottom w:val="none" w:sz="0" w:space="0" w:color="auto"/>
            <w:right w:val="none" w:sz="0" w:space="0" w:color="auto"/>
          </w:divBdr>
        </w:div>
        <w:div w:id="1510564798">
          <w:marLeft w:val="1080"/>
          <w:marRight w:val="0"/>
          <w:marTop w:val="100"/>
          <w:marBottom w:val="0"/>
          <w:divBdr>
            <w:top w:val="none" w:sz="0" w:space="0" w:color="auto"/>
            <w:left w:val="none" w:sz="0" w:space="0" w:color="auto"/>
            <w:bottom w:val="none" w:sz="0" w:space="0" w:color="auto"/>
            <w:right w:val="none" w:sz="0" w:space="0" w:color="auto"/>
          </w:divBdr>
        </w:div>
        <w:div w:id="1664314342">
          <w:marLeft w:val="360"/>
          <w:marRight w:val="0"/>
          <w:marTop w:val="200"/>
          <w:marBottom w:val="0"/>
          <w:divBdr>
            <w:top w:val="none" w:sz="0" w:space="0" w:color="auto"/>
            <w:left w:val="none" w:sz="0" w:space="0" w:color="auto"/>
            <w:bottom w:val="none" w:sz="0" w:space="0" w:color="auto"/>
            <w:right w:val="none" w:sz="0" w:space="0" w:color="auto"/>
          </w:divBdr>
        </w:div>
        <w:div w:id="1689406557">
          <w:marLeft w:val="1080"/>
          <w:marRight w:val="0"/>
          <w:marTop w:val="100"/>
          <w:marBottom w:val="0"/>
          <w:divBdr>
            <w:top w:val="none" w:sz="0" w:space="0" w:color="auto"/>
            <w:left w:val="none" w:sz="0" w:space="0" w:color="auto"/>
            <w:bottom w:val="none" w:sz="0" w:space="0" w:color="auto"/>
            <w:right w:val="none" w:sz="0" w:space="0" w:color="auto"/>
          </w:divBdr>
        </w:div>
        <w:div w:id="1806199453">
          <w:marLeft w:val="1080"/>
          <w:marRight w:val="0"/>
          <w:marTop w:val="100"/>
          <w:marBottom w:val="0"/>
          <w:divBdr>
            <w:top w:val="none" w:sz="0" w:space="0" w:color="auto"/>
            <w:left w:val="none" w:sz="0" w:space="0" w:color="auto"/>
            <w:bottom w:val="none" w:sz="0" w:space="0" w:color="auto"/>
            <w:right w:val="none" w:sz="0" w:space="0" w:color="auto"/>
          </w:divBdr>
        </w:div>
        <w:div w:id="2028411561">
          <w:marLeft w:val="1800"/>
          <w:marRight w:val="0"/>
          <w:marTop w:val="100"/>
          <w:marBottom w:val="0"/>
          <w:divBdr>
            <w:top w:val="none" w:sz="0" w:space="0" w:color="auto"/>
            <w:left w:val="none" w:sz="0" w:space="0" w:color="auto"/>
            <w:bottom w:val="none" w:sz="0" w:space="0" w:color="auto"/>
            <w:right w:val="none" w:sz="0" w:space="0" w:color="auto"/>
          </w:divBdr>
        </w:div>
      </w:divsChild>
    </w:div>
    <w:div w:id="730889175">
      <w:bodyDiv w:val="1"/>
      <w:marLeft w:val="0"/>
      <w:marRight w:val="0"/>
      <w:marTop w:val="0"/>
      <w:marBottom w:val="0"/>
      <w:divBdr>
        <w:top w:val="none" w:sz="0" w:space="0" w:color="auto"/>
        <w:left w:val="none" w:sz="0" w:space="0" w:color="auto"/>
        <w:bottom w:val="none" w:sz="0" w:space="0" w:color="auto"/>
        <w:right w:val="none" w:sz="0" w:space="0" w:color="auto"/>
      </w:divBdr>
      <w:divsChild>
        <w:div w:id="511576040">
          <w:marLeft w:val="446"/>
          <w:marRight w:val="0"/>
          <w:marTop w:val="0"/>
          <w:marBottom w:val="0"/>
          <w:divBdr>
            <w:top w:val="none" w:sz="0" w:space="0" w:color="auto"/>
            <w:left w:val="none" w:sz="0" w:space="0" w:color="auto"/>
            <w:bottom w:val="none" w:sz="0" w:space="0" w:color="auto"/>
            <w:right w:val="none" w:sz="0" w:space="0" w:color="auto"/>
          </w:divBdr>
        </w:div>
        <w:div w:id="1083647897">
          <w:marLeft w:val="446"/>
          <w:marRight w:val="0"/>
          <w:marTop w:val="0"/>
          <w:marBottom w:val="0"/>
          <w:divBdr>
            <w:top w:val="none" w:sz="0" w:space="0" w:color="auto"/>
            <w:left w:val="none" w:sz="0" w:space="0" w:color="auto"/>
            <w:bottom w:val="none" w:sz="0" w:space="0" w:color="auto"/>
            <w:right w:val="none" w:sz="0" w:space="0" w:color="auto"/>
          </w:divBdr>
        </w:div>
        <w:div w:id="2127501898">
          <w:marLeft w:val="446"/>
          <w:marRight w:val="0"/>
          <w:marTop w:val="0"/>
          <w:marBottom w:val="0"/>
          <w:divBdr>
            <w:top w:val="none" w:sz="0" w:space="0" w:color="auto"/>
            <w:left w:val="none" w:sz="0" w:space="0" w:color="auto"/>
            <w:bottom w:val="none" w:sz="0" w:space="0" w:color="auto"/>
            <w:right w:val="none" w:sz="0" w:space="0" w:color="auto"/>
          </w:divBdr>
        </w:div>
      </w:divsChild>
    </w:div>
    <w:div w:id="773863753">
      <w:bodyDiv w:val="1"/>
      <w:marLeft w:val="0"/>
      <w:marRight w:val="0"/>
      <w:marTop w:val="0"/>
      <w:marBottom w:val="0"/>
      <w:divBdr>
        <w:top w:val="none" w:sz="0" w:space="0" w:color="auto"/>
        <w:left w:val="none" w:sz="0" w:space="0" w:color="auto"/>
        <w:bottom w:val="none" w:sz="0" w:space="0" w:color="auto"/>
        <w:right w:val="none" w:sz="0" w:space="0" w:color="auto"/>
      </w:divBdr>
    </w:div>
    <w:div w:id="865338739">
      <w:bodyDiv w:val="1"/>
      <w:marLeft w:val="0"/>
      <w:marRight w:val="0"/>
      <w:marTop w:val="0"/>
      <w:marBottom w:val="0"/>
      <w:divBdr>
        <w:top w:val="none" w:sz="0" w:space="0" w:color="auto"/>
        <w:left w:val="none" w:sz="0" w:space="0" w:color="auto"/>
        <w:bottom w:val="none" w:sz="0" w:space="0" w:color="auto"/>
        <w:right w:val="none" w:sz="0" w:space="0" w:color="auto"/>
      </w:divBdr>
    </w:div>
    <w:div w:id="962729357">
      <w:bodyDiv w:val="1"/>
      <w:marLeft w:val="0"/>
      <w:marRight w:val="0"/>
      <w:marTop w:val="0"/>
      <w:marBottom w:val="0"/>
      <w:divBdr>
        <w:top w:val="none" w:sz="0" w:space="0" w:color="auto"/>
        <w:left w:val="none" w:sz="0" w:space="0" w:color="auto"/>
        <w:bottom w:val="none" w:sz="0" w:space="0" w:color="auto"/>
        <w:right w:val="none" w:sz="0" w:space="0" w:color="auto"/>
      </w:divBdr>
      <w:divsChild>
        <w:div w:id="176627525">
          <w:marLeft w:val="1080"/>
          <w:marRight w:val="0"/>
          <w:marTop w:val="100"/>
          <w:marBottom w:val="0"/>
          <w:divBdr>
            <w:top w:val="none" w:sz="0" w:space="0" w:color="auto"/>
            <w:left w:val="none" w:sz="0" w:space="0" w:color="auto"/>
            <w:bottom w:val="none" w:sz="0" w:space="0" w:color="auto"/>
            <w:right w:val="none" w:sz="0" w:space="0" w:color="auto"/>
          </w:divBdr>
        </w:div>
        <w:div w:id="235209232">
          <w:marLeft w:val="1080"/>
          <w:marRight w:val="0"/>
          <w:marTop w:val="100"/>
          <w:marBottom w:val="0"/>
          <w:divBdr>
            <w:top w:val="none" w:sz="0" w:space="0" w:color="auto"/>
            <w:left w:val="none" w:sz="0" w:space="0" w:color="auto"/>
            <w:bottom w:val="none" w:sz="0" w:space="0" w:color="auto"/>
            <w:right w:val="none" w:sz="0" w:space="0" w:color="auto"/>
          </w:divBdr>
        </w:div>
        <w:div w:id="419302030">
          <w:marLeft w:val="360"/>
          <w:marRight w:val="0"/>
          <w:marTop w:val="200"/>
          <w:marBottom w:val="0"/>
          <w:divBdr>
            <w:top w:val="none" w:sz="0" w:space="0" w:color="auto"/>
            <w:left w:val="none" w:sz="0" w:space="0" w:color="auto"/>
            <w:bottom w:val="none" w:sz="0" w:space="0" w:color="auto"/>
            <w:right w:val="none" w:sz="0" w:space="0" w:color="auto"/>
          </w:divBdr>
        </w:div>
        <w:div w:id="612712214">
          <w:marLeft w:val="360"/>
          <w:marRight w:val="0"/>
          <w:marTop w:val="200"/>
          <w:marBottom w:val="0"/>
          <w:divBdr>
            <w:top w:val="none" w:sz="0" w:space="0" w:color="auto"/>
            <w:left w:val="none" w:sz="0" w:space="0" w:color="auto"/>
            <w:bottom w:val="none" w:sz="0" w:space="0" w:color="auto"/>
            <w:right w:val="none" w:sz="0" w:space="0" w:color="auto"/>
          </w:divBdr>
        </w:div>
        <w:div w:id="1109735694">
          <w:marLeft w:val="1080"/>
          <w:marRight w:val="0"/>
          <w:marTop w:val="100"/>
          <w:marBottom w:val="0"/>
          <w:divBdr>
            <w:top w:val="none" w:sz="0" w:space="0" w:color="auto"/>
            <w:left w:val="none" w:sz="0" w:space="0" w:color="auto"/>
            <w:bottom w:val="none" w:sz="0" w:space="0" w:color="auto"/>
            <w:right w:val="none" w:sz="0" w:space="0" w:color="auto"/>
          </w:divBdr>
        </w:div>
        <w:div w:id="1230925987">
          <w:marLeft w:val="1080"/>
          <w:marRight w:val="0"/>
          <w:marTop w:val="100"/>
          <w:marBottom w:val="0"/>
          <w:divBdr>
            <w:top w:val="none" w:sz="0" w:space="0" w:color="auto"/>
            <w:left w:val="none" w:sz="0" w:space="0" w:color="auto"/>
            <w:bottom w:val="none" w:sz="0" w:space="0" w:color="auto"/>
            <w:right w:val="none" w:sz="0" w:space="0" w:color="auto"/>
          </w:divBdr>
        </w:div>
        <w:div w:id="1442455891">
          <w:marLeft w:val="360"/>
          <w:marRight w:val="0"/>
          <w:marTop w:val="200"/>
          <w:marBottom w:val="0"/>
          <w:divBdr>
            <w:top w:val="none" w:sz="0" w:space="0" w:color="auto"/>
            <w:left w:val="none" w:sz="0" w:space="0" w:color="auto"/>
            <w:bottom w:val="none" w:sz="0" w:space="0" w:color="auto"/>
            <w:right w:val="none" w:sz="0" w:space="0" w:color="auto"/>
          </w:divBdr>
        </w:div>
        <w:div w:id="1590692144">
          <w:marLeft w:val="1080"/>
          <w:marRight w:val="0"/>
          <w:marTop w:val="100"/>
          <w:marBottom w:val="0"/>
          <w:divBdr>
            <w:top w:val="none" w:sz="0" w:space="0" w:color="auto"/>
            <w:left w:val="none" w:sz="0" w:space="0" w:color="auto"/>
            <w:bottom w:val="none" w:sz="0" w:space="0" w:color="auto"/>
            <w:right w:val="none" w:sz="0" w:space="0" w:color="auto"/>
          </w:divBdr>
        </w:div>
        <w:div w:id="1703239106">
          <w:marLeft w:val="360"/>
          <w:marRight w:val="0"/>
          <w:marTop w:val="200"/>
          <w:marBottom w:val="0"/>
          <w:divBdr>
            <w:top w:val="none" w:sz="0" w:space="0" w:color="auto"/>
            <w:left w:val="none" w:sz="0" w:space="0" w:color="auto"/>
            <w:bottom w:val="none" w:sz="0" w:space="0" w:color="auto"/>
            <w:right w:val="none" w:sz="0" w:space="0" w:color="auto"/>
          </w:divBdr>
        </w:div>
        <w:div w:id="1717895524">
          <w:marLeft w:val="1080"/>
          <w:marRight w:val="0"/>
          <w:marTop w:val="100"/>
          <w:marBottom w:val="0"/>
          <w:divBdr>
            <w:top w:val="none" w:sz="0" w:space="0" w:color="auto"/>
            <w:left w:val="none" w:sz="0" w:space="0" w:color="auto"/>
            <w:bottom w:val="none" w:sz="0" w:space="0" w:color="auto"/>
            <w:right w:val="none" w:sz="0" w:space="0" w:color="auto"/>
          </w:divBdr>
        </w:div>
        <w:div w:id="1810398825">
          <w:marLeft w:val="1080"/>
          <w:marRight w:val="0"/>
          <w:marTop w:val="100"/>
          <w:marBottom w:val="0"/>
          <w:divBdr>
            <w:top w:val="none" w:sz="0" w:space="0" w:color="auto"/>
            <w:left w:val="none" w:sz="0" w:space="0" w:color="auto"/>
            <w:bottom w:val="none" w:sz="0" w:space="0" w:color="auto"/>
            <w:right w:val="none" w:sz="0" w:space="0" w:color="auto"/>
          </w:divBdr>
        </w:div>
        <w:div w:id="1824542216">
          <w:marLeft w:val="1080"/>
          <w:marRight w:val="0"/>
          <w:marTop w:val="100"/>
          <w:marBottom w:val="0"/>
          <w:divBdr>
            <w:top w:val="none" w:sz="0" w:space="0" w:color="auto"/>
            <w:left w:val="none" w:sz="0" w:space="0" w:color="auto"/>
            <w:bottom w:val="none" w:sz="0" w:space="0" w:color="auto"/>
            <w:right w:val="none" w:sz="0" w:space="0" w:color="auto"/>
          </w:divBdr>
        </w:div>
      </w:divsChild>
    </w:div>
    <w:div w:id="972053885">
      <w:bodyDiv w:val="1"/>
      <w:marLeft w:val="0"/>
      <w:marRight w:val="0"/>
      <w:marTop w:val="0"/>
      <w:marBottom w:val="0"/>
      <w:divBdr>
        <w:top w:val="none" w:sz="0" w:space="0" w:color="auto"/>
        <w:left w:val="none" w:sz="0" w:space="0" w:color="auto"/>
        <w:bottom w:val="none" w:sz="0" w:space="0" w:color="auto"/>
        <w:right w:val="none" w:sz="0" w:space="0" w:color="auto"/>
      </w:divBdr>
    </w:div>
    <w:div w:id="1093403645">
      <w:bodyDiv w:val="1"/>
      <w:marLeft w:val="0"/>
      <w:marRight w:val="0"/>
      <w:marTop w:val="0"/>
      <w:marBottom w:val="0"/>
      <w:divBdr>
        <w:top w:val="none" w:sz="0" w:space="0" w:color="auto"/>
        <w:left w:val="none" w:sz="0" w:space="0" w:color="auto"/>
        <w:bottom w:val="none" w:sz="0" w:space="0" w:color="auto"/>
        <w:right w:val="none" w:sz="0" w:space="0" w:color="auto"/>
      </w:divBdr>
      <w:divsChild>
        <w:div w:id="44987599">
          <w:marLeft w:val="360"/>
          <w:marRight w:val="0"/>
          <w:marTop w:val="200"/>
          <w:marBottom w:val="0"/>
          <w:divBdr>
            <w:top w:val="none" w:sz="0" w:space="0" w:color="auto"/>
            <w:left w:val="none" w:sz="0" w:space="0" w:color="auto"/>
            <w:bottom w:val="none" w:sz="0" w:space="0" w:color="auto"/>
            <w:right w:val="none" w:sz="0" w:space="0" w:color="auto"/>
          </w:divBdr>
        </w:div>
        <w:div w:id="1179809893">
          <w:marLeft w:val="360"/>
          <w:marRight w:val="0"/>
          <w:marTop w:val="200"/>
          <w:marBottom w:val="0"/>
          <w:divBdr>
            <w:top w:val="none" w:sz="0" w:space="0" w:color="auto"/>
            <w:left w:val="none" w:sz="0" w:space="0" w:color="auto"/>
            <w:bottom w:val="none" w:sz="0" w:space="0" w:color="auto"/>
            <w:right w:val="none" w:sz="0" w:space="0" w:color="auto"/>
          </w:divBdr>
        </w:div>
      </w:divsChild>
    </w:div>
    <w:div w:id="1137455191">
      <w:bodyDiv w:val="1"/>
      <w:marLeft w:val="0"/>
      <w:marRight w:val="0"/>
      <w:marTop w:val="0"/>
      <w:marBottom w:val="0"/>
      <w:divBdr>
        <w:top w:val="none" w:sz="0" w:space="0" w:color="auto"/>
        <w:left w:val="none" w:sz="0" w:space="0" w:color="auto"/>
        <w:bottom w:val="none" w:sz="0" w:space="0" w:color="auto"/>
        <w:right w:val="none" w:sz="0" w:space="0" w:color="auto"/>
      </w:divBdr>
    </w:div>
    <w:div w:id="1264142396">
      <w:bodyDiv w:val="1"/>
      <w:marLeft w:val="0"/>
      <w:marRight w:val="0"/>
      <w:marTop w:val="0"/>
      <w:marBottom w:val="0"/>
      <w:divBdr>
        <w:top w:val="none" w:sz="0" w:space="0" w:color="auto"/>
        <w:left w:val="none" w:sz="0" w:space="0" w:color="auto"/>
        <w:bottom w:val="none" w:sz="0" w:space="0" w:color="auto"/>
        <w:right w:val="none" w:sz="0" w:space="0" w:color="auto"/>
      </w:divBdr>
    </w:div>
    <w:div w:id="1344549282">
      <w:bodyDiv w:val="1"/>
      <w:marLeft w:val="0"/>
      <w:marRight w:val="0"/>
      <w:marTop w:val="0"/>
      <w:marBottom w:val="0"/>
      <w:divBdr>
        <w:top w:val="none" w:sz="0" w:space="0" w:color="auto"/>
        <w:left w:val="none" w:sz="0" w:space="0" w:color="auto"/>
        <w:bottom w:val="none" w:sz="0" w:space="0" w:color="auto"/>
        <w:right w:val="none" w:sz="0" w:space="0" w:color="auto"/>
      </w:divBdr>
    </w:div>
    <w:div w:id="1415009924">
      <w:bodyDiv w:val="1"/>
      <w:marLeft w:val="0"/>
      <w:marRight w:val="0"/>
      <w:marTop w:val="0"/>
      <w:marBottom w:val="0"/>
      <w:divBdr>
        <w:top w:val="none" w:sz="0" w:space="0" w:color="auto"/>
        <w:left w:val="none" w:sz="0" w:space="0" w:color="auto"/>
        <w:bottom w:val="none" w:sz="0" w:space="0" w:color="auto"/>
        <w:right w:val="none" w:sz="0" w:space="0" w:color="auto"/>
      </w:divBdr>
      <w:divsChild>
        <w:div w:id="79062202">
          <w:marLeft w:val="1080"/>
          <w:marRight w:val="0"/>
          <w:marTop w:val="100"/>
          <w:marBottom w:val="0"/>
          <w:divBdr>
            <w:top w:val="none" w:sz="0" w:space="0" w:color="auto"/>
            <w:left w:val="none" w:sz="0" w:space="0" w:color="auto"/>
            <w:bottom w:val="none" w:sz="0" w:space="0" w:color="auto"/>
            <w:right w:val="none" w:sz="0" w:space="0" w:color="auto"/>
          </w:divBdr>
        </w:div>
        <w:div w:id="432939962">
          <w:marLeft w:val="360"/>
          <w:marRight w:val="0"/>
          <w:marTop w:val="200"/>
          <w:marBottom w:val="0"/>
          <w:divBdr>
            <w:top w:val="none" w:sz="0" w:space="0" w:color="auto"/>
            <w:left w:val="none" w:sz="0" w:space="0" w:color="auto"/>
            <w:bottom w:val="none" w:sz="0" w:space="0" w:color="auto"/>
            <w:right w:val="none" w:sz="0" w:space="0" w:color="auto"/>
          </w:divBdr>
        </w:div>
        <w:div w:id="892816833">
          <w:marLeft w:val="1080"/>
          <w:marRight w:val="0"/>
          <w:marTop w:val="100"/>
          <w:marBottom w:val="0"/>
          <w:divBdr>
            <w:top w:val="none" w:sz="0" w:space="0" w:color="auto"/>
            <w:left w:val="none" w:sz="0" w:space="0" w:color="auto"/>
            <w:bottom w:val="none" w:sz="0" w:space="0" w:color="auto"/>
            <w:right w:val="none" w:sz="0" w:space="0" w:color="auto"/>
          </w:divBdr>
        </w:div>
        <w:div w:id="944071914">
          <w:marLeft w:val="1800"/>
          <w:marRight w:val="0"/>
          <w:marTop w:val="100"/>
          <w:marBottom w:val="0"/>
          <w:divBdr>
            <w:top w:val="none" w:sz="0" w:space="0" w:color="auto"/>
            <w:left w:val="none" w:sz="0" w:space="0" w:color="auto"/>
            <w:bottom w:val="none" w:sz="0" w:space="0" w:color="auto"/>
            <w:right w:val="none" w:sz="0" w:space="0" w:color="auto"/>
          </w:divBdr>
        </w:div>
        <w:div w:id="1244071953">
          <w:marLeft w:val="1800"/>
          <w:marRight w:val="0"/>
          <w:marTop w:val="100"/>
          <w:marBottom w:val="0"/>
          <w:divBdr>
            <w:top w:val="none" w:sz="0" w:space="0" w:color="auto"/>
            <w:left w:val="none" w:sz="0" w:space="0" w:color="auto"/>
            <w:bottom w:val="none" w:sz="0" w:space="0" w:color="auto"/>
            <w:right w:val="none" w:sz="0" w:space="0" w:color="auto"/>
          </w:divBdr>
        </w:div>
        <w:div w:id="1247349156">
          <w:marLeft w:val="1800"/>
          <w:marRight w:val="0"/>
          <w:marTop w:val="100"/>
          <w:marBottom w:val="0"/>
          <w:divBdr>
            <w:top w:val="none" w:sz="0" w:space="0" w:color="auto"/>
            <w:left w:val="none" w:sz="0" w:space="0" w:color="auto"/>
            <w:bottom w:val="none" w:sz="0" w:space="0" w:color="auto"/>
            <w:right w:val="none" w:sz="0" w:space="0" w:color="auto"/>
          </w:divBdr>
        </w:div>
        <w:div w:id="1643734594">
          <w:marLeft w:val="1800"/>
          <w:marRight w:val="0"/>
          <w:marTop w:val="100"/>
          <w:marBottom w:val="0"/>
          <w:divBdr>
            <w:top w:val="none" w:sz="0" w:space="0" w:color="auto"/>
            <w:left w:val="none" w:sz="0" w:space="0" w:color="auto"/>
            <w:bottom w:val="none" w:sz="0" w:space="0" w:color="auto"/>
            <w:right w:val="none" w:sz="0" w:space="0" w:color="auto"/>
          </w:divBdr>
        </w:div>
      </w:divsChild>
    </w:div>
    <w:div w:id="1574584054">
      <w:bodyDiv w:val="1"/>
      <w:marLeft w:val="0"/>
      <w:marRight w:val="0"/>
      <w:marTop w:val="0"/>
      <w:marBottom w:val="0"/>
      <w:divBdr>
        <w:top w:val="none" w:sz="0" w:space="0" w:color="auto"/>
        <w:left w:val="none" w:sz="0" w:space="0" w:color="auto"/>
        <w:bottom w:val="none" w:sz="0" w:space="0" w:color="auto"/>
        <w:right w:val="none" w:sz="0" w:space="0" w:color="auto"/>
      </w:divBdr>
    </w:div>
    <w:div w:id="1617983563">
      <w:bodyDiv w:val="1"/>
      <w:marLeft w:val="0"/>
      <w:marRight w:val="0"/>
      <w:marTop w:val="0"/>
      <w:marBottom w:val="0"/>
      <w:divBdr>
        <w:top w:val="none" w:sz="0" w:space="0" w:color="auto"/>
        <w:left w:val="none" w:sz="0" w:space="0" w:color="auto"/>
        <w:bottom w:val="none" w:sz="0" w:space="0" w:color="auto"/>
        <w:right w:val="none" w:sz="0" w:space="0" w:color="auto"/>
      </w:divBdr>
    </w:div>
    <w:div w:id="1659842086">
      <w:bodyDiv w:val="1"/>
      <w:marLeft w:val="0"/>
      <w:marRight w:val="0"/>
      <w:marTop w:val="0"/>
      <w:marBottom w:val="0"/>
      <w:divBdr>
        <w:top w:val="none" w:sz="0" w:space="0" w:color="auto"/>
        <w:left w:val="none" w:sz="0" w:space="0" w:color="auto"/>
        <w:bottom w:val="none" w:sz="0" w:space="0" w:color="auto"/>
        <w:right w:val="none" w:sz="0" w:space="0" w:color="auto"/>
      </w:divBdr>
    </w:div>
    <w:div w:id="1732342207">
      <w:bodyDiv w:val="1"/>
      <w:marLeft w:val="0"/>
      <w:marRight w:val="0"/>
      <w:marTop w:val="0"/>
      <w:marBottom w:val="0"/>
      <w:divBdr>
        <w:top w:val="none" w:sz="0" w:space="0" w:color="auto"/>
        <w:left w:val="none" w:sz="0" w:space="0" w:color="auto"/>
        <w:bottom w:val="none" w:sz="0" w:space="0" w:color="auto"/>
        <w:right w:val="none" w:sz="0" w:space="0" w:color="auto"/>
      </w:divBdr>
    </w:div>
    <w:div w:id="1770809746">
      <w:bodyDiv w:val="1"/>
      <w:marLeft w:val="0"/>
      <w:marRight w:val="0"/>
      <w:marTop w:val="0"/>
      <w:marBottom w:val="0"/>
      <w:divBdr>
        <w:top w:val="none" w:sz="0" w:space="0" w:color="auto"/>
        <w:left w:val="none" w:sz="0" w:space="0" w:color="auto"/>
        <w:bottom w:val="none" w:sz="0" w:space="0" w:color="auto"/>
        <w:right w:val="none" w:sz="0" w:space="0" w:color="auto"/>
      </w:divBdr>
    </w:div>
    <w:div w:id="1829634298">
      <w:bodyDiv w:val="1"/>
      <w:marLeft w:val="0"/>
      <w:marRight w:val="0"/>
      <w:marTop w:val="0"/>
      <w:marBottom w:val="0"/>
      <w:divBdr>
        <w:top w:val="none" w:sz="0" w:space="0" w:color="auto"/>
        <w:left w:val="none" w:sz="0" w:space="0" w:color="auto"/>
        <w:bottom w:val="none" w:sz="0" w:space="0" w:color="auto"/>
        <w:right w:val="none" w:sz="0" w:space="0" w:color="auto"/>
      </w:divBdr>
    </w:div>
    <w:div w:id="1848405066">
      <w:bodyDiv w:val="1"/>
      <w:marLeft w:val="0"/>
      <w:marRight w:val="0"/>
      <w:marTop w:val="0"/>
      <w:marBottom w:val="0"/>
      <w:divBdr>
        <w:top w:val="none" w:sz="0" w:space="0" w:color="auto"/>
        <w:left w:val="none" w:sz="0" w:space="0" w:color="auto"/>
        <w:bottom w:val="none" w:sz="0" w:space="0" w:color="auto"/>
        <w:right w:val="none" w:sz="0" w:space="0" w:color="auto"/>
      </w:divBdr>
      <w:divsChild>
        <w:div w:id="48380165">
          <w:marLeft w:val="360"/>
          <w:marRight w:val="0"/>
          <w:marTop w:val="200"/>
          <w:marBottom w:val="0"/>
          <w:divBdr>
            <w:top w:val="none" w:sz="0" w:space="0" w:color="auto"/>
            <w:left w:val="none" w:sz="0" w:space="0" w:color="auto"/>
            <w:bottom w:val="none" w:sz="0" w:space="0" w:color="auto"/>
            <w:right w:val="none" w:sz="0" w:space="0" w:color="auto"/>
          </w:divBdr>
        </w:div>
        <w:div w:id="386536819">
          <w:marLeft w:val="1080"/>
          <w:marRight w:val="0"/>
          <w:marTop w:val="100"/>
          <w:marBottom w:val="0"/>
          <w:divBdr>
            <w:top w:val="none" w:sz="0" w:space="0" w:color="auto"/>
            <w:left w:val="none" w:sz="0" w:space="0" w:color="auto"/>
            <w:bottom w:val="none" w:sz="0" w:space="0" w:color="auto"/>
            <w:right w:val="none" w:sz="0" w:space="0" w:color="auto"/>
          </w:divBdr>
        </w:div>
        <w:div w:id="853112356">
          <w:marLeft w:val="360"/>
          <w:marRight w:val="0"/>
          <w:marTop w:val="200"/>
          <w:marBottom w:val="0"/>
          <w:divBdr>
            <w:top w:val="none" w:sz="0" w:space="0" w:color="auto"/>
            <w:left w:val="none" w:sz="0" w:space="0" w:color="auto"/>
            <w:bottom w:val="none" w:sz="0" w:space="0" w:color="auto"/>
            <w:right w:val="none" w:sz="0" w:space="0" w:color="auto"/>
          </w:divBdr>
        </w:div>
        <w:div w:id="1079911013">
          <w:marLeft w:val="360"/>
          <w:marRight w:val="0"/>
          <w:marTop w:val="200"/>
          <w:marBottom w:val="0"/>
          <w:divBdr>
            <w:top w:val="none" w:sz="0" w:space="0" w:color="auto"/>
            <w:left w:val="none" w:sz="0" w:space="0" w:color="auto"/>
            <w:bottom w:val="none" w:sz="0" w:space="0" w:color="auto"/>
            <w:right w:val="none" w:sz="0" w:space="0" w:color="auto"/>
          </w:divBdr>
        </w:div>
        <w:div w:id="1162156995">
          <w:marLeft w:val="1080"/>
          <w:marRight w:val="0"/>
          <w:marTop w:val="100"/>
          <w:marBottom w:val="0"/>
          <w:divBdr>
            <w:top w:val="none" w:sz="0" w:space="0" w:color="auto"/>
            <w:left w:val="none" w:sz="0" w:space="0" w:color="auto"/>
            <w:bottom w:val="none" w:sz="0" w:space="0" w:color="auto"/>
            <w:right w:val="none" w:sz="0" w:space="0" w:color="auto"/>
          </w:divBdr>
        </w:div>
        <w:div w:id="1173295745">
          <w:marLeft w:val="360"/>
          <w:marRight w:val="0"/>
          <w:marTop w:val="200"/>
          <w:marBottom w:val="0"/>
          <w:divBdr>
            <w:top w:val="none" w:sz="0" w:space="0" w:color="auto"/>
            <w:left w:val="none" w:sz="0" w:space="0" w:color="auto"/>
            <w:bottom w:val="none" w:sz="0" w:space="0" w:color="auto"/>
            <w:right w:val="none" w:sz="0" w:space="0" w:color="auto"/>
          </w:divBdr>
        </w:div>
        <w:div w:id="1554384614">
          <w:marLeft w:val="360"/>
          <w:marRight w:val="0"/>
          <w:marTop w:val="200"/>
          <w:marBottom w:val="0"/>
          <w:divBdr>
            <w:top w:val="none" w:sz="0" w:space="0" w:color="auto"/>
            <w:left w:val="none" w:sz="0" w:space="0" w:color="auto"/>
            <w:bottom w:val="none" w:sz="0" w:space="0" w:color="auto"/>
            <w:right w:val="none" w:sz="0" w:space="0" w:color="auto"/>
          </w:divBdr>
        </w:div>
        <w:div w:id="1604923731">
          <w:marLeft w:val="1080"/>
          <w:marRight w:val="0"/>
          <w:marTop w:val="100"/>
          <w:marBottom w:val="0"/>
          <w:divBdr>
            <w:top w:val="none" w:sz="0" w:space="0" w:color="auto"/>
            <w:left w:val="none" w:sz="0" w:space="0" w:color="auto"/>
            <w:bottom w:val="none" w:sz="0" w:space="0" w:color="auto"/>
            <w:right w:val="none" w:sz="0" w:space="0" w:color="auto"/>
          </w:divBdr>
        </w:div>
        <w:div w:id="1762943845">
          <w:marLeft w:val="1080"/>
          <w:marRight w:val="0"/>
          <w:marTop w:val="100"/>
          <w:marBottom w:val="0"/>
          <w:divBdr>
            <w:top w:val="none" w:sz="0" w:space="0" w:color="auto"/>
            <w:left w:val="none" w:sz="0" w:space="0" w:color="auto"/>
            <w:bottom w:val="none" w:sz="0" w:space="0" w:color="auto"/>
            <w:right w:val="none" w:sz="0" w:space="0" w:color="auto"/>
          </w:divBdr>
        </w:div>
        <w:div w:id="1989092634">
          <w:marLeft w:val="1080"/>
          <w:marRight w:val="0"/>
          <w:marTop w:val="100"/>
          <w:marBottom w:val="0"/>
          <w:divBdr>
            <w:top w:val="none" w:sz="0" w:space="0" w:color="auto"/>
            <w:left w:val="none" w:sz="0" w:space="0" w:color="auto"/>
            <w:bottom w:val="none" w:sz="0" w:space="0" w:color="auto"/>
            <w:right w:val="none" w:sz="0" w:space="0" w:color="auto"/>
          </w:divBdr>
        </w:div>
        <w:div w:id="2064911726">
          <w:marLeft w:val="1080"/>
          <w:marRight w:val="0"/>
          <w:marTop w:val="100"/>
          <w:marBottom w:val="0"/>
          <w:divBdr>
            <w:top w:val="none" w:sz="0" w:space="0" w:color="auto"/>
            <w:left w:val="none" w:sz="0" w:space="0" w:color="auto"/>
            <w:bottom w:val="none" w:sz="0" w:space="0" w:color="auto"/>
            <w:right w:val="none" w:sz="0" w:space="0" w:color="auto"/>
          </w:divBdr>
        </w:div>
      </w:divsChild>
    </w:div>
    <w:div w:id="1915044283">
      <w:bodyDiv w:val="1"/>
      <w:marLeft w:val="0"/>
      <w:marRight w:val="0"/>
      <w:marTop w:val="0"/>
      <w:marBottom w:val="0"/>
      <w:divBdr>
        <w:top w:val="none" w:sz="0" w:space="0" w:color="auto"/>
        <w:left w:val="none" w:sz="0" w:space="0" w:color="auto"/>
        <w:bottom w:val="none" w:sz="0" w:space="0" w:color="auto"/>
        <w:right w:val="none" w:sz="0" w:space="0" w:color="auto"/>
      </w:divBdr>
    </w:div>
    <w:div w:id="1951618456">
      <w:bodyDiv w:val="1"/>
      <w:marLeft w:val="0"/>
      <w:marRight w:val="0"/>
      <w:marTop w:val="0"/>
      <w:marBottom w:val="0"/>
      <w:divBdr>
        <w:top w:val="none" w:sz="0" w:space="0" w:color="auto"/>
        <w:left w:val="none" w:sz="0" w:space="0" w:color="auto"/>
        <w:bottom w:val="none" w:sz="0" w:space="0" w:color="auto"/>
        <w:right w:val="none" w:sz="0" w:space="0" w:color="auto"/>
      </w:divBdr>
    </w:div>
    <w:div w:id="1962028468">
      <w:bodyDiv w:val="1"/>
      <w:marLeft w:val="0"/>
      <w:marRight w:val="0"/>
      <w:marTop w:val="0"/>
      <w:marBottom w:val="0"/>
      <w:divBdr>
        <w:top w:val="none" w:sz="0" w:space="0" w:color="auto"/>
        <w:left w:val="none" w:sz="0" w:space="0" w:color="auto"/>
        <w:bottom w:val="none" w:sz="0" w:space="0" w:color="auto"/>
        <w:right w:val="none" w:sz="0" w:space="0" w:color="auto"/>
      </w:divBdr>
    </w:div>
    <w:div w:id="2018925488">
      <w:bodyDiv w:val="1"/>
      <w:marLeft w:val="0"/>
      <w:marRight w:val="0"/>
      <w:marTop w:val="0"/>
      <w:marBottom w:val="0"/>
      <w:divBdr>
        <w:top w:val="none" w:sz="0" w:space="0" w:color="auto"/>
        <w:left w:val="none" w:sz="0" w:space="0" w:color="auto"/>
        <w:bottom w:val="none" w:sz="0" w:space="0" w:color="auto"/>
        <w:right w:val="none" w:sz="0" w:space="0" w:color="auto"/>
      </w:divBdr>
    </w:div>
    <w:div w:id="214738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la.com.au/meat-safety-and-traceability/red-meat-integrity-system/" TargetMode="External"/><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hyperlink" Target="https://www.foodstandards.gov.au/industry/safetystandards/traceability/Pages/default.aspx"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emf"/><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9.emf"/><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www.mla.com.au/globalassets/mla-corporate/prices--markets/documents/os-markets/red-meat-market-snapshots/2021/global-sheep-industry-and-trade-report.pdf" TargetMode="External"/><Relationship Id="rId27"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jp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foodstandards.gov.au/industry/safetystandards/traceability/Pages/default.aspx"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oleObject" Target="embeddings/oleObject2.bin"/><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foodstandards.gov.au/industry/foodrecalls/pages/default.aspx" TargetMode="External"/><Relationship Id="rId28" Type="http://schemas.openxmlformats.org/officeDocument/2006/relationships/image" Target="media/image8.png"/><Relationship Id="rId36" Type="http://schemas.openxmlformats.org/officeDocument/2006/relationships/image" Target="media/image15.jp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jp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3.jpeg"/><Relationship Id="rId7" Type="http://schemas.openxmlformats.org/officeDocument/2006/relationships/styles" Target="styles.xml"/><Relationship Id="rId71" Type="http://schemas.openxmlformats.org/officeDocument/2006/relationships/image" Target="media/image49.png"/></Relationships>
</file>

<file path=word/_rels/footnotes.xml.rels><?xml version="1.0" encoding="UTF-8" standalone="yes"?>
<Relationships xmlns="http://schemas.openxmlformats.org/package/2006/relationships"><Relationship Id="rId3" Type="http://schemas.openxmlformats.org/officeDocument/2006/relationships/hyperlink" Target="https://papers.ssrn.com/sol3/papers.cfm?abstract_id=315882" TargetMode="External"/><Relationship Id="rId2" Type="http://schemas.openxmlformats.org/officeDocument/2006/relationships/hyperlink" Target="https://www.angusaustralia.com.au/breeding/animal-selection/angus-heiferselect/" TargetMode="External"/><Relationship Id="rId1" Type="http://schemas.openxmlformats.org/officeDocument/2006/relationships/hyperlink" Target="https://doi.org/10.1111/j.1751-0813.2011.00852.x" TargetMode="External"/><Relationship Id="rId4" Type="http://schemas.openxmlformats.org/officeDocument/2006/relationships/hyperlink" Target="https://doi.org/10.1038/nrg2575" TargetMode="External"/></Relationships>
</file>

<file path=word/theme/theme1.xml><?xml version="1.0" encoding="utf-8"?>
<a:theme xmlns:a="http://schemas.openxmlformats.org/drawingml/2006/main" name="Wisp">
  <a:themeElements>
    <a:clrScheme name="Custom 3">
      <a:dk1>
        <a:sysClr val="windowText" lastClr="000000"/>
      </a:dk1>
      <a:lt1>
        <a:sysClr val="window" lastClr="FFFFFF"/>
      </a:lt1>
      <a:dk2>
        <a:srgbClr val="455F51"/>
      </a:dk2>
      <a:lt2>
        <a:srgbClr val="E3DED1"/>
      </a:lt2>
      <a:accent1>
        <a:srgbClr val="2A4F1C"/>
      </a:accent1>
      <a:accent2>
        <a:srgbClr val="3F762A"/>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1DBBAAFF8F234786F3FE35C2C55285" ma:contentTypeVersion="36" ma:contentTypeDescription="Create a new document." ma:contentTypeScope="" ma:versionID="94cf037de85f23fcc1b7ba337ec3b15e">
  <xsd:schema xmlns:xsd="http://www.w3.org/2001/XMLSchema" xmlns:xs="http://www.w3.org/2001/XMLSchema" xmlns:p="http://schemas.microsoft.com/office/2006/metadata/properties" xmlns:ns1="http://schemas.microsoft.com/sharepoint/v3" xmlns:ns2="812f1821-9b08-4c39-99da-29d577233d6f" xmlns:ns3="4b62e893-22f0-4291-b835-e3dda2a89aab" xmlns:ns4="406d9aec-898d-46cb-bf31-c4360018fedc" xmlns:ns5="http://schemas.microsoft.com/sharepoint/v4" targetNamespace="http://schemas.microsoft.com/office/2006/metadata/properties" ma:root="true" ma:fieldsID="64414e7eefab2bd3d3125ffea51f8a24" ns1:_="" ns2:_="" ns3:_="" ns4:_="" ns5:_="">
    <xsd:import namespace="http://schemas.microsoft.com/sharepoint/v3"/>
    <xsd:import namespace="812f1821-9b08-4c39-99da-29d577233d6f"/>
    <xsd:import namespace="4b62e893-22f0-4291-b835-e3dda2a89aab"/>
    <xsd:import namespace="406d9aec-898d-46cb-bf31-c4360018fedc"/>
    <xsd:import namespace="http://schemas.microsoft.com/sharepoint/v4"/>
    <xsd:element name="properties">
      <xsd:complexType>
        <xsd:sequence>
          <xsd:element name="documentManagement">
            <xsd:complexType>
              <xsd:all>
                <xsd:element ref="ns2:Description0" minOccurs="0"/>
                <xsd:element ref="ns2:Notes" minOccurs="0"/>
                <xsd:element ref="ns3:Original_x0020_Created" minOccurs="0"/>
                <xsd:element ref="ns3:Original_x0020_Modified" minOccurs="0"/>
                <xsd:element ref="ns3:Attach_x0020_Count" minOccurs="0"/>
                <xsd:element ref="ns3:Original_x0020_Author" minOccurs="0"/>
                <xsd:element ref="ns3:Importance" minOccurs="0"/>
                <xsd:element ref="ns3:Message_x0020_ID" minOccurs="0"/>
                <xsd:element ref="ns3:BCC" minOccurs="0"/>
                <xsd:element ref="ns3:CC" minOccurs="0"/>
                <xsd:element ref="ns3:Original_x0020_Producer" minOccurs="0"/>
                <xsd:element ref="ns3:Received_x0020_Time" minOccurs="0"/>
                <xsd:element ref="ns3:Sensitivity" minOccurs="0"/>
                <xsd:element ref="ns3:Sent_x0020_On" minOccurs="0"/>
                <xsd:element ref="ns3:To" minOccurs="0"/>
                <xsd:element ref="ns4:_dlc_DocId" minOccurs="0"/>
                <xsd:element ref="ns4:_dlc_DocIdUrl" minOccurs="0"/>
                <xsd:element ref="ns4:_dlc_DocIdPersistI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DateTaken" minOccurs="0"/>
                <xsd:element ref="ns3:Conversation_x0020_Topic" minOccurs="0"/>
                <xsd:element ref="ns3:From1" minOccurs="0"/>
                <xsd:element ref="ns5:IconOverlay" minOccurs="0"/>
                <xsd:element ref="ns1:_vti_ItemDeclaredRecord" minOccurs="0"/>
                <xsd:element ref="ns1:_vti_ItemHoldRecordStatu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6" nillable="true" ma:displayName="Declared Record" ma:hidden="true" ma:internalName="_vti_ItemDeclaredRecord" ma:readOnly="true">
      <xsd:simpleType>
        <xsd:restriction base="dms:DateTime"/>
      </xsd:simpleType>
    </xsd:element>
    <xsd:element name="_vti_ItemHoldRecordStatus" ma:index="37"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2f1821-9b08-4c39-99da-29d577233d6f" elementFormDefault="qualified">
    <xsd:import namespace="http://schemas.microsoft.com/office/2006/documentManagement/types"/>
    <xsd:import namespace="http://schemas.microsoft.com/office/infopath/2007/PartnerControls"/>
    <xsd:element name="Description0" ma:index="1" nillable="true" ma:displayName="Description" ma:internalName="Description0" ma:readOnly="false">
      <xsd:simpleType>
        <xsd:restriction base="dms:Note">
          <xsd:maxLength value="255"/>
        </xsd:restriction>
      </xsd:simpleType>
    </xsd:element>
    <xsd:element name="Notes" ma:index="2" nillable="true" ma:displayName="BSO notes" ma:format="Dropdown" ma:internalName="Notes" ma:readOnly="false">
      <xsd:simpleType>
        <xsd:restriction base="dms:Note">
          <xsd:maxLength value="255"/>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38" nillable="true" ma:displayName="Tags" ma:hidden="true" ma:internalName="MediaServiceAutoTags" ma:readOnly="true">
      <xsd:simpleType>
        <xsd:restriction base="dms:Text"/>
      </xsd:simpleType>
    </xsd:element>
    <xsd:element name="MediaServiceOCR" ma:index="39" nillable="true" ma:displayName="Extracted Text" ma:hidden="true" ma:internalName="MediaServiceOCR" ma:readOnly="true">
      <xsd:simpleType>
        <xsd:restriction base="dms:Note"/>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Location" ma:index="42" nillable="true" ma:displayName="Location" ma:hidden="true" ma:internalName="MediaServiceLocation" ma:readOnly="true">
      <xsd:simpleType>
        <xsd:restriction base="dms:Text"/>
      </xsd:simpleType>
    </xsd:element>
    <xsd:element name="MediaLengthInSeconds" ma:index="4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62e893-22f0-4291-b835-e3dda2a89aab" elementFormDefault="qualified">
    <xsd:import namespace="http://schemas.microsoft.com/office/2006/documentManagement/types"/>
    <xsd:import namespace="http://schemas.microsoft.com/office/infopath/2007/PartnerControls"/>
    <xsd:element name="Original_x0020_Created" ma:index="3" nillable="true" ma:displayName="Original Created" ma:format="DateTime" ma:hidden="true" ma:internalName="Original_x0020_Created" ma:readOnly="false">
      <xsd:simpleType>
        <xsd:restriction base="dms:DateTime"/>
      </xsd:simpleType>
    </xsd:element>
    <xsd:element name="Original_x0020_Modified" ma:index="4" nillable="true" ma:displayName="Original Modified" ma:format="DateTime" ma:hidden="true" ma:internalName="Original_x0020_Modified" ma:readOnly="false">
      <xsd:simpleType>
        <xsd:restriction base="dms:DateTime"/>
      </xsd:simpleType>
    </xsd:element>
    <xsd:element name="Attach_x0020_Count" ma:index="5" nillable="true" ma:displayName="Attach Count" ma:hidden="true" ma:internalName="Attach_x0020_Count" ma:readOnly="false">
      <xsd:simpleType>
        <xsd:restriction base="dms:Text">
          <xsd:maxLength value="255"/>
        </xsd:restriction>
      </xsd:simpleType>
    </xsd:element>
    <xsd:element name="Original_x0020_Author" ma:index="6" nillable="true" ma:displayName="Original Author" ma:hidden="true" ma:internalName="Original_x0020_Author" ma:readOnly="false">
      <xsd:simpleType>
        <xsd:restriction base="dms:Text">
          <xsd:maxLength value="255"/>
        </xsd:restriction>
      </xsd:simpleType>
    </xsd:element>
    <xsd:element name="Importance" ma:index="7" nillable="true" ma:displayName="Importance" ma:hidden="true" ma:internalName="Importance" ma:readOnly="false">
      <xsd:simpleType>
        <xsd:restriction base="dms:Text">
          <xsd:maxLength value="255"/>
        </xsd:restriction>
      </xsd:simpleType>
    </xsd:element>
    <xsd:element name="Message_x0020_ID" ma:index="8" nillable="true" ma:displayName="Message ID" ma:hidden="true" ma:internalName="Message_x0020_ID" ma:readOnly="false">
      <xsd:simpleType>
        <xsd:restriction base="dms:Text">
          <xsd:maxLength value="255"/>
        </xsd:restriction>
      </xsd:simpleType>
    </xsd:element>
    <xsd:element name="BCC" ma:index="10" nillable="true" ma:displayName="BCC" ma:hidden="true" ma:internalName="BCC" ma:readOnly="false">
      <xsd:simpleType>
        <xsd:restriction base="dms:Text">
          <xsd:maxLength value="255"/>
        </xsd:restriction>
      </xsd:simpleType>
    </xsd:element>
    <xsd:element name="CC" ma:index="11" nillable="true" ma:displayName="CC" ma:hidden="true" ma:internalName="CC" ma:readOnly="false">
      <xsd:simpleType>
        <xsd:restriction base="dms:Text">
          <xsd:maxLength value="255"/>
        </xsd:restriction>
      </xsd:simpleType>
    </xsd:element>
    <xsd:element name="Original_x0020_Producer" ma:index="12" nillable="true" ma:displayName="Original Producer" ma:hidden="true" ma:internalName="Original_x0020_Producer" ma:readOnly="false">
      <xsd:simpleType>
        <xsd:restriction base="dms:Text">
          <xsd:maxLength value="255"/>
        </xsd:restriction>
      </xsd:simpleType>
    </xsd:element>
    <xsd:element name="Received_x0020_Time" ma:index="13" nillable="true" ma:displayName="Received Time" ma:format="DateTime" ma:hidden="true" ma:internalName="Received_x0020_Time" ma:readOnly="false">
      <xsd:simpleType>
        <xsd:restriction base="dms:DateTime"/>
      </xsd:simpleType>
    </xsd:element>
    <xsd:element name="Sensitivity" ma:index="14" nillable="true" ma:displayName="Sensitivity" ma:hidden="true" ma:internalName="Sensitivity" ma:readOnly="false">
      <xsd:simpleType>
        <xsd:restriction base="dms:Text">
          <xsd:maxLength value="255"/>
        </xsd:restriction>
      </xsd:simpleType>
    </xsd:element>
    <xsd:element name="Sent_x0020_On" ma:index="15" nillable="true" ma:displayName="Sent On" ma:format="DateTime" ma:hidden="true" ma:internalName="Sent_x0020_On" ma:readOnly="false">
      <xsd:simpleType>
        <xsd:restriction base="dms:DateTime"/>
      </xsd:simpleType>
    </xsd:element>
    <xsd:element name="To" ma:index="16" nillable="true" ma:displayName="To" ma:hidden="true" ma:internalName="To" ma:readOnly="false">
      <xsd:simpleType>
        <xsd:restriction base="dms:Text">
          <xsd:maxLength value="255"/>
        </xsd:restriction>
      </xsd:simpleType>
    </xsd:element>
    <xsd:element name="Conversation_x0020_Topic" ma:index="33" nillable="true" ma:displayName="Conversation Topic" ma:hidden="true" ma:internalName="Conversation_x0020_Topic" ma:readOnly="false">
      <xsd:simpleType>
        <xsd:restriction base="dms:Text">
          <xsd:maxLength value="255"/>
        </xsd:restriction>
      </xsd:simpleType>
    </xsd:element>
    <xsd:element name="From1" ma:index="34" nillable="true" ma:displayName="From" ma:hidden="true" ma:internalName="From1"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6d9aec-898d-46cb-bf31-c4360018fedc"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hidden="true" ma:internalName="_dlc_DocId" ma:readOnly="false">
      <xsd:simpleType>
        <xsd:restriction base="dms:Text"/>
      </xsd:simpleType>
    </xsd:element>
    <xsd:element name="_dlc_DocIdUrl" ma:index="2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false">
      <xsd:simpleType>
        <xsd:restriction base="dms:Boolean"/>
      </xsd:simpleType>
    </xsd:element>
    <xsd:element name="SharedWithUsers" ma:index="2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5"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812f1821-9b08-4c39-99da-29d577233d6f" xsi:nil="true"/>
    <Original_x0020_Created xmlns="4b62e893-22f0-4291-b835-e3dda2a89aab" xsi:nil="true"/>
    <Sent_x0020_On xmlns="4b62e893-22f0-4291-b835-e3dda2a89aab" xsi:nil="true"/>
    <Original_x0020_Author xmlns="4b62e893-22f0-4291-b835-e3dda2a89aab" xsi:nil="true"/>
    <Attach_x0020_Count xmlns="4b62e893-22f0-4291-b835-e3dda2a89aab" xsi:nil="true"/>
    <BCC xmlns="4b62e893-22f0-4291-b835-e3dda2a89aab" xsi:nil="true"/>
    <Sensitivity xmlns="4b62e893-22f0-4291-b835-e3dda2a89aab" xsi:nil="true"/>
    <IconOverlay xmlns="http://schemas.microsoft.com/sharepoint/v4" xsi:nil="true"/>
    <To xmlns="4b62e893-22f0-4291-b835-e3dda2a89aab" xsi:nil="true"/>
    <Conversation_x0020_Topic xmlns="4b62e893-22f0-4291-b835-e3dda2a89aab" xsi:nil="true"/>
    <Original_x0020_Modified xmlns="4b62e893-22f0-4291-b835-e3dda2a89aab" xsi:nil="true"/>
    <CC xmlns="4b62e893-22f0-4291-b835-e3dda2a89aab" xsi:nil="true"/>
    <Importance xmlns="4b62e893-22f0-4291-b835-e3dda2a89aab" xsi:nil="true"/>
    <_dlc_DocIdPersistId xmlns="406d9aec-898d-46cb-bf31-c4360018fedc" xsi:nil="true"/>
    <Original_x0020_Producer xmlns="4b62e893-22f0-4291-b835-e3dda2a89aab" xsi:nil="true"/>
    <Notes xmlns="812f1821-9b08-4c39-99da-29d577233d6f" xsi:nil="true"/>
    <Message_x0020_ID xmlns="4b62e893-22f0-4291-b835-e3dda2a89aab" xsi:nil="true"/>
    <Received_x0020_Time xmlns="4b62e893-22f0-4291-b835-e3dda2a89aab" xsi:nil="true"/>
    <_dlc_DocIdUrl xmlns="406d9aec-898d-46cb-bf31-c4360018fedc">
      <Url>https://mlaus.sharepoint.com/sites/CRM/_layouts/15/DocIdRedir.aspx?ID=PCFZEUR3HMRA-582714330-454980</Url>
      <Description>PCFZEUR3HMRA-582714330-454980</Description>
    </_dlc_DocIdUrl>
    <_dlc_DocId xmlns="406d9aec-898d-46cb-bf31-c4360018fedc">PCFZEUR3HMRA-582714330-454980</_dlc_DocId>
    <From1 xmlns="4b62e893-22f0-4291-b835-e3dda2a89aa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CF2044-D0CD-4DE4-928B-C015EA2B5F66}">
  <ds:schemaRefs>
    <ds:schemaRef ds:uri="http://schemas.openxmlformats.org/officeDocument/2006/bibliography"/>
  </ds:schemaRefs>
</ds:datastoreItem>
</file>

<file path=customXml/itemProps2.xml><?xml version="1.0" encoding="utf-8"?>
<ds:datastoreItem xmlns:ds="http://schemas.openxmlformats.org/officeDocument/2006/customXml" ds:itemID="{A683E771-48A2-4F57-94E2-3F954A08F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2f1821-9b08-4c39-99da-29d577233d6f"/>
    <ds:schemaRef ds:uri="4b62e893-22f0-4291-b835-e3dda2a89aab"/>
    <ds:schemaRef ds:uri="406d9aec-898d-46cb-bf31-c4360018fed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646038-154E-4DC3-B588-88325D426B93}">
  <ds:schemaRefs>
    <ds:schemaRef ds:uri="http://schemas.microsoft.com/office/2006/metadata/properties"/>
    <ds:schemaRef ds:uri="http://schemas.microsoft.com/office/infopath/2007/PartnerControls"/>
    <ds:schemaRef ds:uri="812f1821-9b08-4c39-99da-29d577233d6f"/>
    <ds:schemaRef ds:uri="4b62e893-22f0-4291-b835-e3dda2a89aab"/>
    <ds:schemaRef ds:uri="http://schemas.microsoft.com/sharepoint/v4"/>
    <ds:schemaRef ds:uri="406d9aec-898d-46cb-bf31-c4360018fedc"/>
  </ds:schemaRefs>
</ds:datastoreItem>
</file>

<file path=customXml/itemProps4.xml><?xml version="1.0" encoding="utf-8"?>
<ds:datastoreItem xmlns:ds="http://schemas.openxmlformats.org/officeDocument/2006/customXml" ds:itemID="{44B391E7-01B7-43A9-855E-2C97261A17BA}">
  <ds:schemaRefs>
    <ds:schemaRef ds:uri="http://schemas.microsoft.com/sharepoint/v3/contenttype/forms"/>
  </ds:schemaRefs>
</ds:datastoreItem>
</file>

<file path=customXml/itemProps5.xml><?xml version="1.0" encoding="utf-8"?>
<ds:datastoreItem xmlns:ds="http://schemas.openxmlformats.org/officeDocument/2006/customXml" ds:itemID="{D062E70F-3A7C-4DBB-ACDC-A03C4F0AC0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29243</Words>
  <Characters>166686</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2022-04-07T01:29:00Z</dcterms:created>
  <dcterms:modified xsi:type="dcterms:W3CDTF">2022-04-07T03:34:00Z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0x010100771DBBAAFF8F234786F3FE35C2C55285</vt:lpwstr>
  </property>
  <property fmtid="{D5CDD505-2E9C-101B-9397-08002B2CF9AE}" pid="3" name="_dlc_DocIdItemGuid">
    <vt:lpwstr>2f347837-5aef-4692-9bfd-9b7520b2c561</vt:lpwstr>
  </property>
</Properties>
</file>