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3545C" w14:textId="30EA5DDA" w:rsidR="00591951" w:rsidRPr="00820972" w:rsidRDefault="00143FD4" w:rsidP="00717769">
      <w:pPr>
        <w:pStyle w:val="coveraddresses"/>
        <w:rPr>
          <w:rStyle w:val="FootnoteReference"/>
          <w:rFonts w:ascii="Open Sans" w:hAnsi="Open Sans" w:cs="Open Sans"/>
          <w:sz w:val="24"/>
        </w:rPr>
      </w:pPr>
      <w:r>
        <w:rPr>
          <w:rFonts w:cs="Open Sans"/>
          <w:noProof/>
        </w:rPr>
        <w:drawing>
          <wp:anchor distT="0" distB="0" distL="114300" distR="114300" simplePos="0" relativeHeight="251658240" behindDoc="1" locked="0" layoutInCell="1" allowOverlap="1" wp14:anchorId="6045924F" wp14:editId="79B4F88D">
            <wp:simplePos x="0" y="0"/>
            <wp:positionH relativeFrom="column">
              <wp:posOffset>-932815</wp:posOffset>
            </wp:positionH>
            <wp:positionV relativeFrom="paragraph">
              <wp:posOffset>-1464310</wp:posOffset>
            </wp:positionV>
            <wp:extent cx="7603299" cy="10667737"/>
            <wp:effectExtent l="0" t="0" r="4445" b="635"/>
            <wp:wrapNone/>
            <wp:docPr id="2" name="Immagine 2" descr="Cover title: Guidelines on the rights of people with disability in health and disability care during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Cover title: Guidelines on the rights of people with disability in health and disability care during COVID-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03299" cy="10667737"/>
                    </a:xfrm>
                    <a:prstGeom prst="rect">
                      <a:avLst/>
                    </a:prstGeom>
                  </pic:spPr>
                </pic:pic>
              </a:graphicData>
            </a:graphic>
            <wp14:sizeRelH relativeFrom="margin">
              <wp14:pctWidth>0</wp14:pctWidth>
            </wp14:sizeRelH>
            <wp14:sizeRelV relativeFrom="margin">
              <wp14:pctHeight>0</wp14:pctHeight>
            </wp14:sizeRelV>
          </wp:anchor>
        </w:drawing>
      </w:r>
    </w:p>
    <w:p w14:paraId="0AE832A7" w14:textId="35B344B2" w:rsidR="00591951" w:rsidRPr="00820972" w:rsidRDefault="00591951" w:rsidP="00591951">
      <w:pPr>
        <w:pStyle w:val="MainTitle"/>
        <w:rPr>
          <w:rFonts w:ascii="Open Sans" w:hAnsi="Open Sans" w:cs="Open Sans"/>
          <w:sz w:val="24"/>
          <w:szCs w:val="24"/>
        </w:rPr>
      </w:pPr>
    </w:p>
    <w:p w14:paraId="2D70094C" w14:textId="28DC926E" w:rsidR="00B924E6" w:rsidRPr="00820972" w:rsidRDefault="00B924E6" w:rsidP="00E26B28">
      <w:pPr>
        <w:rPr>
          <w:rFonts w:cs="Open Sans"/>
        </w:rPr>
      </w:pPr>
      <w:bookmarkStart w:id="0" w:name="_Toc209316062"/>
      <w:bookmarkEnd w:id="0"/>
    </w:p>
    <w:p w14:paraId="22AB1496" w14:textId="6AB9C544" w:rsidR="00DF6291" w:rsidRPr="00820972" w:rsidRDefault="00DF6291" w:rsidP="00E26B28">
      <w:pPr>
        <w:rPr>
          <w:rFonts w:cs="Open Sans"/>
        </w:rPr>
      </w:pPr>
    </w:p>
    <w:p w14:paraId="08EBF36F" w14:textId="6E592533" w:rsidR="000B6388" w:rsidRDefault="000B6388">
      <w:pPr>
        <w:keepLines w:val="0"/>
        <w:spacing w:before="0" w:after="0"/>
        <w:rPr>
          <w:rFonts w:cs="Open Sans"/>
        </w:rPr>
      </w:pPr>
      <w:r>
        <w:rPr>
          <w:rFonts w:cs="Open Sans"/>
        </w:rPr>
        <w:br w:type="page"/>
      </w:r>
    </w:p>
    <w:p w14:paraId="29700DDB" w14:textId="77777777" w:rsidR="00143FD4" w:rsidRPr="000B6388" w:rsidRDefault="00143FD4" w:rsidP="00487E91">
      <w:pPr>
        <w:spacing w:before="120" w:after="120"/>
        <w:rPr>
          <w:rFonts w:cs="Arial"/>
          <w:b/>
          <w:bCs/>
          <w:i/>
          <w:iCs/>
          <w:sz w:val="18"/>
          <w:szCs w:val="18"/>
        </w:rPr>
      </w:pPr>
      <w:bookmarkStart w:id="1" w:name="_Toc207761829"/>
      <w:r w:rsidRPr="000B6388">
        <w:rPr>
          <w:rFonts w:eastAsia="Times New Roman" w:cs="Open Sans"/>
          <w:color w:val="000000"/>
          <w:sz w:val="18"/>
          <w:szCs w:val="18"/>
          <w:lang w:val="en-US" w:eastAsia="it-IT"/>
        </w:rPr>
        <w:lastRenderedPageBreak/>
        <w:t>© Australian Human Rights Commission 2020</w:t>
      </w:r>
      <w:r w:rsidRPr="000B6388">
        <w:rPr>
          <w:rFonts w:ascii="Times New Roman" w:eastAsia="Times New Roman" w:hAnsi="Times New Roman"/>
          <w:sz w:val="18"/>
          <w:szCs w:val="18"/>
          <w:lang w:val="en-US" w:eastAsia="it-IT"/>
        </w:rPr>
        <w:t>.</w:t>
      </w:r>
    </w:p>
    <w:p w14:paraId="4AD04D2B" w14:textId="77777777" w:rsidR="00143FD4" w:rsidRPr="000B6388" w:rsidRDefault="00143FD4" w:rsidP="00487E91">
      <w:pPr>
        <w:spacing w:before="120" w:after="120"/>
        <w:rPr>
          <w:sz w:val="18"/>
          <w:szCs w:val="18"/>
        </w:rPr>
      </w:pPr>
      <w:r w:rsidRPr="000B6388">
        <w:rPr>
          <w:sz w:val="18"/>
          <w:szCs w:val="18"/>
        </w:rPr>
        <w:t>The Australian Human Rights Commission encourages the dissemination and exchange of information presented in this publication.</w:t>
      </w:r>
    </w:p>
    <w:p w14:paraId="342D56D2" w14:textId="77777777" w:rsidR="00143FD4" w:rsidRPr="000B6388" w:rsidRDefault="00143FD4" w:rsidP="003E36E0">
      <w:pPr>
        <w:spacing w:before="0" w:after="120"/>
        <w:rPr>
          <w:sz w:val="18"/>
          <w:szCs w:val="18"/>
        </w:rPr>
      </w:pPr>
      <w:r w:rsidRPr="000B6388">
        <w:rPr>
          <w:noProof/>
          <w:sz w:val="18"/>
          <w:szCs w:val="18"/>
        </w:rPr>
        <w:drawing>
          <wp:inline distT="0" distB="0" distL="0" distR="0" wp14:anchorId="3B90BA26" wp14:editId="3A4215B4">
            <wp:extent cx="838200" cy="295275"/>
            <wp:effectExtent l="0" t="0" r="0" b="9525"/>
            <wp:docPr id="3" name="Picture 1" descr="CC 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4A6874DB" w14:textId="77777777" w:rsidR="00143FD4" w:rsidRPr="000B6388" w:rsidRDefault="00143FD4" w:rsidP="000B6388">
      <w:pPr>
        <w:spacing w:before="0" w:after="120"/>
        <w:rPr>
          <w:rFonts w:eastAsia="Calibri"/>
          <w:color w:val="000000"/>
          <w:sz w:val="18"/>
          <w:szCs w:val="18"/>
        </w:rPr>
      </w:pPr>
      <w:r w:rsidRPr="000B6388">
        <w:rPr>
          <w:rFonts w:eastAsia="Calibri"/>
          <w:color w:val="000000"/>
          <w:sz w:val="18"/>
          <w:szCs w:val="18"/>
        </w:rPr>
        <w:t>All m</w:t>
      </w:r>
      <w:r w:rsidRPr="000B6388">
        <w:rPr>
          <w:rFonts w:eastAsia="Calibri"/>
          <w:color w:val="222222"/>
          <w:sz w:val="18"/>
          <w:szCs w:val="18"/>
        </w:rPr>
        <w:t xml:space="preserve">aterial </w:t>
      </w:r>
      <w:r w:rsidRPr="000B6388">
        <w:rPr>
          <w:rFonts w:eastAsia="Calibri"/>
          <w:color w:val="000000"/>
          <w:sz w:val="18"/>
          <w:szCs w:val="18"/>
          <w:highlight w:val="white"/>
        </w:rPr>
        <w:t xml:space="preserve">presented in this publication is licensed under the </w:t>
      </w:r>
      <w:r w:rsidRPr="000B6388">
        <w:rPr>
          <w:sz w:val="18"/>
          <w:szCs w:val="18"/>
          <w:highlight w:val="white"/>
        </w:rPr>
        <w:t>Creative Commons Attribution 4.0 International Licence</w:t>
      </w:r>
      <w:r w:rsidRPr="000B6388">
        <w:rPr>
          <w:rFonts w:eastAsia="Calibri"/>
          <w:color w:val="000000"/>
          <w:sz w:val="18"/>
          <w:szCs w:val="18"/>
        </w:rPr>
        <w:t>, with the exception of:</w:t>
      </w:r>
    </w:p>
    <w:p w14:paraId="2457C2BD" w14:textId="77777777" w:rsidR="00143FD4" w:rsidRPr="000B6388" w:rsidRDefault="00143FD4" w:rsidP="00143FD4">
      <w:pPr>
        <w:numPr>
          <w:ilvl w:val="0"/>
          <w:numId w:val="31"/>
        </w:numPr>
        <w:spacing w:before="0"/>
        <w:contextualSpacing/>
        <w:rPr>
          <w:sz w:val="18"/>
          <w:szCs w:val="18"/>
        </w:rPr>
      </w:pPr>
      <w:r w:rsidRPr="000B6388">
        <w:rPr>
          <w:sz w:val="18"/>
          <w:szCs w:val="18"/>
        </w:rPr>
        <w:t>photographs and images;</w:t>
      </w:r>
    </w:p>
    <w:p w14:paraId="55D68395" w14:textId="77777777" w:rsidR="00143FD4" w:rsidRPr="000B6388" w:rsidRDefault="00143FD4" w:rsidP="00143FD4">
      <w:pPr>
        <w:numPr>
          <w:ilvl w:val="0"/>
          <w:numId w:val="31"/>
        </w:numPr>
        <w:spacing w:before="0"/>
        <w:contextualSpacing/>
        <w:rPr>
          <w:sz w:val="18"/>
          <w:szCs w:val="18"/>
        </w:rPr>
      </w:pPr>
      <w:r w:rsidRPr="000B6388">
        <w:rPr>
          <w:sz w:val="18"/>
          <w:szCs w:val="18"/>
        </w:rPr>
        <w:t>the Commission’s logo, any branding or trademarks;</w:t>
      </w:r>
    </w:p>
    <w:p w14:paraId="2182CA71" w14:textId="77777777" w:rsidR="00143FD4" w:rsidRPr="000B6388" w:rsidRDefault="00143FD4" w:rsidP="00143FD4">
      <w:pPr>
        <w:numPr>
          <w:ilvl w:val="0"/>
          <w:numId w:val="31"/>
        </w:numPr>
        <w:spacing w:before="0"/>
        <w:contextualSpacing/>
        <w:rPr>
          <w:sz w:val="18"/>
          <w:szCs w:val="18"/>
        </w:rPr>
      </w:pPr>
      <w:r w:rsidRPr="000B6388">
        <w:rPr>
          <w:sz w:val="18"/>
          <w:szCs w:val="18"/>
        </w:rPr>
        <w:t>content or material provided by third parties; and</w:t>
      </w:r>
    </w:p>
    <w:p w14:paraId="70087D9C" w14:textId="45E61662" w:rsidR="00143FD4" w:rsidRPr="00487E91" w:rsidRDefault="00143FD4" w:rsidP="00487E91">
      <w:pPr>
        <w:numPr>
          <w:ilvl w:val="0"/>
          <w:numId w:val="31"/>
        </w:numPr>
        <w:spacing w:before="0" w:after="120"/>
        <w:ind w:left="714" w:hanging="357"/>
        <w:rPr>
          <w:sz w:val="18"/>
          <w:szCs w:val="18"/>
        </w:rPr>
      </w:pPr>
      <w:r w:rsidRPr="000B6388">
        <w:rPr>
          <w:rFonts w:eastAsia="Calibri"/>
          <w:sz w:val="18"/>
          <w:szCs w:val="18"/>
        </w:rPr>
        <w:t>where otherwise indicated.</w:t>
      </w:r>
    </w:p>
    <w:p w14:paraId="10C7B340" w14:textId="77777777" w:rsidR="00143FD4" w:rsidRPr="000B6388" w:rsidRDefault="00143FD4" w:rsidP="00487E91">
      <w:pPr>
        <w:spacing w:before="120" w:after="120"/>
        <w:rPr>
          <w:rFonts w:eastAsia="Arial" w:cs="Open Sans"/>
          <w:color w:val="000000"/>
          <w:sz w:val="18"/>
          <w:szCs w:val="18"/>
        </w:rPr>
      </w:pPr>
      <w:r w:rsidRPr="000B6388">
        <w:rPr>
          <w:rFonts w:eastAsia="Arial" w:cs="Open Sans"/>
          <w:color w:val="000000"/>
          <w:sz w:val="18"/>
          <w:szCs w:val="18"/>
        </w:rPr>
        <w:t xml:space="preserve">To view a copy of this licence, visit </w:t>
      </w:r>
      <w:hyperlink r:id="rId16" w:history="1">
        <w:r w:rsidRPr="007873C8">
          <w:rPr>
            <w:rStyle w:val="Hyperlink"/>
            <w:sz w:val="18"/>
            <w:szCs w:val="18"/>
          </w:rPr>
          <w:t>http://creativecommons.org/licenses/by/4.0/legalcode</w:t>
        </w:r>
      </w:hyperlink>
      <w:r w:rsidRPr="000B6388">
        <w:rPr>
          <w:rFonts w:eastAsia="Arial" w:cs="Open Sans"/>
          <w:color w:val="000000"/>
          <w:sz w:val="18"/>
          <w:szCs w:val="18"/>
        </w:rPr>
        <w:t>.</w:t>
      </w:r>
    </w:p>
    <w:p w14:paraId="58344F2D" w14:textId="77777777" w:rsidR="00143FD4" w:rsidRPr="000B6388" w:rsidRDefault="00143FD4" w:rsidP="00487E91">
      <w:pPr>
        <w:spacing w:before="120" w:after="120"/>
        <w:rPr>
          <w:rFonts w:eastAsia="Arial" w:cs="Open Sans"/>
          <w:color w:val="000000"/>
          <w:sz w:val="18"/>
          <w:szCs w:val="18"/>
        </w:rPr>
      </w:pPr>
      <w:r w:rsidRPr="000B6388">
        <w:rPr>
          <w:rFonts w:eastAsia="Arial" w:cs="Open Sans"/>
          <w:color w:val="000000"/>
          <w:sz w:val="18"/>
          <w:szCs w:val="18"/>
        </w:rPr>
        <w:t>In essence, you are free to copy, communicate and adapt the publication, as long as you attribute the Australian Human Rights Commission and abide by the other licence terms.</w:t>
      </w:r>
    </w:p>
    <w:p w14:paraId="69CE62A3" w14:textId="77777777" w:rsidR="00143FD4" w:rsidRPr="000B6388" w:rsidRDefault="00143FD4" w:rsidP="00487E91">
      <w:pPr>
        <w:spacing w:before="120" w:after="120"/>
        <w:rPr>
          <w:rFonts w:eastAsia="Calibri" w:cs="Open Sans"/>
          <w:color w:val="222222"/>
          <w:sz w:val="18"/>
          <w:szCs w:val="18"/>
        </w:rPr>
      </w:pPr>
      <w:r w:rsidRPr="000B6388">
        <w:rPr>
          <w:rFonts w:eastAsia="Calibri" w:cs="Open Sans"/>
          <w:color w:val="222222"/>
          <w:sz w:val="18"/>
          <w:szCs w:val="18"/>
          <w:highlight w:val="white"/>
        </w:rPr>
        <w:t>Please give attribution to</w:t>
      </w:r>
      <w:r w:rsidRPr="000B6388">
        <w:rPr>
          <w:rFonts w:eastAsia="Calibri" w:cs="Open Sans"/>
          <w:color w:val="222222"/>
          <w:sz w:val="18"/>
          <w:szCs w:val="18"/>
        </w:rPr>
        <w:t xml:space="preserve">: </w:t>
      </w:r>
      <w:r w:rsidRPr="000B6388">
        <w:rPr>
          <w:rFonts w:eastAsia="Calibri" w:cs="Open Sans"/>
          <w:color w:val="000000"/>
          <w:sz w:val="18"/>
          <w:szCs w:val="18"/>
        </w:rPr>
        <w:t>© Australian Human Rights Commission 2020.</w:t>
      </w:r>
    </w:p>
    <w:p w14:paraId="2DAAF9A2" w14:textId="77777777" w:rsidR="00143FD4" w:rsidRPr="000B6388" w:rsidRDefault="00143FD4" w:rsidP="00487E91">
      <w:pPr>
        <w:spacing w:before="120" w:after="120"/>
        <w:rPr>
          <w:rFonts w:eastAsia="Calibri" w:cs="Open Sans"/>
          <w:b/>
          <w:bCs/>
          <w:i/>
          <w:iCs/>
          <w:color w:val="000000"/>
          <w:sz w:val="18"/>
          <w:szCs w:val="18"/>
        </w:rPr>
      </w:pPr>
      <w:r w:rsidRPr="000B6388">
        <w:rPr>
          <w:rFonts w:eastAsia="Calibri" w:cs="Open Sans"/>
          <w:b/>
          <w:bCs/>
          <w:i/>
          <w:iCs/>
          <w:color w:val="000000"/>
          <w:sz w:val="18"/>
          <w:szCs w:val="18"/>
        </w:rPr>
        <w:t xml:space="preserve">Guidelines on the rights of people with disability in health and disability care during COVID-19 </w:t>
      </w:r>
    </w:p>
    <w:p w14:paraId="13377D58" w14:textId="4225216F" w:rsidR="00143FD4" w:rsidRDefault="00143FD4" w:rsidP="00487E91">
      <w:pPr>
        <w:spacing w:before="120" w:after="120"/>
        <w:rPr>
          <w:rFonts w:eastAsia="Calibri" w:cs="Open Sans"/>
          <w:color w:val="000000"/>
          <w:sz w:val="18"/>
          <w:szCs w:val="18"/>
        </w:rPr>
      </w:pPr>
      <w:r w:rsidRPr="000B6388">
        <w:rPr>
          <w:rFonts w:eastAsia="Calibri" w:cs="Open Sans"/>
          <w:color w:val="000000"/>
          <w:sz w:val="18"/>
          <w:szCs w:val="18"/>
        </w:rPr>
        <w:t>ISBN 978-1-925917-24-6</w:t>
      </w:r>
    </w:p>
    <w:p w14:paraId="4CE8CF9A" w14:textId="77777777" w:rsidR="007873C8" w:rsidRPr="000B6388" w:rsidRDefault="007873C8" w:rsidP="007873C8">
      <w:pPr>
        <w:spacing w:before="0" w:after="120"/>
        <w:rPr>
          <w:b/>
          <w:bCs/>
          <w:sz w:val="18"/>
          <w:szCs w:val="18"/>
        </w:rPr>
      </w:pPr>
      <w:r w:rsidRPr="000B6388">
        <w:rPr>
          <w:b/>
          <w:bCs/>
          <w:sz w:val="18"/>
          <w:szCs w:val="18"/>
        </w:rPr>
        <w:t>Acknowledgements</w:t>
      </w:r>
    </w:p>
    <w:p w14:paraId="1A7122E3" w14:textId="77777777" w:rsidR="007873C8" w:rsidRPr="000B6388" w:rsidRDefault="007873C8" w:rsidP="007873C8">
      <w:pPr>
        <w:spacing w:before="0" w:after="120"/>
        <w:rPr>
          <w:sz w:val="18"/>
          <w:szCs w:val="18"/>
        </w:rPr>
      </w:pPr>
      <w:r w:rsidRPr="000B6388">
        <w:rPr>
          <w:sz w:val="18"/>
          <w:szCs w:val="18"/>
        </w:rPr>
        <w:t>The Australian Human Rights Commission would like to thank the following organisations and individuals for their contributions to the Guidelines:</w:t>
      </w:r>
    </w:p>
    <w:p w14:paraId="01540D13" w14:textId="77777777" w:rsidR="007873C8" w:rsidRPr="000B6388" w:rsidRDefault="007873C8" w:rsidP="007873C8">
      <w:pPr>
        <w:pStyle w:val="ListParagraph"/>
        <w:numPr>
          <w:ilvl w:val="0"/>
          <w:numId w:val="32"/>
        </w:numPr>
        <w:spacing w:before="0" w:after="0"/>
        <w:rPr>
          <w:sz w:val="18"/>
          <w:szCs w:val="18"/>
        </w:rPr>
      </w:pPr>
      <w:r w:rsidRPr="000B6388">
        <w:rPr>
          <w:sz w:val="18"/>
          <w:szCs w:val="18"/>
        </w:rPr>
        <w:t>the Australian Government Department of Health</w:t>
      </w:r>
    </w:p>
    <w:p w14:paraId="108644A2" w14:textId="77777777" w:rsidR="007873C8" w:rsidRPr="000B6388" w:rsidRDefault="007873C8" w:rsidP="007873C8">
      <w:pPr>
        <w:pStyle w:val="ListParagraph"/>
        <w:numPr>
          <w:ilvl w:val="0"/>
          <w:numId w:val="32"/>
        </w:numPr>
        <w:spacing w:before="0" w:after="0"/>
        <w:rPr>
          <w:sz w:val="18"/>
          <w:szCs w:val="18"/>
        </w:rPr>
      </w:pPr>
      <w:r w:rsidRPr="000B6388">
        <w:rPr>
          <w:sz w:val="18"/>
          <w:szCs w:val="18"/>
        </w:rPr>
        <w:t>the Advisory Committee for the COVID-19 Response for People with Disability</w:t>
      </w:r>
    </w:p>
    <w:p w14:paraId="0A03AD35" w14:textId="77777777" w:rsidR="007873C8" w:rsidRPr="000B6388" w:rsidRDefault="007873C8" w:rsidP="007873C8">
      <w:pPr>
        <w:pStyle w:val="ListParagraph"/>
        <w:numPr>
          <w:ilvl w:val="0"/>
          <w:numId w:val="32"/>
        </w:numPr>
        <w:spacing w:before="0" w:after="120"/>
        <w:ind w:left="714" w:hanging="357"/>
        <w:contextualSpacing w:val="0"/>
        <w:rPr>
          <w:sz w:val="18"/>
          <w:szCs w:val="18"/>
        </w:rPr>
      </w:pPr>
      <w:r w:rsidRPr="000B6388">
        <w:rPr>
          <w:sz w:val="18"/>
          <w:szCs w:val="18"/>
        </w:rPr>
        <w:t>those who provided expert advice on earlier drafts of the Guidelines.</w:t>
      </w:r>
    </w:p>
    <w:p w14:paraId="25807A84" w14:textId="2AB1789E" w:rsidR="007873C8" w:rsidRPr="007873C8" w:rsidRDefault="007873C8" w:rsidP="007873C8">
      <w:pPr>
        <w:spacing w:before="0" w:after="120"/>
        <w:rPr>
          <w:sz w:val="18"/>
          <w:szCs w:val="18"/>
        </w:rPr>
      </w:pPr>
      <w:r w:rsidRPr="000B6388">
        <w:rPr>
          <w:sz w:val="18"/>
          <w:szCs w:val="18"/>
        </w:rPr>
        <w:t>The Disability Discrimination Commissioner thanks the following staff of the Australian Human Rights Commission for their contributions: Natasha de Silva, Afton Fife, Graeme Edgerton, Julie O’Brien and Rachel Holt.</w:t>
      </w:r>
    </w:p>
    <w:p w14:paraId="52D04301" w14:textId="77777777" w:rsidR="00143FD4" w:rsidRPr="000B6388" w:rsidRDefault="00143FD4" w:rsidP="00487E91">
      <w:pPr>
        <w:spacing w:before="120" w:after="120"/>
        <w:rPr>
          <w:rFonts w:cs="Open Sans"/>
          <w:sz w:val="18"/>
          <w:szCs w:val="18"/>
        </w:rPr>
      </w:pPr>
      <w:r w:rsidRPr="000B6388">
        <w:rPr>
          <w:rFonts w:cs="Open Sans"/>
          <w:sz w:val="18"/>
          <w:szCs w:val="18"/>
        </w:rPr>
        <w:t xml:space="preserve">This publication can be found in electronic format on the Australian Human Rights Commission’s website at </w:t>
      </w:r>
      <w:hyperlink r:id="rId17" w:history="1">
        <w:r w:rsidRPr="007873C8">
          <w:rPr>
            <w:rStyle w:val="Hyperlink"/>
            <w:sz w:val="18"/>
            <w:szCs w:val="18"/>
          </w:rPr>
          <w:t>https://www.humanrights.gov.au/our-work/publications</w:t>
        </w:r>
      </w:hyperlink>
      <w:r w:rsidRPr="000B6388">
        <w:rPr>
          <w:rFonts w:cs="Open Sans"/>
          <w:sz w:val="18"/>
          <w:szCs w:val="18"/>
        </w:rPr>
        <w:t>.</w:t>
      </w:r>
    </w:p>
    <w:p w14:paraId="1AA75362" w14:textId="77777777" w:rsidR="00143FD4" w:rsidRPr="000B6388" w:rsidRDefault="00143FD4" w:rsidP="00487E91">
      <w:pPr>
        <w:spacing w:before="120" w:after="120"/>
        <w:rPr>
          <w:sz w:val="18"/>
          <w:szCs w:val="18"/>
        </w:rPr>
      </w:pPr>
      <w:r w:rsidRPr="000B6388">
        <w:rPr>
          <w:sz w:val="18"/>
          <w:szCs w:val="18"/>
          <w:highlight w:val="white"/>
        </w:rPr>
        <w:t xml:space="preserve">For further information about </w:t>
      </w:r>
      <w:r w:rsidRPr="000B6388">
        <w:rPr>
          <w:sz w:val="18"/>
          <w:szCs w:val="18"/>
        </w:rPr>
        <w:t>the Australian Human Rights Commission or copyright in this publication, please contact:</w:t>
      </w:r>
    </w:p>
    <w:p w14:paraId="20369E29" w14:textId="77777777" w:rsidR="00143FD4" w:rsidRPr="000B6388" w:rsidRDefault="00143FD4" w:rsidP="00487E91">
      <w:pPr>
        <w:spacing w:before="120" w:after="120"/>
        <w:rPr>
          <w:rFonts w:eastAsia="Arial"/>
          <w:sz w:val="18"/>
          <w:szCs w:val="18"/>
        </w:rPr>
      </w:pPr>
      <w:r w:rsidRPr="000B6388">
        <w:rPr>
          <w:rFonts w:eastAsia="Arial"/>
          <w:sz w:val="18"/>
          <w:szCs w:val="18"/>
        </w:rPr>
        <w:t>Australian Human Rights Commission</w:t>
      </w:r>
      <w:r w:rsidRPr="000B6388">
        <w:rPr>
          <w:rFonts w:eastAsia="Arial"/>
          <w:sz w:val="18"/>
          <w:szCs w:val="18"/>
        </w:rPr>
        <w:br/>
        <w:t>GPO Box 5218</w:t>
      </w:r>
      <w:r w:rsidRPr="000B6388">
        <w:rPr>
          <w:rFonts w:eastAsia="Arial"/>
          <w:sz w:val="18"/>
          <w:szCs w:val="18"/>
        </w:rPr>
        <w:br/>
        <w:t>SYDNEY NSW 2001</w:t>
      </w:r>
      <w:r w:rsidRPr="000B6388">
        <w:rPr>
          <w:rFonts w:eastAsia="Arial"/>
          <w:sz w:val="18"/>
          <w:szCs w:val="18"/>
        </w:rPr>
        <w:br/>
        <w:t>Telephone: (02) 9284 9600</w:t>
      </w:r>
      <w:r w:rsidRPr="000B6388">
        <w:rPr>
          <w:rFonts w:eastAsia="Arial"/>
          <w:sz w:val="18"/>
          <w:szCs w:val="18"/>
        </w:rPr>
        <w:br/>
        <w:t xml:space="preserve">Email: </w:t>
      </w:r>
      <w:hyperlink r:id="rId18" w:history="1">
        <w:r w:rsidRPr="007873C8">
          <w:rPr>
            <w:rStyle w:val="Hyperlink"/>
            <w:sz w:val="18"/>
            <w:szCs w:val="18"/>
          </w:rPr>
          <w:t>communications@humanrights.gov.au</w:t>
        </w:r>
      </w:hyperlink>
    </w:p>
    <w:p w14:paraId="6A5E5047" w14:textId="77777777" w:rsidR="00143FD4" w:rsidRPr="000B6388" w:rsidRDefault="00143FD4" w:rsidP="00487E91">
      <w:pPr>
        <w:spacing w:before="120" w:after="0"/>
        <w:rPr>
          <w:sz w:val="18"/>
          <w:szCs w:val="18"/>
        </w:rPr>
      </w:pPr>
      <w:r w:rsidRPr="000B6388">
        <w:rPr>
          <w:b/>
          <w:sz w:val="18"/>
          <w:szCs w:val="18"/>
        </w:rPr>
        <w:t>Design and layout</w:t>
      </w:r>
      <w:r w:rsidRPr="000B6388">
        <w:rPr>
          <w:sz w:val="18"/>
          <w:szCs w:val="18"/>
        </w:rPr>
        <w:t xml:space="preserve"> Dancingirl Designs</w:t>
      </w:r>
    </w:p>
    <w:p w14:paraId="636E32B5" w14:textId="77777777" w:rsidR="003E36E0" w:rsidRPr="000B6388" w:rsidRDefault="003E36E0" w:rsidP="003E36E0">
      <w:pPr>
        <w:pStyle w:val="CopyrightText"/>
        <w:spacing w:after="0" w:line="240" w:lineRule="auto"/>
        <w:rPr>
          <w:color w:val="000000"/>
          <w:sz w:val="18"/>
          <w:szCs w:val="18"/>
        </w:rPr>
      </w:pPr>
      <w:r w:rsidRPr="000B6388">
        <w:rPr>
          <w:rStyle w:val="Bold"/>
          <w:rFonts w:eastAsia="MS Mincho"/>
          <w:color w:val="000000"/>
          <w:sz w:val="18"/>
          <w:szCs w:val="18"/>
        </w:rPr>
        <w:t>Internal photography</w:t>
      </w:r>
      <w:r w:rsidRPr="000B6388">
        <w:rPr>
          <w:color w:val="000000"/>
          <w:sz w:val="18"/>
          <w:szCs w:val="18"/>
        </w:rPr>
        <w:t xml:space="preserve"> Shutterstock, Adobe Stock</w:t>
      </w:r>
    </w:p>
    <w:p w14:paraId="3F3A9546" w14:textId="10BDFBB6" w:rsidR="00143FD4" w:rsidRPr="000B6388" w:rsidRDefault="00143FD4" w:rsidP="003E36E0">
      <w:pPr>
        <w:spacing w:before="0" w:after="120"/>
        <w:rPr>
          <w:sz w:val="18"/>
          <w:szCs w:val="18"/>
        </w:rPr>
      </w:pPr>
      <w:r w:rsidRPr="000B6388">
        <w:rPr>
          <w:b/>
          <w:sz w:val="18"/>
          <w:szCs w:val="18"/>
        </w:rPr>
        <w:t>Cover image</w:t>
      </w:r>
      <w:r w:rsidRPr="000B6388">
        <w:rPr>
          <w:sz w:val="18"/>
          <w:szCs w:val="18"/>
        </w:rPr>
        <w:t xml:space="preserve"> </w:t>
      </w:r>
      <w:r w:rsidR="003E36E0" w:rsidRPr="000B6388">
        <w:rPr>
          <w:sz w:val="18"/>
          <w:szCs w:val="18"/>
        </w:rPr>
        <w:t>Adobe Stock</w:t>
      </w:r>
    </w:p>
    <w:p w14:paraId="7F9CC078" w14:textId="7DF9CBE3" w:rsidR="00143FD4" w:rsidRPr="000B6388" w:rsidRDefault="00143FD4" w:rsidP="00143FD4">
      <w:pPr>
        <w:spacing w:before="0" w:after="0"/>
        <w:rPr>
          <w:sz w:val="18"/>
          <w:szCs w:val="18"/>
          <w:highlight w:val="yellow"/>
        </w:rPr>
      </w:pPr>
      <w:r w:rsidRPr="000B6388">
        <w:rPr>
          <w:sz w:val="18"/>
          <w:szCs w:val="18"/>
          <w:highlight w:val="yellow"/>
        </w:rPr>
        <w:br w:type="page"/>
      </w:r>
    </w:p>
    <w:p w14:paraId="5EE696BB" w14:textId="10AB06E4" w:rsidR="00B63D24" w:rsidRPr="00487E91" w:rsidRDefault="00B63D24" w:rsidP="00B63D24">
      <w:pPr>
        <w:rPr>
          <w:rFonts w:cs="Arial"/>
          <w:b/>
          <w:sz w:val="36"/>
          <w:szCs w:val="36"/>
        </w:rPr>
      </w:pPr>
      <w:r w:rsidRPr="00487E91">
        <w:rPr>
          <w:rFonts w:cs="Arial"/>
          <w:b/>
          <w:sz w:val="36"/>
          <w:szCs w:val="36"/>
        </w:rPr>
        <w:lastRenderedPageBreak/>
        <w:t>Contents</w:t>
      </w:r>
      <w:bookmarkEnd w:id="1"/>
    </w:p>
    <w:p w14:paraId="6B519621" w14:textId="45C570F0" w:rsidR="004B785D" w:rsidRDefault="00B22B39">
      <w:pPr>
        <w:pStyle w:val="TOC1"/>
        <w:rPr>
          <w:rFonts w:asciiTheme="minorHAnsi" w:eastAsiaTheme="minorEastAsia" w:hAnsiTheme="minorHAnsi" w:cstheme="minorBidi"/>
          <w:b w:val="0"/>
          <w:szCs w:val="22"/>
          <w:lang w:val="en-US" w:eastAsia="en-US"/>
        </w:rPr>
      </w:pPr>
      <w:r w:rsidRPr="00271BA2">
        <w:rPr>
          <w:rFonts w:cs="Arial"/>
          <w:szCs w:val="22"/>
        </w:rPr>
        <w:fldChar w:fldCharType="begin"/>
      </w:r>
      <w:r w:rsidRPr="00271BA2">
        <w:rPr>
          <w:rFonts w:cs="Arial"/>
          <w:szCs w:val="22"/>
        </w:rPr>
        <w:instrText xml:space="preserve"> TOC \o "1-2" \h \z \u </w:instrText>
      </w:r>
      <w:r w:rsidRPr="00271BA2">
        <w:rPr>
          <w:rFonts w:cs="Arial"/>
          <w:szCs w:val="22"/>
        </w:rPr>
        <w:fldChar w:fldCharType="separate"/>
      </w:r>
      <w:hyperlink w:anchor="_Toc46679140" w:history="1">
        <w:r w:rsidR="004B785D" w:rsidRPr="00AA7877">
          <w:rPr>
            <w:rStyle w:val="Hyperlink"/>
            <w:rFonts w:cs="Arial"/>
          </w:rPr>
          <w:t>Disability Discrimination Commissioner’s Foreword</w:t>
        </w:r>
        <w:r w:rsidR="004B785D">
          <w:rPr>
            <w:webHidden/>
          </w:rPr>
          <w:tab/>
        </w:r>
        <w:r w:rsidR="004B785D">
          <w:rPr>
            <w:webHidden/>
          </w:rPr>
          <w:fldChar w:fldCharType="begin"/>
        </w:r>
        <w:r w:rsidR="004B785D">
          <w:rPr>
            <w:webHidden/>
          </w:rPr>
          <w:instrText xml:space="preserve"> PAGEREF _Toc46679140 \h </w:instrText>
        </w:r>
        <w:r w:rsidR="004B785D">
          <w:rPr>
            <w:webHidden/>
          </w:rPr>
        </w:r>
        <w:r w:rsidR="004B785D">
          <w:rPr>
            <w:webHidden/>
          </w:rPr>
          <w:fldChar w:fldCharType="separate"/>
        </w:r>
        <w:r w:rsidR="00702011">
          <w:rPr>
            <w:webHidden/>
          </w:rPr>
          <w:t>4</w:t>
        </w:r>
        <w:r w:rsidR="004B785D">
          <w:rPr>
            <w:webHidden/>
          </w:rPr>
          <w:fldChar w:fldCharType="end"/>
        </w:r>
      </w:hyperlink>
    </w:p>
    <w:p w14:paraId="33F95298" w14:textId="4F06D6B1" w:rsidR="004B785D" w:rsidRDefault="001A3E64">
      <w:pPr>
        <w:pStyle w:val="TOC1"/>
        <w:rPr>
          <w:rFonts w:asciiTheme="minorHAnsi" w:eastAsiaTheme="minorEastAsia" w:hAnsiTheme="minorHAnsi" w:cstheme="minorBidi"/>
          <w:b w:val="0"/>
          <w:szCs w:val="22"/>
          <w:lang w:val="en-US" w:eastAsia="en-US"/>
        </w:rPr>
      </w:pPr>
      <w:hyperlink w:anchor="_Toc46679141" w:history="1">
        <w:r w:rsidR="004B785D" w:rsidRPr="00AA7877">
          <w:rPr>
            <w:rStyle w:val="Hyperlink"/>
            <w:rFonts w:cs="Arial"/>
          </w:rPr>
          <w:t>1</w:t>
        </w:r>
        <w:r w:rsidR="004B785D">
          <w:rPr>
            <w:rFonts w:asciiTheme="minorHAnsi" w:eastAsiaTheme="minorEastAsia" w:hAnsiTheme="minorHAnsi" w:cstheme="minorBidi"/>
            <w:b w:val="0"/>
            <w:szCs w:val="22"/>
            <w:lang w:val="en-US" w:eastAsia="en-US"/>
          </w:rPr>
          <w:tab/>
        </w:r>
        <w:r w:rsidR="004B785D" w:rsidRPr="00AA7877">
          <w:rPr>
            <w:rStyle w:val="Hyperlink"/>
            <w:rFonts w:cs="Arial"/>
          </w:rPr>
          <w:t>Introduction</w:t>
        </w:r>
        <w:r w:rsidR="004B785D">
          <w:rPr>
            <w:webHidden/>
          </w:rPr>
          <w:tab/>
        </w:r>
        <w:r w:rsidR="004B785D">
          <w:rPr>
            <w:webHidden/>
          </w:rPr>
          <w:fldChar w:fldCharType="begin"/>
        </w:r>
        <w:r w:rsidR="004B785D">
          <w:rPr>
            <w:webHidden/>
          </w:rPr>
          <w:instrText xml:space="preserve"> PAGEREF _Toc46679141 \h </w:instrText>
        </w:r>
        <w:r w:rsidR="004B785D">
          <w:rPr>
            <w:webHidden/>
          </w:rPr>
        </w:r>
        <w:r w:rsidR="004B785D">
          <w:rPr>
            <w:webHidden/>
          </w:rPr>
          <w:fldChar w:fldCharType="separate"/>
        </w:r>
        <w:r w:rsidR="00702011">
          <w:rPr>
            <w:webHidden/>
          </w:rPr>
          <w:t>6</w:t>
        </w:r>
        <w:r w:rsidR="004B785D">
          <w:rPr>
            <w:webHidden/>
          </w:rPr>
          <w:fldChar w:fldCharType="end"/>
        </w:r>
      </w:hyperlink>
    </w:p>
    <w:p w14:paraId="7EE26C8E" w14:textId="1BC44FBE" w:rsidR="004B785D" w:rsidRDefault="001A3E64">
      <w:pPr>
        <w:pStyle w:val="TOC1"/>
        <w:rPr>
          <w:rFonts w:asciiTheme="minorHAnsi" w:eastAsiaTheme="minorEastAsia" w:hAnsiTheme="minorHAnsi" w:cstheme="minorBidi"/>
          <w:b w:val="0"/>
          <w:szCs w:val="22"/>
          <w:lang w:val="en-US" w:eastAsia="en-US"/>
        </w:rPr>
      </w:pPr>
      <w:hyperlink w:anchor="_Toc46679142" w:history="1">
        <w:r w:rsidR="004B785D" w:rsidRPr="00AA7877">
          <w:rPr>
            <w:rStyle w:val="Hyperlink"/>
          </w:rPr>
          <w:t>2</w:t>
        </w:r>
        <w:r w:rsidR="004B785D">
          <w:rPr>
            <w:rFonts w:asciiTheme="minorHAnsi" w:eastAsiaTheme="minorEastAsia" w:hAnsiTheme="minorHAnsi" w:cstheme="minorBidi"/>
            <w:b w:val="0"/>
            <w:szCs w:val="22"/>
            <w:lang w:val="en-US" w:eastAsia="en-US"/>
          </w:rPr>
          <w:tab/>
        </w:r>
        <w:r w:rsidR="004B785D" w:rsidRPr="00AA7877">
          <w:rPr>
            <w:rStyle w:val="Hyperlink"/>
          </w:rPr>
          <w:t>Role of the Guidelines</w:t>
        </w:r>
        <w:r w:rsidR="004B785D">
          <w:rPr>
            <w:webHidden/>
          </w:rPr>
          <w:tab/>
        </w:r>
        <w:r w:rsidR="004B785D">
          <w:rPr>
            <w:webHidden/>
          </w:rPr>
          <w:fldChar w:fldCharType="begin"/>
        </w:r>
        <w:r w:rsidR="004B785D">
          <w:rPr>
            <w:webHidden/>
          </w:rPr>
          <w:instrText xml:space="preserve"> PAGEREF _Toc46679142 \h </w:instrText>
        </w:r>
        <w:r w:rsidR="004B785D">
          <w:rPr>
            <w:webHidden/>
          </w:rPr>
        </w:r>
        <w:r w:rsidR="004B785D">
          <w:rPr>
            <w:webHidden/>
          </w:rPr>
          <w:fldChar w:fldCharType="separate"/>
        </w:r>
        <w:r w:rsidR="00702011">
          <w:rPr>
            <w:webHidden/>
          </w:rPr>
          <w:t>7</w:t>
        </w:r>
        <w:r w:rsidR="004B785D">
          <w:rPr>
            <w:webHidden/>
          </w:rPr>
          <w:fldChar w:fldCharType="end"/>
        </w:r>
      </w:hyperlink>
    </w:p>
    <w:p w14:paraId="4F6B6D89" w14:textId="60E93A4F" w:rsidR="004B785D" w:rsidRDefault="001A3E64">
      <w:pPr>
        <w:pStyle w:val="TOC1"/>
        <w:rPr>
          <w:rFonts w:asciiTheme="minorHAnsi" w:eastAsiaTheme="minorEastAsia" w:hAnsiTheme="minorHAnsi" w:cstheme="minorBidi"/>
          <w:b w:val="0"/>
          <w:szCs w:val="22"/>
          <w:lang w:val="en-US" w:eastAsia="en-US"/>
        </w:rPr>
      </w:pPr>
      <w:hyperlink w:anchor="_Toc46679143" w:history="1">
        <w:r w:rsidR="004B785D" w:rsidRPr="00AA7877">
          <w:rPr>
            <w:rStyle w:val="Hyperlink"/>
            <w:rFonts w:cs="Open Sans"/>
          </w:rPr>
          <w:t>3</w:t>
        </w:r>
        <w:r w:rsidR="004B785D">
          <w:rPr>
            <w:rFonts w:asciiTheme="minorHAnsi" w:eastAsiaTheme="minorEastAsia" w:hAnsiTheme="minorHAnsi" w:cstheme="minorBidi"/>
            <w:b w:val="0"/>
            <w:szCs w:val="22"/>
            <w:lang w:val="en-US" w:eastAsia="en-US"/>
          </w:rPr>
          <w:tab/>
        </w:r>
        <w:r w:rsidR="004B785D" w:rsidRPr="00AA7877">
          <w:rPr>
            <w:rStyle w:val="Hyperlink"/>
          </w:rPr>
          <w:t>Disability in Australia</w:t>
        </w:r>
        <w:r w:rsidR="004B785D">
          <w:rPr>
            <w:webHidden/>
          </w:rPr>
          <w:tab/>
        </w:r>
        <w:r w:rsidR="004B785D">
          <w:rPr>
            <w:webHidden/>
          </w:rPr>
          <w:fldChar w:fldCharType="begin"/>
        </w:r>
        <w:r w:rsidR="004B785D">
          <w:rPr>
            <w:webHidden/>
          </w:rPr>
          <w:instrText xml:space="preserve"> PAGEREF _Toc46679143 \h </w:instrText>
        </w:r>
        <w:r w:rsidR="004B785D">
          <w:rPr>
            <w:webHidden/>
          </w:rPr>
        </w:r>
        <w:r w:rsidR="004B785D">
          <w:rPr>
            <w:webHidden/>
          </w:rPr>
          <w:fldChar w:fldCharType="separate"/>
        </w:r>
        <w:r w:rsidR="00702011">
          <w:rPr>
            <w:webHidden/>
          </w:rPr>
          <w:t>9</w:t>
        </w:r>
        <w:r w:rsidR="004B785D">
          <w:rPr>
            <w:webHidden/>
          </w:rPr>
          <w:fldChar w:fldCharType="end"/>
        </w:r>
      </w:hyperlink>
    </w:p>
    <w:p w14:paraId="6755F49D" w14:textId="387F31F3" w:rsidR="004B785D" w:rsidRDefault="001A3E64">
      <w:pPr>
        <w:pStyle w:val="TOC1"/>
        <w:rPr>
          <w:rFonts w:asciiTheme="minorHAnsi" w:eastAsiaTheme="minorEastAsia" w:hAnsiTheme="minorHAnsi" w:cstheme="minorBidi"/>
          <w:b w:val="0"/>
          <w:szCs w:val="22"/>
          <w:lang w:val="en-US" w:eastAsia="en-US"/>
        </w:rPr>
      </w:pPr>
      <w:hyperlink w:anchor="_Toc46679144" w:history="1">
        <w:r w:rsidR="004B785D" w:rsidRPr="00AA7877">
          <w:rPr>
            <w:rStyle w:val="Hyperlink"/>
          </w:rPr>
          <w:t>4</w:t>
        </w:r>
        <w:r w:rsidR="004B785D">
          <w:rPr>
            <w:rFonts w:asciiTheme="minorHAnsi" w:eastAsiaTheme="minorEastAsia" w:hAnsiTheme="minorHAnsi" w:cstheme="minorBidi"/>
            <w:b w:val="0"/>
            <w:szCs w:val="22"/>
            <w:lang w:val="en-US" w:eastAsia="en-US"/>
          </w:rPr>
          <w:tab/>
        </w:r>
        <w:r w:rsidR="004B785D" w:rsidRPr="00AA7877">
          <w:rPr>
            <w:rStyle w:val="Hyperlink"/>
          </w:rPr>
          <w:t>Human rights issues and COVID-19</w:t>
        </w:r>
        <w:r w:rsidR="004B785D">
          <w:rPr>
            <w:webHidden/>
          </w:rPr>
          <w:tab/>
        </w:r>
        <w:r w:rsidR="004B785D">
          <w:rPr>
            <w:webHidden/>
          </w:rPr>
          <w:fldChar w:fldCharType="begin"/>
        </w:r>
        <w:r w:rsidR="004B785D">
          <w:rPr>
            <w:webHidden/>
          </w:rPr>
          <w:instrText xml:space="preserve"> PAGEREF _Toc46679144 \h </w:instrText>
        </w:r>
        <w:r w:rsidR="004B785D">
          <w:rPr>
            <w:webHidden/>
          </w:rPr>
        </w:r>
        <w:r w:rsidR="004B785D">
          <w:rPr>
            <w:webHidden/>
          </w:rPr>
          <w:fldChar w:fldCharType="separate"/>
        </w:r>
        <w:r w:rsidR="00702011">
          <w:rPr>
            <w:webHidden/>
          </w:rPr>
          <w:t>12</w:t>
        </w:r>
        <w:r w:rsidR="004B785D">
          <w:rPr>
            <w:webHidden/>
          </w:rPr>
          <w:fldChar w:fldCharType="end"/>
        </w:r>
      </w:hyperlink>
    </w:p>
    <w:p w14:paraId="67960EB0" w14:textId="5C94B4DB" w:rsidR="004B785D" w:rsidRDefault="001A3E64">
      <w:pPr>
        <w:pStyle w:val="TOC1"/>
        <w:rPr>
          <w:rFonts w:asciiTheme="minorHAnsi" w:eastAsiaTheme="minorEastAsia" w:hAnsiTheme="minorHAnsi" w:cstheme="minorBidi"/>
          <w:b w:val="0"/>
          <w:szCs w:val="22"/>
          <w:lang w:val="en-US" w:eastAsia="en-US"/>
        </w:rPr>
      </w:pPr>
      <w:hyperlink w:anchor="_Toc46679145" w:history="1">
        <w:r w:rsidR="004B785D" w:rsidRPr="00AA7877">
          <w:rPr>
            <w:rStyle w:val="Hyperlink"/>
            <w:rFonts w:cs="Arial"/>
          </w:rPr>
          <w:t>5</w:t>
        </w:r>
        <w:r w:rsidR="004B785D">
          <w:rPr>
            <w:rFonts w:asciiTheme="minorHAnsi" w:eastAsiaTheme="minorEastAsia" w:hAnsiTheme="minorHAnsi" w:cstheme="minorBidi"/>
            <w:b w:val="0"/>
            <w:szCs w:val="22"/>
            <w:lang w:val="en-US" w:eastAsia="en-US"/>
          </w:rPr>
          <w:tab/>
        </w:r>
        <w:r w:rsidR="004B785D" w:rsidRPr="00AA7877">
          <w:rPr>
            <w:rStyle w:val="Hyperlink"/>
            <w:rFonts w:cs="Arial"/>
          </w:rPr>
          <w:t>Which human rights are relevant?</w:t>
        </w:r>
        <w:r w:rsidR="004B785D">
          <w:rPr>
            <w:webHidden/>
          </w:rPr>
          <w:tab/>
        </w:r>
        <w:r w:rsidR="004B785D">
          <w:rPr>
            <w:webHidden/>
          </w:rPr>
          <w:fldChar w:fldCharType="begin"/>
        </w:r>
        <w:r w:rsidR="004B785D">
          <w:rPr>
            <w:webHidden/>
          </w:rPr>
          <w:instrText xml:space="preserve"> PAGEREF _Toc46679145 \h </w:instrText>
        </w:r>
        <w:r w:rsidR="004B785D">
          <w:rPr>
            <w:webHidden/>
          </w:rPr>
        </w:r>
        <w:r w:rsidR="004B785D">
          <w:rPr>
            <w:webHidden/>
          </w:rPr>
          <w:fldChar w:fldCharType="separate"/>
        </w:r>
        <w:r w:rsidR="00702011">
          <w:rPr>
            <w:webHidden/>
          </w:rPr>
          <w:t>18</w:t>
        </w:r>
        <w:r w:rsidR="004B785D">
          <w:rPr>
            <w:webHidden/>
          </w:rPr>
          <w:fldChar w:fldCharType="end"/>
        </w:r>
      </w:hyperlink>
    </w:p>
    <w:p w14:paraId="02BE661C" w14:textId="37FEE074" w:rsidR="004B785D" w:rsidRDefault="001A3E64">
      <w:pPr>
        <w:pStyle w:val="TOC1"/>
        <w:rPr>
          <w:rFonts w:asciiTheme="minorHAnsi" w:eastAsiaTheme="minorEastAsia" w:hAnsiTheme="minorHAnsi" w:cstheme="minorBidi"/>
          <w:b w:val="0"/>
          <w:szCs w:val="22"/>
          <w:lang w:val="en-US" w:eastAsia="en-US"/>
        </w:rPr>
      </w:pPr>
      <w:hyperlink w:anchor="_Toc46679146" w:history="1">
        <w:r w:rsidR="004B785D" w:rsidRPr="00AA7877">
          <w:rPr>
            <w:rStyle w:val="Hyperlink"/>
            <w:rFonts w:cs="Open Sans"/>
          </w:rPr>
          <w:t>6</w:t>
        </w:r>
        <w:r w:rsidR="004B785D">
          <w:rPr>
            <w:rFonts w:asciiTheme="minorHAnsi" w:eastAsiaTheme="minorEastAsia" w:hAnsiTheme="minorHAnsi" w:cstheme="minorBidi"/>
            <w:b w:val="0"/>
            <w:szCs w:val="22"/>
            <w:lang w:val="en-US" w:eastAsia="en-US"/>
          </w:rPr>
          <w:tab/>
        </w:r>
        <w:r w:rsidR="004B785D" w:rsidRPr="00AA7877">
          <w:rPr>
            <w:rStyle w:val="Hyperlink"/>
            <w:rFonts w:cs="Open Sans"/>
          </w:rPr>
          <w:t>Practical examples</w:t>
        </w:r>
        <w:r w:rsidR="004B785D">
          <w:rPr>
            <w:webHidden/>
          </w:rPr>
          <w:tab/>
        </w:r>
        <w:r w:rsidR="004B785D">
          <w:rPr>
            <w:webHidden/>
          </w:rPr>
          <w:fldChar w:fldCharType="begin"/>
        </w:r>
        <w:r w:rsidR="004B785D">
          <w:rPr>
            <w:webHidden/>
          </w:rPr>
          <w:instrText xml:space="preserve"> PAGEREF _Toc46679146 \h </w:instrText>
        </w:r>
        <w:r w:rsidR="004B785D">
          <w:rPr>
            <w:webHidden/>
          </w:rPr>
        </w:r>
        <w:r w:rsidR="004B785D">
          <w:rPr>
            <w:webHidden/>
          </w:rPr>
          <w:fldChar w:fldCharType="separate"/>
        </w:r>
        <w:r w:rsidR="00702011">
          <w:rPr>
            <w:webHidden/>
          </w:rPr>
          <w:t>19</w:t>
        </w:r>
        <w:r w:rsidR="004B785D">
          <w:rPr>
            <w:webHidden/>
          </w:rPr>
          <w:fldChar w:fldCharType="end"/>
        </w:r>
      </w:hyperlink>
    </w:p>
    <w:p w14:paraId="5D5FF06D" w14:textId="247E4F52" w:rsidR="004B785D" w:rsidRDefault="001A3E64" w:rsidP="00487E91">
      <w:pPr>
        <w:pStyle w:val="TOC2"/>
        <w:rPr>
          <w:rFonts w:asciiTheme="minorHAnsi" w:eastAsiaTheme="minorEastAsia" w:hAnsiTheme="minorHAnsi" w:cstheme="minorBidi"/>
          <w:b/>
          <w:i/>
          <w:szCs w:val="22"/>
          <w:lang w:val="en-US" w:eastAsia="en-US"/>
        </w:rPr>
      </w:pPr>
      <w:hyperlink w:anchor="_Toc46679147" w:history="1">
        <w:r w:rsidR="004B785D" w:rsidRPr="00AA7877">
          <w:rPr>
            <w:rStyle w:val="Hyperlink"/>
          </w:rPr>
          <w:t>6.1</w:t>
        </w:r>
        <w:r w:rsidR="004B785D">
          <w:rPr>
            <w:rFonts w:asciiTheme="minorHAnsi" w:eastAsiaTheme="minorEastAsia" w:hAnsiTheme="minorHAnsi" w:cstheme="minorBidi"/>
            <w:szCs w:val="22"/>
            <w:lang w:val="en-US" w:eastAsia="en-US"/>
          </w:rPr>
          <w:tab/>
        </w:r>
        <w:r w:rsidR="004B785D" w:rsidRPr="00AA7877">
          <w:rPr>
            <w:rStyle w:val="Hyperlink"/>
          </w:rPr>
          <w:t>Access to mobility aids</w:t>
        </w:r>
        <w:r w:rsidR="004B785D">
          <w:rPr>
            <w:webHidden/>
          </w:rPr>
          <w:tab/>
        </w:r>
        <w:r w:rsidR="004B785D">
          <w:rPr>
            <w:webHidden/>
          </w:rPr>
          <w:fldChar w:fldCharType="begin"/>
        </w:r>
        <w:r w:rsidR="004B785D">
          <w:rPr>
            <w:webHidden/>
          </w:rPr>
          <w:instrText xml:space="preserve"> PAGEREF _Toc46679147 \h </w:instrText>
        </w:r>
        <w:r w:rsidR="004B785D">
          <w:rPr>
            <w:webHidden/>
          </w:rPr>
        </w:r>
        <w:r w:rsidR="004B785D">
          <w:rPr>
            <w:webHidden/>
          </w:rPr>
          <w:fldChar w:fldCharType="separate"/>
        </w:r>
        <w:r w:rsidR="00702011">
          <w:rPr>
            <w:webHidden/>
          </w:rPr>
          <w:t>19</w:t>
        </w:r>
        <w:r w:rsidR="004B785D">
          <w:rPr>
            <w:webHidden/>
          </w:rPr>
          <w:fldChar w:fldCharType="end"/>
        </w:r>
      </w:hyperlink>
    </w:p>
    <w:p w14:paraId="44975E8A" w14:textId="3058821B" w:rsidR="004B785D" w:rsidRDefault="001A3E64" w:rsidP="00487E91">
      <w:pPr>
        <w:pStyle w:val="TOC2"/>
        <w:rPr>
          <w:rFonts w:asciiTheme="minorHAnsi" w:eastAsiaTheme="minorEastAsia" w:hAnsiTheme="minorHAnsi" w:cstheme="minorBidi"/>
          <w:b/>
          <w:i/>
          <w:szCs w:val="22"/>
          <w:lang w:val="en-US" w:eastAsia="en-US"/>
        </w:rPr>
      </w:pPr>
      <w:hyperlink w:anchor="_Toc46679148" w:history="1">
        <w:r w:rsidR="004B785D" w:rsidRPr="00AA7877">
          <w:rPr>
            <w:rStyle w:val="Hyperlink"/>
          </w:rPr>
          <w:t>6.2</w:t>
        </w:r>
        <w:r w:rsidR="004B785D">
          <w:rPr>
            <w:rFonts w:asciiTheme="minorHAnsi" w:eastAsiaTheme="minorEastAsia" w:hAnsiTheme="minorHAnsi" w:cstheme="minorBidi"/>
            <w:szCs w:val="22"/>
            <w:lang w:val="en-US" w:eastAsia="en-US"/>
          </w:rPr>
          <w:tab/>
        </w:r>
        <w:r w:rsidR="004B785D" w:rsidRPr="00AA7877">
          <w:rPr>
            <w:rStyle w:val="Hyperlink"/>
          </w:rPr>
          <w:t>Accessible communication</w:t>
        </w:r>
        <w:r w:rsidR="004B785D">
          <w:rPr>
            <w:webHidden/>
          </w:rPr>
          <w:tab/>
        </w:r>
        <w:r w:rsidR="004B785D">
          <w:rPr>
            <w:webHidden/>
          </w:rPr>
          <w:fldChar w:fldCharType="begin"/>
        </w:r>
        <w:r w:rsidR="004B785D">
          <w:rPr>
            <w:webHidden/>
          </w:rPr>
          <w:instrText xml:space="preserve"> PAGEREF _Toc46679148 \h </w:instrText>
        </w:r>
        <w:r w:rsidR="004B785D">
          <w:rPr>
            <w:webHidden/>
          </w:rPr>
        </w:r>
        <w:r w:rsidR="004B785D">
          <w:rPr>
            <w:webHidden/>
          </w:rPr>
          <w:fldChar w:fldCharType="separate"/>
        </w:r>
        <w:r w:rsidR="00702011">
          <w:rPr>
            <w:webHidden/>
          </w:rPr>
          <w:t>20</w:t>
        </w:r>
        <w:r w:rsidR="004B785D">
          <w:rPr>
            <w:webHidden/>
          </w:rPr>
          <w:fldChar w:fldCharType="end"/>
        </w:r>
      </w:hyperlink>
    </w:p>
    <w:p w14:paraId="7E12B5E9" w14:textId="24A34A4F" w:rsidR="004B785D" w:rsidRDefault="001A3E64" w:rsidP="00487E91">
      <w:pPr>
        <w:pStyle w:val="TOC2"/>
        <w:rPr>
          <w:rFonts w:asciiTheme="minorHAnsi" w:eastAsiaTheme="minorEastAsia" w:hAnsiTheme="minorHAnsi" w:cstheme="minorBidi"/>
          <w:b/>
          <w:i/>
          <w:szCs w:val="22"/>
          <w:lang w:val="en-US" w:eastAsia="en-US"/>
        </w:rPr>
      </w:pPr>
      <w:hyperlink w:anchor="_Toc46679149" w:history="1">
        <w:r w:rsidR="004B785D" w:rsidRPr="00AA7877">
          <w:rPr>
            <w:rStyle w:val="Hyperlink"/>
            <w:rFonts w:cs="Arial"/>
          </w:rPr>
          <w:t>6.3</w:t>
        </w:r>
        <w:r w:rsidR="004B785D">
          <w:rPr>
            <w:rFonts w:asciiTheme="minorHAnsi" w:eastAsiaTheme="minorEastAsia" w:hAnsiTheme="minorHAnsi" w:cstheme="minorBidi"/>
            <w:szCs w:val="22"/>
            <w:lang w:val="en-US" w:eastAsia="en-US"/>
          </w:rPr>
          <w:tab/>
        </w:r>
        <w:r w:rsidR="004B785D" w:rsidRPr="00AA7877">
          <w:rPr>
            <w:rStyle w:val="Hyperlink"/>
            <w:rFonts w:cs="Arial"/>
          </w:rPr>
          <w:t>Access to visitors and family</w:t>
        </w:r>
        <w:r w:rsidR="004B785D">
          <w:rPr>
            <w:webHidden/>
          </w:rPr>
          <w:tab/>
        </w:r>
        <w:r w:rsidR="004B785D">
          <w:rPr>
            <w:webHidden/>
          </w:rPr>
          <w:fldChar w:fldCharType="begin"/>
        </w:r>
        <w:r w:rsidR="004B785D">
          <w:rPr>
            <w:webHidden/>
          </w:rPr>
          <w:instrText xml:space="preserve"> PAGEREF _Toc46679149 \h </w:instrText>
        </w:r>
        <w:r w:rsidR="004B785D">
          <w:rPr>
            <w:webHidden/>
          </w:rPr>
        </w:r>
        <w:r w:rsidR="004B785D">
          <w:rPr>
            <w:webHidden/>
          </w:rPr>
          <w:fldChar w:fldCharType="separate"/>
        </w:r>
        <w:r w:rsidR="00702011">
          <w:rPr>
            <w:webHidden/>
          </w:rPr>
          <w:t>21</w:t>
        </w:r>
        <w:r w:rsidR="004B785D">
          <w:rPr>
            <w:webHidden/>
          </w:rPr>
          <w:fldChar w:fldCharType="end"/>
        </w:r>
      </w:hyperlink>
    </w:p>
    <w:p w14:paraId="2ED9AD6C" w14:textId="035146A3" w:rsidR="004B785D" w:rsidRDefault="001A3E64" w:rsidP="00487E91">
      <w:pPr>
        <w:pStyle w:val="TOC2"/>
        <w:rPr>
          <w:rFonts w:asciiTheme="minorHAnsi" w:eastAsiaTheme="minorEastAsia" w:hAnsiTheme="minorHAnsi" w:cstheme="minorBidi"/>
          <w:b/>
          <w:i/>
          <w:szCs w:val="22"/>
          <w:lang w:val="en-US" w:eastAsia="en-US"/>
        </w:rPr>
      </w:pPr>
      <w:hyperlink w:anchor="_Toc46679150" w:history="1">
        <w:r w:rsidR="004B785D" w:rsidRPr="00AA7877">
          <w:rPr>
            <w:rStyle w:val="Hyperlink"/>
          </w:rPr>
          <w:t>6.4</w:t>
        </w:r>
        <w:r w:rsidR="004B785D">
          <w:rPr>
            <w:rFonts w:asciiTheme="minorHAnsi" w:eastAsiaTheme="minorEastAsia" w:hAnsiTheme="minorHAnsi" w:cstheme="minorBidi"/>
            <w:szCs w:val="22"/>
            <w:lang w:val="en-US" w:eastAsia="en-US"/>
          </w:rPr>
          <w:tab/>
        </w:r>
        <w:r w:rsidR="004B785D" w:rsidRPr="00AA7877">
          <w:rPr>
            <w:rStyle w:val="Hyperlink"/>
          </w:rPr>
          <w:t>Involuntary hospital discharges</w:t>
        </w:r>
        <w:r w:rsidR="004B785D">
          <w:rPr>
            <w:webHidden/>
          </w:rPr>
          <w:tab/>
        </w:r>
        <w:r w:rsidR="004B785D">
          <w:rPr>
            <w:webHidden/>
          </w:rPr>
          <w:fldChar w:fldCharType="begin"/>
        </w:r>
        <w:r w:rsidR="004B785D">
          <w:rPr>
            <w:webHidden/>
          </w:rPr>
          <w:instrText xml:space="preserve"> PAGEREF _Toc46679150 \h </w:instrText>
        </w:r>
        <w:r w:rsidR="004B785D">
          <w:rPr>
            <w:webHidden/>
          </w:rPr>
        </w:r>
        <w:r w:rsidR="004B785D">
          <w:rPr>
            <w:webHidden/>
          </w:rPr>
          <w:fldChar w:fldCharType="separate"/>
        </w:r>
        <w:r w:rsidR="00702011">
          <w:rPr>
            <w:webHidden/>
          </w:rPr>
          <w:t>23</w:t>
        </w:r>
        <w:r w:rsidR="004B785D">
          <w:rPr>
            <w:webHidden/>
          </w:rPr>
          <w:fldChar w:fldCharType="end"/>
        </w:r>
      </w:hyperlink>
    </w:p>
    <w:p w14:paraId="6FDED2C9" w14:textId="08254BEA" w:rsidR="004B785D" w:rsidRDefault="001A3E64" w:rsidP="00487E91">
      <w:pPr>
        <w:pStyle w:val="TOC2"/>
        <w:rPr>
          <w:rFonts w:asciiTheme="minorHAnsi" w:eastAsiaTheme="minorEastAsia" w:hAnsiTheme="minorHAnsi" w:cstheme="minorBidi"/>
          <w:b/>
          <w:i/>
          <w:szCs w:val="22"/>
          <w:lang w:val="en-US" w:eastAsia="en-US"/>
        </w:rPr>
      </w:pPr>
      <w:hyperlink w:anchor="_Toc46679151" w:history="1">
        <w:r w:rsidR="004B785D" w:rsidRPr="00AA7877">
          <w:rPr>
            <w:rStyle w:val="Hyperlink"/>
          </w:rPr>
          <w:t>6.5</w:t>
        </w:r>
        <w:r w:rsidR="004B785D">
          <w:rPr>
            <w:rFonts w:asciiTheme="minorHAnsi" w:eastAsiaTheme="minorEastAsia" w:hAnsiTheme="minorHAnsi" w:cstheme="minorBidi"/>
            <w:szCs w:val="22"/>
            <w:lang w:val="en-US" w:eastAsia="en-US"/>
          </w:rPr>
          <w:tab/>
        </w:r>
        <w:r w:rsidR="004B785D" w:rsidRPr="00AA7877">
          <w:rPr>
            <w:rStyle w:val="Hyperlink"/>
          </w:rPr>
          <w:t>Limited resources</w:t>
        </w:r>
        <w:r w:rsidR="004B785D">
          <w:rPr>
            <w:webHidden/>
          </w:rPr>
          <w:tab/>
        </w:r>
        <w:r w:rsidR="004B785D">
          <w:rPr>
            <w:webHidden/>
          </w:rPr>
          <w:fldChar w:fldCharType="begin"/>
        </w:r>
        <w:r w:rsidR="004B785D">
          <w:rPr>
            <w:webHidden/>
          </w:rPr>
          <w:instrText xml:space="preserve"> PAGEREF _Toc46679151 \h </w:instrText>
        </w:r>
        <w:r w:rsidR="004B785D">
          <w:rPr>
            <w:webHidden/>
          </w:rPr>
        </w:r>
        <w:r w:rsidR="004B785D">
          <w:rPr>
            <w:webHidden/>
          </w:rPr>
          <w:fldChar w:fldCharType="separate"/>
        </w:r>
        <w:r w:rsidR="00702011">
          <w:rPr>
            <w:webHidden/>
          </w:rPr>
          <w:t>24</w:t>
        </w:r>
        <w:r w:rsidR="004B785D">
          <w:rPr>
            <w:webHidden/>
          </w:rPr>
          <w:fldChar w:fldCharType="end"/>
        </w:r>
      </w:hyperlink>
    </w:p>
    <w:p w14:paraId="52495EF5" w14:textId="159F2DBA" w:rsidR="004B785D" w:rsidRDefault="001A3E64" w:rsidP="00487E91">
      <w:pPr>
        <w:pStyle w:val="TOC2"/>
        <w:rPr>
          <w:rFonts w:asciiTheme="minorHAnsi" w:eastAsiaTheme="minorEastAsia" w:hAnsiTheme="minorHAnsi" w:cstheme="minorBidi"/>
          <w:b/>
          <w:i/>
          <w:szCs w:val="22"/>
          <w:lang w:val="en-US" w:eastAsia="en-US"/>
        </w:rPr>
      </w:pPr>
      <w:hyperlink w:anchor="_Toc46679152" w:history="1">
        <w:r w:rsidR="004B785D" w:rsidRPr="00AA7877">
          <w:rPr>
            <w:rStyle w:val="Hyperlink"/>
          </w:rPr>
          <w:t>6.6</w:t>
        </w:r>
        <w:r w:rsidR="004B785D">
          <w:rPr>
            <w:rFonts w:asciiTheme="minorHAnsi" w:eastAsiaTheme="minorEastAsia" w:hAnsiTheme="minorHAnsi" w:cstheme="minorBidi"/>
            <w:szCs w:val="22"/>
            <w:lang w:val="en-US" w:eastAsia="en-US"/>
          </w:rPr>
          <w:tab/>
        </w:r>
        <w:r w:rsidR="004B785D" w:rsidRPr="00AA7877">
          <w:rPr>
            <w:rStyle w:val="Hyperlink"/>
          </w:rPr>
          <w:t>‘Do not resuscitate’ directions</w:t>
        </w:r>
        <w:r w:rsidR="004B785D">
          <w:rPr>
            <w:webHidden/>
          </w:rPr>
          <w:tab/>
        </w:r>
        <w:r w:rsidR="004B785D">
          <w:rPr>
            <w:webHidden/>
          </w:rPr>
          <w:fldChar w:fldCharType="begin"/>
        </w:r>
        <w:r w:rsidR="004B785D">
          <w:rPr>
            <w:webHidden/>
          </w:rPr>
          <w:instrText xml:space="preserve"> PAGEREF _Toc46679152 \h </w:instrText>
        </w:r>
        <w:r w:rsidR="004B785D">
          <w:rPr>
            <w:webHidden/>
          </w:rPr>
        </w:r>
        <w:r w:rsidR="004B785D">
          <w:rPr>
            <w:webHidden/>
          </w:rPr>
          <w:fldChar w:fldCharType="separate"/>
        </w:r>
        <w:r w:rsidR="00702011">
          <w:rPr>
            <w:webHidden/>
          </w:rPr>
          <w:t>25</w:t>
        </w:r>
        <w:r w:rsidR="004B785D">
          <w:rPr>
            <w:webHidden/>
          </w:rPr>
          <w:fldChar w:fldCharType="end"/>
        </w:r>
      </w:hyperlink>
    </w:p>
    <w:p w14:paraId="63CCB33F" w14:textId="49881DA6" w:rsidR="004B785D" w:rsidRDefault="001A3E64">
      <w:pPr>
        <w:pStyle w:val="TOC1"/>
        <w:rPr>
          <w:rFonts w:asciiTheme="minorHAnsi" w:eastAsiaTheme="minorEastAsia" w:hAnsiTheme="minorHAnsi" w:cstheme="minorBidi"/>
          <w:b w:val="0"/>
          <w:szCs w:val="22"/>
          <w:lang w:val="en-US" w:eastAsia="en-US"/>
        </w:rPr>
      </w:pPr>
      <w:hyperlink w:anchor="_Toc46679153" w:history="1">
        <w:r w:rsidR="004B785D" w:rsidRPr="00AA7877">
          <w:rPr>
            <w:rStyle w:val="Hyperlink"/>
          </w:rPr>
          <w:t>7</w:t>
        </w:r>
        <w:r w:rsidR="004B785D">
          <w:rPr>
            <w:rFonts w:asciiTheme="minorHAnsi" w:eastAsiaTheme="minorEastAsia" w:hAnsiTheme="minorHAnsi" w:cstheme="minorBidi"/>
            <w:b w:val="0"/>
            <w:szCs w:val="22"/>
            <w:lang w:val="en-US" w:eastAsia="en-US"/>
          </w:rPr>
          <w:tab/>
        </w:r>
        <w:r w:rsidR="004B785D" w:rsidRPr="00AA7877">
          <w:rPr>
            <w:rStyle w:val="Hyperlink"/>
          </w:rPr>
          <w:t>Additional resources</w:t>
        </w:r>
        <w:r w:rsidR="004B785D">
          <w:rPr>
            <w:webHidden/>
          </w:rPr>
          <w:tab/>
        </w:r>
        <w:r w:rsidR="004B785D">
          <w:rPr>
            <w:webHidden/>
          </w:rPr>
          <w:fldChar w:fldCharType="begin"/>
        </w:r>
        <w:r w:rsidR="004B785D">
          <w:rPr>
            <w:webHidden/>
          </w:rPr>
          <w:instrText xml:space="preserve"> PAGEREF _Toc46679153 \h </w:instrText>
        </w:r>
        <w:r w:rsidR="004B785D">
          <w:rPr>
            <w:webHidden/>
          </w:rPr>
        </w:r>
        <w:r w:rsidR="004B785D">
          <w:rPr>
            <w:webHidden/>
          </w:rPr>
          <w:fldChar w:fldCharType="separate"/>
        </w:r>
        <w:r w:rsidR="00702011">
          <w:rPr>
            <w:webHidden/>
          </w:rPr>
          <w:t>27</w:t>
        </w:r>
        <w:r w:rsidR="004B785D">
          <w:rPr>
            <w:webHidden/>
          </w:rPr>
          <w:fldChar w:fldCharType="end"/>
        </w:r>
      </w:hyperlink>
    </w:p>
    <w:p w14:paraId="007156A1" w14:textId="67FAC098" w:rsidR="00487E91" w:rsidRDefault="00B22B39" w:rsidP="00A11F24">
      <w:pPr>
        <w:pStyle w:val="Heading1"/>
        <w:keepNext w:val="0"/>
        <w:keepLines w:val="0"/>
        <w:numPr>
          <w:ilvl w:val="0"/>
          <w:numId w:val="0"/>
        </w:numPr>
        <w:jc w:val="both"/>
        <w:rPr>
          <w:rFonts w:cs="Arial"/>
          <w:sz w:val="22"/>
          <w:szCs w:val="22"/>
        </w:rPr>
      </w:pPr>
      <w:r w:rsidRPr="00271BA2">
        <w:rPr>
          <w:rFonts w:cs="Arial"/>
          <w:sz w:val="22"/>
          <w:szCs w:val="22"/>
        </w:rPr>
        <w:fldChar w:fldCharType="end"/>
      </w:r>
    </w:p>
    <w:p w14:paraId="19BB6D33" w14:textId="77777777" w:rsidR="00487E91" w:rsidRDefault="00487E91">
      <w:pPr>
        <w:keepLines w:val="0"/>
        <w:spacing w:before="0" w:after="0"/>
        <w:rPr>
          <w:rFonts w:cs="Arial"/>
          <w:b/>
          <w:bCs/>
          <w:sz w:val="22"/>
          <w:szCs w:val="22"/>
        </w:rPr>
      </w:pPr>
      <w:r>
        <w:rPr>
          <w:rFonts w:cs="Arial"/>
          <w:sz w:val="22"/>
          <w:szCs w:val="22"/>
        </w:rPr>
        <w:br w:type="page"/>
      </w:r>
    </w:p>
    <w:p w14:paraId="1390B1CC" w14:textId="37EBB7D4" w:rsidR="00AC0C54" w:rsidRDefault="008F70EE" w:rsidP="00487E91">
      <w:pPr>
        <w:pStyle w:val="Heading1"/>
        <w:numPr>
          <w:ilvl w:val="0"/>
          <w:numId w:val="0"/>
        </w:numPr>
        <w:rPr>
          <w:rFonts w:cs="Arial"/>
        </w:rPr>
      </w:pPr>
      <w:bookmarkStart w:id="2" w:name="_Appendix_B_–"/>
      <w:bookmarkStart w:id="3" w:name="_Toc46679140"/>
      <w:bookmarkEnd w:id="2"/>
      <w:r>
        <w:rPr>
          <w:rFonts w:cs="Arial"/>
        </w:rPr>
        <w:lastRenderedPageBreak/>
        <w:t xml:space="preserve">Disability Discrimination Commissioner’s </w:t>
      </w:r>
      <w:r w:rsidR="00AC0C54">
        <w:rPr>
          <w:rFonts w:cs="Arial"/>
        </w:rPr>
        <w:t>Foreword</w:t>
      </w:r>
      <w:bookmarkEnd w:id="3"/>
    </w:p>
    <w:p w14:paraId="515F0B6E" w14:textId="707C8994" w:rsidR="00116D8D" w:rsidRDefault="00116D8D" w:rsidP="00116D8D">
      <w:pPr>
        <w:rPr>
          <w:rFonts w:cs="Open Sans"/>
        </w:rPr>
      </w:pPr>
      <w:r>
        <w:rPr>
          <w:rFonts w:cs="Open Sans"/>
        </w:rPr>
        <w:t xml:space="preserve">The </w:t>
      </w:r>
      <w:r w:rsidR="001A3CDB">
        <w:rPr>
          <w:rFonts w:cs="Open Sans"/>
        </w:rPr>
        <w:t xml:space="preserve">COVID-19 </w:t>
      </w:r>
      <w:r>
        <w:rPr>
          <w:rFonts w:cs="Open Sans"/>
        </w:rPr>
        <w:t xml:space="preserve">pandemic has highlighted the systemic disadvantage </w:t>
      </w:r>
      <w:r w:rsidR="0003714C">
        <w:rPr>
          <w:rFonts w:cs="Open Sans"/>
        </w:rPr>
        <w:t xml:space="preserve">that </w:t>
      </w:r>
      <w:r>
        <w:rPr>
          <w:rFonts w:cs="Open Sans"/>
        </w:rPr>
        <w:t>people with disability face in Australia and around the world.</w:t>
      </w:r>
    </w:p>
    <w:p w14:paraId="066460E2" w14:textId="74B6EF5E" w:rsidR="0028432E" w:rsidRDefault="0028432E" w:rsidP="00AC0C54">
      <w:pPr>
        <w:rPr>
          <w:rFonts w:cs="Open Sans"/>
        </w:rPr>
      </w:pPr>
      <w:r>
        <w:rPr>
          <w:rFonts w:cs="Open Sans"/>
        </w:rPr>
        <w:t>The interaction between people with disability and the health</w:t>
      </w:r>
      <w:r w:rsidR="00100672">
        <w:rPr>
          <w:rFonts w:cs="Open Sans"/>
        </w:rPr>
        <w:t xml:space="preserve"> </w:t>
      </w:r>
      <w:r w:rsidR="001F7496">
        <w:rPr>
          <w:rFonts w:cs="Open Sans"/>
        </w:rPr>
        <w:t>care and disability support</w:t>
      </w:r>
      <w:r>
        <w:rPr>
          <w:rFonts w:cs="Open Sans"/>
        </w:rPr>
        <w:t xml:space="preserve"> systems</w:t>
      </w:r>
      <w:r w:rsidR="006B31D1">
        <w:rPr>
          <w:rFonts w:cs="Open Sans"/>
        </w:rPr>
        <w:t xml:space="preserve"> may</w:t>
      </w:r>
      <w:r>
        <w:rPr>
          <w:rFonts w:cs="Open Sans"/>
        </w:rPr>
        <w:t xml:space="preserve"> lead to significant human rights issues.</w:t>
      </w:r>
      <w:r w:rsidR="00B2075B">
        <w:rPr>
          <w:rFonts w:cs="Open Sans"/>
        </w:rPr>
        <w:t xml:space="preserve"> P</w:t>
      </w:r>
      <w:r w:rsidR="006B31D1">
        <w:rPr>
          <w:rFonts w:cs="Open Sans"/>
        </w:rPr>
        <w:t>eople with disability may</w:t>
      </w:r>
      <w:r w:rsidR="00B2075B">
        <w:rPr>
          <w:rFonts w:cs="Open Sans"/>
        </w:rPr>
        <w:t xml:space="preserve"> be placed in situ</w:t>
      </w:r>
      <w:r w:rsidR="00D35FDA">
        <w:rPr>
          <w:rFonts w:cs="Open Sans"/>
        </w:rPr>
        <w:t>ations where they are</w:t>
      </w:r>
      <w:r w:rsidR="00B2075B">
        <w:rPr>
          <w:rFonts w:cs="Open Sans"/>
        </w:rPr>
        <w:t xml:space="preserve"> vulnerable and profound power imbalances exist. </w:t>
      </w:r>
      <w:r w:rsidR="00BD3EFA">
        <w:rPr>
          <w:rFonts w:cs="Open Sans"/>
        </w:rPr>
        <w:t>This is particularly the case for people with disability with complex support needs</w:t>
      </w:r>
      <w:r w:rsidR="00F25845">
        <w:rPr>
          <w:rFonts w:cs="Open Sans"/>
        </w:rPr>
        <w:t>, a cognitive or intellectual disability</w:t>
      </w:r>
      <w:r w:rsidR="00FB6842">
        <w:rPr>
          <w:rFonts w:cs="Open Sans"/>
        </w:rPr>
        <w:t>,</w:t>
      </w:r>
      <w:r w:rsidR="00F25845">
        <w:rPr>
          <w:rFonts w:cs="Open Sans"/>
        </w:rPr>
        <w:t xml:space="preserve"> or who have a communication disability.</w:t>
      </w:r>
    </w:p>
    <w:p w14:paraId="17F06386" w14:textId="2909EC0D" w:rsidR="00116D8D" w:rsidRDefault="0028432E" w:rsidP="00AC0C54">
      <w:pPr>
        <w:rPr>
          <w:rFonts w:cs="Open Sans"/>
        </w:rPr>
      </w:pPr>
      <w:r w:rsidRPr="006F5B21">
        <w:rPr>
          <w:rFonts w:cs="Open Sans"/>
        </w:rPr>
        <w:t>S</w:t>
      </w:r>
      <w:r w:rsidR="00F25845" w:rsidRPr="006F5B21">
        <w:rPr>
          <w:rFonts w:cs="Open Sans"/>
        </w:rPr>
        <w:t>ometimes human rights</w:t>
      </w:r>
      <w:r w:rsidRPr="006F5B21">
        <w:rPr>
          <w:rFonts w:cs="Open Sans"/>
        </w:rPr>
        <w:t xml:space="preserve"> issues arise inadvertently when health care </w:t>
      </w:r>
      <w:r w:rsidR="00157CB9" w:rsidRPr="006F5B21">
        <w:rPr>
          <w:rFonts w:cs="Open Sans"/>
        </w:rPr>
        <w:t xml:space="preserve">professionals </w:t>
      </w:r>
      <w:r w:rsidR="0051705B" w:rsidRPr="006F5B21">
        <w:rPr>
          <w:rFonts w:cs="Open Sans"/>
        </w:rPr>
        <w:t>or</w:t>
      </w:r>
      <w:r w:rsidRPr="006F5B21">
        <w:rPr>
          <w:rFonts w:cs="Open Sans"/>
        </w:rPr>
        <w:t xml:space="preserve"> disability support </w:t>
      </w:r>
      <w:r w:rsidR="00157CB9" w:rsidRPr="006F5B21">
        <w:rPr>
          <w:rFonts w:cs="Open Sans"/>
        </w:rPr>
        <w:t>workers</w:t>
      </w:r>
      <w:r w:rsidRPr="006F5B21">
        <w:rPr>
          <w:rFonts w:cs="Open Sans"/>
        </w:rPr>
        <w:t xml:space="preserve"> may be unaware of their unconscious biases. </w:t>
      </w:r>
      <w:r w:rsidR="00BD3EFA" w:rsidRPr="006F5B21">
        <w:rPr>
          <w:rFonts w:cs="Open Sans"/>
        </w:rPr>
        <w:t xml:space="preserve">This is especially the case when resource shortages exist or during times of emergency. </w:t>
      </w:r>
      <w:r w:rsidR="00157CB9" w:rsidRPr="006F5B21">
        <w:rPr>
          <w:rFonts w:cs="Open Sans"/>
        </w:rPr>
        <w:t>A</w:t>
      </w:r>
      <w:r w:rsidR="00116D8D" w:rsidRPr="006F5B21">
        <w:rPr>
          <w:rFonts w:cs="Open Sans"/>
        </w:rPr>
        <w:t>t other times, conduct may occur</w:t>
      </w:r>
      <w:r w:rsidR="00157CB9" w:rsidRPr="006F5B21">
        <w:rPr>
          <w:rFonts w:cs="Open Sans"/>
        </w:rPr>
        <w:t xml:space="preserve"> as a result of discriminatory points of view</w:t>
      </w:r>
      <w:r w:rsidR="00F25845" w:rsidRPr="006F5B21">
        <w:rPr>
          <w:rFonts w:cs="Open Sans"/>
        </w:rPr>
        <w:t xml:space="preserve"> or </w:t>
      </w:r>
      <w:r w:rsidR="00BD3EFA" w:rsidRPr="006F5B21">
        <w:rPr>
          <w:rFonts w:cs="Open Sans"/>
        </w:rPr>
        <w:t>policies</w:t>
      </w:r>
      <w:r w:rsidR="00157CB9" w:rsidRPr="006F5B21">
        <w:rPr>
          <w:rFonts w:cs="Open Sans"/>
        </w:rPr>
        <w:t xml:space="preserve">. </w:t>
      </w:r>
      <w:r w:rsidR="00116D8D" w:rsidRPr="006F5B21">
        <w:rPr>
          <w:rFonts w:cs="Open Sans"/>
        </w:rPr>
        <w:t>In all situations</w:t>
      </w:r>
      <w:r w:rsidR="0003714C">
        <w:rPr>
          <w:rFonts w:cs="Open Sans"/>
        </w:rPr>
        <w:t xml:space="preserve">, however, </w:t>
      </w:r>
      <w:r w:rsidR="00116D8D" w:rsidRPr="006F5B21">
        <w:rPr>
          <w:rFonts w:cs="Open Sans"/>
        </w:rPr>
        <w:t>there is a possibility that people with disability may be exposed to serious harm.</w:t>
      </w:r>
    </w:p>
    <w:p w14:paraId="5A4B63DF" w14:textId="0DD0D43A" w:rsidR="00F25845" w:rsidRDefault="00BD3EFA" w:rsidP="00AC0C54">
      <w:pPr>
        <w:rPr>
          <w:rFonts w:cs="Open Sans"/>
        </w:rPr>
      </w:pPr>
      <w:r>
        <w:rPr>
          <w:rFonts w:cs="Open Sans"/>
        </w:rPr>
        <w:t xml:space="preserve">A critical justification for </w:t>
      </w:r>
      <w:r w:rsidR="00281153">
        <w:rPr>
          <w:rFonts w:cs="Open Sans"/>
        </w:rPr>
        <w:t>the creation,</w:t>
      </w:r>
      <w:r>
        <w:rPr>
          <w:rFonts w:cs="Open Sans"/>
        </w:rPr>
        <w:t xml:space="preserve"> signing and ratification of the </w:t>
      </w:r>
      <w:r w:rsidRPr="00BD3EFA">
        <w:rPr>
          <w:rFonts w:cs="Open Sans"/>
          <w:i/>
        </w:rPr>
        <w:t>Convention o</w:t>
      </w:r>
      <w:r w:rsidR="002F0113">
        <w:rPr>
          <w:rFonts w:cs="Open Sans"/>
          <w:i/>
        </w:rPr>
        <w:t>n</w:t>
      </w:r>
      <w:r w:rsidRPr="00BD3EFA">
        <w:rPr>
          <w:rFonts w:cs="Open Sans"/>
          <w:i/>
        </w:rPr>
        <w:t xml:space="preserve"> the Rights of Persons with Disabilities</w:t>
      </w:r>
      <w:r>
        <w:rPr>
          <w:rFonts w:cs="Open Sans"/>
        </w:rPr>
        <w:t xml:space="preserve"> </w:t>
      </w:r>
      <w:r w:rsidR="002A77B5">
        <w:rPr>
          <w:rFonts w:cs="Open Sans"/>
        </w:rPr>
        <w:t xml:space="preserve">(CRPD) </w:t>
      </w:r>
      <w:r>
        <w:rPr>
          <w:rFonts w:cs="Open Sans"/>
        </w:rPr>
        <w:t xml:space="preserve">throughout the international community was to acknowledge the specific issues faced by people with disability in society. In particular, there was a need, on occasion, </w:t>
      </w:r>
      <w:r w:rsidR="00E02C96">
        <w:rPr>
          <w:rFonts w:cs="Open Sans"/>
        </w:rPr>
        <w:t xml:space="preserve">to </w:t>
      </w:r>
      <w:r>
        <w:rPr>
          <w:rFonts w:cs="Open Sans"/>
        </w:rPr>
        <w:t xml:space="preserve">treat difference differently to </w:t>
      </w:r>
      <w:r w:rsidR="00F25845">
        <w:rPr>
          <w:rFonts w:cs="Open Sans"/>
        </w:rPr>
        <w:t xml:space="preserve">achieve substantive equality. There was also a recognised need to plan </w:t>
      </w:r>
      <w:r w:rsidR="00E02C96">
        <w:rPr>
          <w:rFonts w:cs="Open Sans"/>
        </w:rPr>
        <w:t xml:space="preserve">explicitly </w:t>
      </w:r>
      <w:r w:rsidR="00F25845">
        <w:rPr>
          <w:rFonts w:cs="Open Sans"/>
        </w:rPr>
        <w:t>for emergency or crisis situations.</w:t>
      </w:r>
    </w:p>
    <w:p w14:paraId="25580A87" w14:textId="7CB16EC8" w:rsidR="002A77B5" w:rsidRDefault="002A77B5" w:rsidP="00AC0C54">
      <w:pPr>
        <w:rPr>
          <w:rFonts w:cs="Open Sans"/>
        </w:rPr>
      </w:pPr>
      <w:r>
        <w:rPr>
          <w:rFonts w:cs="Open Sans"/>
        </w:rPr>
        <w:t xml:space="preserve">The </w:t>
      </w:r>
      <w:r w:rsidR="004427B7">
        <w:rPr>
          <w:rFonts w:cs="Open Sans"/>
        </w:rPr>
        <w:t xml:space="preserve">Australian Government </w:t>
      </w:r>
      <w:r>
        <w:rPr>
          <w:rFonts w:cs="Open Sans"/>
        </w:rPr>
        <w:t xml:space="preserve">Advisory </w:t>
      </w:r>
      <w:r w:rsidRPr="07CA5E0B">
        <w:rPr>
          <w:rFonts w:cs="Open Sans"/>
        </w:rPr>
        <w:t>Committee</w:t>
      </w:r>
      <w:r>
        <w:rPr>
          <w:rFonts w:cs="Open Sans"/>
        </w:rPr>
        <w:t xml:space="preserve"> for the COVID-19 Response for People with Disability </w:t>
      </w:r>
      <w:r w:rsidR="004427B7">
        <w:rPr>
          <w:rFonts w:cs="Open Sans"/>
        </w:rPr>
        <w:t xml:space="preserve">(Advisory Committee) </w:t>
      </w:r>
      <w:r>
        <w:rPr>
          <w:rFonts w:cs="Open Sans"/>
        </w:rPr>
        <w:t xml:space="preserve">was formed in April 2020 to deal </w:t>
      </w:r>
      <w:r w:rsidR="00E02C96">
        <w:rPr>
          <w:rFonts w:cs="Open Sans"/>
        </w:rPr>
        <w:t xml:space="preserve">better </w:t>
      </w:r>
      <w:r>
        <w:rPr>
          <w:rFonts w:cs="Open Sans"/>
        </w:rPr>
        <w:t>with the effect of the coronavirus pandemic on people with disability in Australia</w:t>
      </w:r>
      <w:r w:rsidR="00D35FDA">
        <w:rPr>
          <w:rFonts w:cs="Open Sans"/>
        </w:rPr>
        <w:t xml:space="preserve"> and as a reflection of the Australian Government’s commitment to the CRPD</w:t>
      </w:r>
      <w:r>
        <w:rPr>
          <w:rFonts w:cs="Open Sans"/>
        </w:rPr>
        <w:t xml:space="preserve">. </w:t>
      </w:r>
      <w:r w:rsidR="004427B7">
        <w:rPr>
          <w:rFonts w:cs="Open Sans"/>
        </w:rPr>
        <w:t>The Advisory Committee has as members: representatives of government, civil society, medical professionals and people with disability. I sit as a member of the Advisory Committee in my capacity as Disability Discrimination Commissioner at the Australian Human Rights Commission.</w:t>
      </w:r>
    </w:p>
    <w:p w14:paraId="32047DE4" w14:textId="69E7F530" w:rsidR="005C60CE" w:rsidRDefault="00F25845" w:rsidP="004427B7">
      <w:pPr>
        <w:rPr>
          <w:rFonts w:cs="Open Sans"/>
        </w:rPr>
      </w:pPr>
      <w:r>
        <w:rPr>
          <w:rFonts w:cs="Open Sans"/>
        </w:rPr>
        <w:t xml:space="preserve">These Guidelines </w:t>
      </w:r>
      <w:r w:rsidR="00281153">
        <w:rPr>
          <w:rFonts w:cs="Open Sans"/>
        </w:rPr>
        <w:t>have been drafted to support</w:t>
      </w:r>
      <w:r w:rsidR="00281153" w:rsidRPr="07CA5E0B">
        <w:rPr>
          <w:rFonts w:cs="Open Sans"/>
          <w:b/>
          <w:bCs/>
        </w:rPr>
        <w:t xml:space="preserve"> </w:t>
      </w:r>
      <w:r w:rsidR="00281153" w:rsidRPr="07CA5E0B">
        <w:rPr>
          <w:rFonts w:cs="Open Sans"/>
        </w:rPr>
        <w:t xml:space="preserve">the </w:t>
      </w:r>
      <w:r w:rsidR="00281153">
        <w:rPr>
          <w:rFonts w:cs="Open Sans"/>
        </w:rPr>
        <w:t xml:space="preserve">implementation of the Advisory </w:t>
      </w:r>
      <w:r w:rsidR="00281153" w:rsidRPr="07CA5E0B">
        <w:rPr>
          <w:rFonts w:cs="Open Sans"/>
        </w:rPr>
        <w:t>Committee</w:t>
      </w:r>
      <w:r w:rsidR="00281153">
        <w:rPr>
          <w:rFonts w:cs="Open Sans"/>
        </w:rPr>
        <w:t xml:space="preserve">’s </w:t>
      </w:r>
      <w:r w:rsidR="00281153" w:rsidRPr="07CA5E0B">
        <w:rPr>
          <w:rFonts w:cs="Open Sans"/>
          <w:i/>
          <w:iCs/>
        </w:rPr>
        <w:t>Management and Operational Plan for People with Disability</w:t>
      </w:r>
      <w:r w:rsidR="0051705B">
        <w:rPr>
          <w:rFonts w:cs="Open Sans"/>
          <w:i/>
          <w:iCs/>
        </w:rPr>
        <w:t xml:space="preserve"> </w:t>
      </w:r>
      <w:r w:rsidR="0051705B">
        <w:rPr>
          <w:rFonts w:cs="Open Sans"/>
          <w:iCs/>
        </w:rPr>
        <w:t>(the Plan)</w:t>
      </w:r>
      <w:r w:rsidR="006B31D1">
        <w:rPr>
          <w:rFonts w:cs="Open Sans"/>
        </w:rPr>
        <w:t>, which</w:t>
      </w:r>
      <w:r w:rsidR="006B31D1" w:rsidRPr="006B31D1">
        <w:rPr>
          <w:rFonts w:cs="Open Sans"/>
        </w:rPr>
        <w:t xml:space="preserve"> focuses on broad clinical, public health and communication actions</w:t>
      </w:r>
      <w:r w:rsidR="0051705B">
        <w:rPr>
          <w:rFonts w:cs="Open Sans"/>
        </w:rPr>
        <w:t xml:space="preserve"> by Commonwealth, State and Territor</w:t>
      </w:r>
      <w:r w:rsidR="00F71CF4">
        <w:rPr>
          <w:rFonts w:cs="Open Sans"/>
        </w:rPr>
        <w:t>y</w:t>
      </w:r>
      <w:r w:rsidR="0051705B">
        <w:rPr>
          <w:rFonts w:cs="Open Sans"/>
        </w:rPr>
        <w:t xml:space="preserve"> governments</w:t>
      </w:r>
      <w:r w:rsidR="006B31D1" w:rsidRPr="006B31D1">
        <w:rPr>
          <w:rFonts w:cs="Open Sans"/>
        </w:rPr>
        <w:t>.</w:t>
      </w:r>
      <w:r w:rsidR="006B31D1">
        <w:rPr>
          <w:rFonts w:cs="Open Sans"/>
        </w:rPr>
        <w:t xml:space="preserve"> </w:t>
      </w:r>
      <w:r w:rsidR="0051705B">
        <w:rPr>
          <w:rFonts w:cs="Open Sans"/>
        </w:rPr>
        <w:t>The actions suggested under the Plan</w:t>
      </w:r>
      <w:r w:rsidR="004C1F8F">
        <w:rPr>
          <w:rFonts w:cs="Open Sans"/>
        </w:rPr>
        <w:t>,</w:t>
      </w:r>
      <w:r w:rsidR="00D35FDA">
        <w:rPr>
          <w:rFonts w:cs="Open Sans"/>
        </w:rPr>
        <w:t xml:space="preserve"> and implemented by health authorities and disability service providers</w:t>
      </w:r>
      <w:r w:rsidR="004C1F8F">
        <w:rPr>
          <w:rFonts w:cs="Open Sans"/>
        </w:rPr>
        <w:t>,</w:t>
      </w:r>
      <w:r w:rsidR="00D35FDA">
        <w:rPr>
          <w:rFonts w:cs="Open Sans"/>
        </w:rPr>
        <w:t xml:space="preserve"> need to be informed by human rights considerations. </w:t>
      </w:r>
    </w:p>
    <w:p w14:paraId="35EB179D" w14:textId="6B4791F5" w:rsidR="00C31D85" w:rsidRDefault="00D35FDA" w:rsidP="007873C8">
      <w:pPr>
        <w:spacing w:after="600"/>
        <w:rPr>
          <w:rFonts w:cs="Open Sans"/>
        </w:rPr>
      </w:pPr>
      <w:r>
        <w:rPr>
          <w:rFonts w:cs="Open Sans"/>
        </w:rPr>
        <w:lastRenderedPageBreak/>
        <w:t xml:space="preserve">These Guidelines </w:t>
      </w:r>
      <w:r w:rsidR="004C1F8F">
        <w:rPr>
          <w:rFonts w:cs="Open Sans"/>
        </w:rPr>
        <w:t>are designed to</w:t>
      </w:r>
      <w:r>
        <w:rPr>
          <w:rFonts w:cs="Open Sans"/>
        </w:rPr>
        <w:t xml:space="preserve"> ensure </w:t>
      </w:r>
      <w:r w:rsidR="007A1298">
        <w:rPr>
          <w:rFonts w:cs="Open Sans"/>
        </w:rPr>
        <w:t xml:space="preserve">that human rights considerations inform </w:t>
      </w:r>
      <w:r>
        <w:rPr>
          <w:rFonts w:cs="Open Sans"/>
        </w:rPr>
        <w:t xml:space="preserve">the </w:t>
      </w:r>
      <w:r w:rsidR="003918E5">
        <w:rPr>
          <w:rFonts w:cs="Open Sans"/>
        </w:rPr>
        <w:t xml:space="preserve">decisions made by health care and disability workers </w:t>
      </w:r>
      <w:r w:rsidR="006942BE">
        <w:rPr>
          <w:rFonts w:cs="Open Sans"/>
        </w:rPr>
        <w:t>when supporting people with disability.</w:t>
      </w:r>
    </w:p>
    <w:p w14:paraId="4A0838DA" w14:textId="77777777" w:rsidR="007873C8" w:rsidRPr="007873C8" w:rsidRDefault="007873C8" w:rsidP="007873C8">
      <w:pPr>
        <w:spacing w:after="120"/>
        <w:rPr>
          <w:b/>
          <w:bCs/>
          <w:lang w:val="en-US"/>
        </w:rPr>
      </w:pPr>
      <w:r w:rsidRPr="007873C8">
        <w:rPr>
          <w:b/>
          <w:bCs/>
          <w:lang w:val="en-US"/>
        </w:rPr>
        <w:t>Dr Ben Gauntlett</w:t>
      </w:r>
    </w:p>
    <w:p w14:paraId="3879DCA9" w14:textId="77777777" w:rsidR="007873C8" w:rsidRPr="007873C8" w:rsidRDefault="007873C8" w:rsidP="007873C8">
      <w:pPr>
        <w:spacing w:before="0"/>
        <w:rPr>
          <w:lang w:val="en-US"/>
        </w:rPr>
      </w:pPr>
      <w:r w:rsidRPr="007873C8">
        <w:rPr>
          <w:lang w:val="en-US"/>
        </w:rPr>
        <w:t>Disability Discrimination Commissioner</w:t>
      </w:r>
      <w:r w:rsidRPr="007873C8">
        <w:rPr>
          <w:lang w:val="en-US"/>
        </w:rPr>
        <w:br/>
        <w:t>Australian Human Rights Commission</w:t>
      </w:r>
    </w:p>
    <w:p w14:paraId="42BB4E17" w14:textId="77777777" w:rsidR="007873C8" w:rsidRPr="007873C8" w:rsidRDefault="007873C8" w:rsidP="004427B7">
      <w:pPr>
        <w:rPr>
          <w:rFonts w:cs="Open Sans"/>
          <w:lang w:val="en-US"/>
        </w:rPr>
      </w:pPr>
    </w:p>
    <w:p w14:paraId="261F4A2B" w14:textId="77777777" w:rsidR="00C31D85" w:rsidRDefault="00C31D85">
      <w:pPr>
        <w:keepLines w:val="0"/>
        <w:spacing w:before="0" w:after="0"/>
        <w:rPr>
          <w:rFonts w:cs="Open Sans"/>
        </w:rPr>
      </w:pPr>
      <w:r>
        <w:rPr>
          <w:rFonts w:cs="Open Sans"/>
        </w:rPr>
        <w:br w:type="page"/>
      </w:r>
    </w:p>
    <w:p w14:paraId="344097F3" w14:textId="5B2E200E" w:rsidR="00AE5FA2" w:rsidRPr="002F4ACB" w:rsidRDefault="00DE5A67" w:rsidP="006F456B">
      <w:pPr>
        <w:pStyle w:val="Heading1"/>
        <w:rPr>
          <w:rFonts w:cs="Arial"/>
        </w:rPr>
      </w:pPr>
      <w:bookmarkStart w:id="4" w:name="_Toc46679141"/>
      <w:r w:rsidRPr="002F4ACB">
        <w:rPr>
          <w:rFonts w:cs="Arial"/>
        </w:rPr>
        <w:lastRenderedPageBreak/>
        <w:t>Introduction</w:t>
      </w:r>
      <w:bookmarkEnd w:id="4"/>
    </w:p>
    <w:p w14:paraId="5529A3BE" w14:textId="6E20696C" w:rsidR="004B5062" w:rsidRPr="00906BD6" w:rsidRDefault="00AE5FA2" w:rsidP="007E58A3">
      <w:pPr>
        <w:rPr>
          <w:rFonts w:cs="Open Sans"/>
        </w:rPr>
      </w:pPr>
      <w:r w:rsidRPr="07CA5E0B">
        <w:rPr>
          <w:rFonts w:cs="Open Sans"/>
        </w:rPr>
        <w:t>P</w:t>
      </w:r>
      <w:r w:rsidR="005D255A" w:rsidRPr="07CA5E0B">
        <w:rPr>
          <w:rFonts w:cs="Open Sans"/>
        </w:rPr>
        <w:t xml:space="preserve">olicy responses to </w:t>
      </w:r>
      <w:r w:rsidR="794A3EF5" w:rsidRPr="604CE693">
        <w:rPr>
          <w:rFonts w:cs="Open Sans"/>
        </w:rPr>
        <w:t xml:space="preserve">the SARS-CoV-2 virus </w:t>
      </w:r>
      <w:r w:rsidR="62656783" w:rsidRPr="604CE693">
        <w:rPr>
          <w:rFonts w:cs="Open Sans"/>
        </w:rPr>
        <w:t xml:space="preserve">and associated </w:t>
      </w:r>
      <w:r w:rsidR="29872D40" w:rsidRPr="604CE693">
        <w:rPr>
          <w:rFonts w:cs="Open Sans"/>
        </w:rPr>
        <w:t xml:space="preserve">disease, </w:t>
      </w:r>
      <w:r w:rsidR="00203270" w:rsidRPr="07CA5E0B" w:rsidDel="00000DF2">
        <w:rPr>
          <w:rFonts w:cs="Open Sans"/>
        </w:rPr>
        <w:t>COVID-19</w:t>
      </w:r>
      <w:r w:rsidR="00622011" w:rsidRPr="07CA5E0B">
        <w:rPr>
          <w:rFonts w:cs="Open Sans"/>
        </w:rPr>
        <w:t>, including isolation and social</w:t>
      </w:r>
      <w:r w:rsidR="007B27E0">
        <w:rPr>
          <w:rFonts w:cs="Open Sans"/>
        </w:rPr>
        <w:t xml:space="preserve"> </w:t>
      </w:r>
      <w:r w:rsidR="00622011" w:rsidRPr="07CA5E0B">
        <w:rPr>
          <w:rFonts w:cs="Open Sans"/>
        </w:rPr>
        <w:t>distancing measures,</w:t>
      </w:r>
      <w:r w:rsidR="00203270" w:rsidRPr="07CA5E0B">
        <w:rPr>
          <w:rFonts w:cs="Open Sans"/>
        </w:rPr>
        <w:t xml:space="preserve"> may </w:t>
      </w:r>
      <w:r w:rsidR="00CE23D1">
        <w:rPr>
          <w:rFonts w:cs="Open Sans"/>
        </w:rPr>
        <w:t xml:space="preserve">in </w:t>
      </w:r>
      <w:r w:rsidR="000C3FB2">
        <w:rPr>
          <w:rFonts w:cs="Open Sans"/>
        </w:rPr>
        <w:t xml:space="preserve">certain </w:t>
      </w:r>
      <w:r w:rsidR="00CE23D1">
        <w:rPr>
          <w:rFonts w:cs="Open Sans"/>
        </w:rPr>
        <w:t xml:space="preserve">circumstances </w:t>
      </w:r>
      <w:r w:rsidR="00904D1B">
        <w:rPr>
          <w:rFonts w:cs="Open Sans"/>
        </w:rPr>
        <w:t xml:space="preserve">have a greater </w:t>
      </w:r>
      <w:r w:rsidR="00203270" w:rsidRPr="07CA5E0B">
        <w:rPr>
          <w:rFonts w:cs="Open Sans"/>
        </w:rPr>
        <w:t xml:space="preserve">impact on </w:t>
      </w:r>
      <w:r w:rsidR="00456D97" w:rsidRPr="07CA5E0B">
        <w:rPr>
          <w:rFonts w:cs="Open Sans"/>
        </w:rPr>
        <w:t xml:space="preserve">some </w:t>
      </w:r>
      <w:r w:rsidR="00203270" w:rsidRPr="07CA5E0B">
        <w:rPr>
          <w:rFonts w:cs="Open Sans"/>
        </w:rPr>
        <w:t>people with disability</w:t>
      </w:r>
      <w:r w:rsidR="007A45CB" w:rsidRPr="07CA5E0B">
        <w:rPr>
          <w:rFonts w:cs="Open Sans"/>
        </w:rPr>
        <w:t xml:space="preserve">, particularly those who rely on </w:t>
      </w:r>
      <w:r w:rsidR="00AA7BEB" w:rsidRPr="07CA5E0B">
        <w:rPr>
          <w:rFonts w:cs="Open Sans"/>
        </w:rPr>
        <w:t>carers and other support people</w:t>
      </w:r>
      <w:r w:rsidR="00717C38" w:rsidRPr="07CA5E0B">
        <w:rPr>
          <w:rFonts w:cs="Open Sans"/>
        </w:rPr>
        <w:t>,</w:t>
      </w:r>
      <w:r w:rsidR="00476620" w:rsidRPr="07CA5E0B">
        <w:rPr>
          <w:rFonts w:cs="Open Sans"/>
        </w:rPr>
        <w:t xml:space="preserve"> </w:t>
      </w:r>
      <w:r w:rsidR="009D0510" w:rsidRPr="07CA5E0B">
        <w:rPr>
          <w:rFonts w:cs="Open Sans"/>
        </w:rPr>
        <w:t xml:space="preserve">and those who live </w:t>
      </w:r>
      <w:r w:rsidR="00861CEC" w:rsidRPr="07CA5E0B">
        <w:rPr>
          <w:rFonts w:cs="Open Sans"/>
        </w:rPr>
        <w:t xml:space="preserve">or work </w:t>
      </w:r>
      <w:r w:rsidR="009D0510" w:rsidRPr="07CA5E0B">
        <w:rPr>
          <w:rFonts w:cs="Open Sans"/>
        </w:rPr>
        <w:t>in high-risk environments</w:t>
      </w:r>
      <w:r w:rsidRPr="07CA5E0B">
        <w:rPr>
          <w:rFonts w:cs="Open Sans"/>
        </w:rPr>
        <w:t>.</w:t>
      </w:r>
    </w:p>
    <w:p w14:paraId="1B40A3FD" w14:textId="524D5C9B" w:rsidR="00AE5FA2" w:rsidRDefault="00AE5FA2" w:rsidP="008E52BE">
      <w:r>
        <w:t>T</w:t>
      </w:r>
      <w:r w:rsidR="00C8169B" w:rsidRPr="00906BD6">
        <w:t xml:space="preserve">reatment protocols </w:t>
      </w:r>
      <w:r w:rsidR="00E02C96">
        <w:t>for</w:t>
      </w:r>
      <w:r w:rsidR="00E02C96" w:rsidRPr="00906BD6">
        <w:t xml:space="preserve"> </w:t>
      </w:r>
      <w:r w:rsidR="007C7F97" w:rsidRPr="00906BD6">
        <w:t>medical practitioners</w:t>
      </w:r>
      <w:r w:rsidRPr="00906BD6">
        <w:t>, health and disability support workers</w:t>
      </w:r>
      <w:r w:rsidR="00E93710" w:rsidRPr="00906BD6">
        <w:t xml:space="preserve"> </w:t>
      </w:r>
      <w:r w:rsidR="00700F43">
        <w:t xml:space="preserve">may, </w:t>
      </w:r>
      <w:r w:rsidR="00CE23D1">
        <w:t xml:space="preserve">in </w:t>
      </w:r>
      <w:r w:rsidR="00AD5BE3">
        <w:t xml:space="preserve">certain </w:t>
      </w:r>
      <w:r w:rsidR="00CE23D1">
        <w:t>circumstances</w:t>
      </w:r>
      <w:r w:rsidR="00700F43">
        <w:t>,</w:t>
      </w:r>
      <w:r w:rsidR="00CE23D1">
        <w:t xml:space="preserve"> </w:t>
      </w:r>
      <w:r w:rsidR="00C8169B" w:rsidRPr="00906BD6">
        <w:t xml:space="preserve">also </w:t>
      </w:r>
      <w:r w:rsidR="00290018" w:rsidRPr="00906BD6">
        <w:t>have</w:t>
      </w:r>
      <w:r w:rsidR="00C8169B" w:rsidRPr="00906BD6">
        <w:t xml:space="preserve"> the potential to discriminate against people with disability</w:t>
      </w:r>
      <w:r w:rsidR="00A27366">
        <w:t>. This occurs</w:t>
      </w:r>
      <w:r w:rsidR="00290018" w:rsidRPr="00906BD6">
        <w:t xml:space="preserve"> when </w:t>
      </w:r>
      <w:r w:rsidR="006F51A4" w:rsidRPr="00906BD6">
        <w:t xml:space="preserve">unwarranted assumptions </w:t>
      </w:r>
      <w:r w:rsidR="00430F39">
        <w:t xml:space="preserve">are made </w:t>
      </w:r>
      <w:r w:rsidR="006F51A4" w:rsidRPr="00906BD6">
        <w:t xml:space="preserve">about people with disability or </w:t>
      </w:r>
      <w:r w:rsidR="00430F39">
        <w:t xml:space="preserve">when </w:t>
      </w:r>
      <w:r w:rsidR="005712DA">
        <w:t>their needs and preferences</w:t>
      </w:r>
      <w:r w:rsidR="00430F39">
        <w:t xml:space="preserve"> are not adequately taken</w:t>
      </w:r>
      <w:r w:rsidR="005712DA">
        <w:t xml:space="preserve"> </w:t>
      </w:r>
      <w:r w:rsidR="00290018" w:rsidRPr="00906BD6">
        <w:t>into account</w:t>
      </w:r>
      <w:r>
        <w:t>.</w:t>
      </w:r>
      <w:r w:rsidR="00CB31B9">
        <w:t xml:space="preserve"> This discrimination may be unintentional and undertaken unknowingly. </w:t>
      </w:r>
    </w:p>
    <w:p w14:paraId="63B956A0" w14:textId="049288FC" w:rsidR="00FF51E7" w:rsidRDefault="00AE5FA2" w:rsidP="008E52BE">
      <w:r>
        <w:t>I</w:t>
      </w:r>
      <w:r w:rsidR="00EA3D78" w:rsidRPr="00906BD6">
        <w:t>n some cases, it may be necessary to treat people with disability differently</w:t>
      </w:r>
      <w:r w:rsidR="00526E41" w:rsidRPr="00906BD6">
        <w:t xml:space="preserve"> in order to ensure ‘disability neutrality’</w:t>
      </w:r>
      <w:r w:rsidR="00FF51E7">
        <w:t>.</w:t>
      </w:r>
      <w:r w:rsidR="00284081">
        <w:rPr>
          <w:rStyle w:val="EndnoteReference"/>
          <w:rFonts w:cs="Open Sans"/>
        </w:rPr>
        <w:endnoteReference w:id="2"/>
      </w:r>
      <w:r w:rsidR="00526E41" w:rsidRPr="00906BD6">
        <w:t xml:space="preserve"> </w:t>
      </w:r>
      <w:r w:rsidR="00FF51E7">
        <w:t>T</w:t>
      </w:r>
      <w:r w:rsidR="00526E41" w:rsidRPr="00906BD6">
        <w:t>hat is</w:t>
      </w:r>
      <w:r w:rsidR="00EA3D78" w:rsidRPr="00906BD6">
        <w:t xml:space="preserve">, to ensure that they </w:t>
      </w:r>
      <w:r w:rsidR="002D2704" w:rsidRPr="00906BD6">
        <w:t>enjoy their human rights</w:t>
      </w:r>
      <w:r w:rsidR="00B81F99" w:rsidRPr="00906BD6">
        <w:t>, including the right to health, on an</w:t>
      </w:r>
      <w:r w:rsidR="00F026F7" w:rsidRPr="00906BD6">
        <w:t xml:space="preserve"> equal</w:t>
      </w:r>
      <w:r w:rsidR="00B81F99" w:rsidRPr="00906BD6">
        <w:t xml:space="preserve"> basis with other people</w:t>
      </w:r>
      <w:r w:rsidR="002D2704" w:rsidRPr="00906BD6">
        <w:t>.</w:t>
      </w:r>
      <w:r>
        <w:t xml:space="preserve"> This is consistent with the concept of </w:t>
      </w:r>
      <w:r w:rsidR="007527A6">
        <w:t>‘</w:t>
      </w:r>
      <w:r w:rsidR="007825B1">
        <w:t>substantive equality</w:t>
      </w:r>
      <w:r w:rsidR="007527A6">
        <w:t>’</w:t>
      </w:r>
      <w:r w:rsidR="0028617C">
        <w:t>. It</w:t>
      </w:r>
      <w:r w:rsidR="007825B1">
        <w:t xml:space="preserve"> requires rules to be questioned, differences acknowledged</w:t>
      </w:r>
      <w:r w:rsidR="00346274">
        <w:t>,</w:t>
      </w:r>
      <w:r w:rsidR="007825B1">
        <w:t xml:space="preserve"> and </w:t>
      </w:r>
      <w:r w:rsidR="009A2078">
        <w:t>reasonabl</w:t>
      </w:r>
      <w:r w:rsidR="00FF51E7">
        <w:t>e accommodations made rather than ignored</w:t>
      </w:r>
      <w:r w:rsidR="005712DA">
        <w:t>,</w:t>
      </w:r>
      <w:r w:rsidR="00FF51E7">
        <w:t xml:space="preserve"> so as to enable equality of opportunity and not just merely equality of treatment.</w:t>
      </w:r>
    </w:p>
    <w:p w14:paraId="049DE492" w14:textId="38567148" w:rsidR="007873C8" w:rsidRDefault="007873C8">
      <w:pPr>
        <w:keepLines w:val="0"/>
        <w:spacing w:before="0" w:after="0"/>
      </w:pPr>
      <w:r>
        <w:br w:type="page"/>
      </w:r>
    </w:p>
    <w:p w14:paraId="0D3413EA" w14:textId="4E966ED9" w:rsidR="0061053C" w:rsidRPr="00A67A4F" w:rsidRDefault="0061053C" w:rsidP="0061053C">
      <w:pPr>
        <w:pStyle w:val="Heading1"/>
      </w:pPr>
      <w:bookmarkStart w:id="5" w:name="_Toc46679142"/>
      <w:r>
        <w:lastRenderedPageBreak/>
        <w:t>Role of the Guidelines</w:t>
      </w:r>
      <w:bookmarkEnd w:id="5"/>
    </w:p>
    <w:p w14:paraId="0528FE79" w14:textId="67F4F067" w:rsidR="00346274" w:rsidRPr="00346274" w:rsidRDefault="00346274" w:rsidP="008E52BE">
      <w:r>
        <w:t xml:space="preserve">These Guidelines are issued under section 67(1)(k) of the </w:t>
      </w:r>
      <w:r>
        <w:rPr>
          <w:i/>
          <w:iCs/>
        </w:rPr>
        <w:t>Disability Discrimination Act 1992</w:t>
      </w:r>
      <w:r>
        <w:t xml:space="preserve"> (</w:t>
      </w:r>
      <w:proofErr w:type="spellStart"/>
      <w:r>
        <w:t>Cth</w:t>
      </w:r>
      <w:proofErr w:type="spellEnd"/>
      <w:r>
        <w:t xml:space="preserve">) (the </w:t>
      </w:r>
      <w:r w:rsidR="00234A3F">
        <w:t>DDA</w:t>
      </w:r>
      <w:r>
        <w:t>)</w:t>
      </w:r>
      <w:r w:rsidR="00BF4702">
        <w:t xml:space="preserve"> and section </w:t>
      </w:r>
      <w:r w:rsidR="00F15C99">
        <w:t xml:space="preserve">11(1)(n) of the </w:t>
      </w:r>
      <w:r w:rsidR="00F15C99" w:rsidRPr="007E58A3">
        <w:rPr>
          <w:i/>
          <w:iCs/>
        </w:rPr>
        <w:t>Australian Human Rights Commission Act 1986</w:t>
      </w:r>
      <w:r w:rsidR="00F15C99">
        <w:t xml:space="preserve"> (</w:t>
      </w:r>
      <w:proofErr w:type="spellStart"/>
      <w:r w:rsidR="00F15C99">
        <w:t>Cth</w:t>
      </w:r>
      <w:proofErr w:type="spellEnd"/>
      <w:r w:rsidR="00F15C99">
        <w:t>)</w:t>
      </w:r>
      <w:r>
        <w:t xml:space="preserve">. </w:t>
      </w:r>
      <w:r w:rsidR="00F15C99">
        <w:t xml:space="preserve">These </w:t>
      </w:r>
      <w:r>
        <w:t>provision</w:t>
      </w:r>
      <w:r w:rsidR="00F15C99">
        <w:t>s</w:t>
      </w:r>
      <w:r>
        <w:t xml:space="preserve"> give the</w:t>
      </w:r>
      <w:r w:rsidR="0070537C">
        <w:t xml:space="preserve"> Australian Human Rights Commission </w:t>
      </w:r>
      <w:r>
        <w:t>the power to publish guidelines ‘for the avoidance of discrimination on the ground of disability’</w:t>
      </w:r>
      <w:r>
        <w:rPr>
          <w:rStyle w:val="EndnoteReference"/>
          <w:rFonts w:cs="Open Sans"/>
        </w:rPr>
        <w:endnoteReference w:id="3"/>
      </w:r>
      <w:r w:rsidR="00E41F42">
        <w:t xml:space="preserve"> and for the avoidance of acts or practices </w:t>
      </w:r>
      <w:r w:rsidR="00272FDC">
        <w:t>that may be inconsistent with or contrary to any human right.</w:t>
      </w:r>
      <w:r w:rsidR="00272FDC">
        <w:rPr>
          <w:rStyle w:val="EndnoteReference"/>
          <w:rFonts w:cs="Open Sans"/>
        </w:rPr>
        <w:endnoteReference w:id="4"/>
      </w:r>
    </w:p>
    <w:p w14:paraId="21ECA3EB" w14:textId="587F6067" w:rsidR="0061053C" w:rsidRDefault="0061053C" w:rsidP="00F277FA">
      <w:pPr>
        <w:spacing w:after="360"/>
      </w:pPr>
      <w:r w:rsidRPr="07CA5E0B">
        <w:t xml:space="preserve">These Guidelines have been developed to </w:t>
      </w:r>
      <w:r w:rsidRPr="07CA5E0B">
        <w:rPr>
          <w:b/>
          <w:bCs/>
        </w:rPr>
        <w:t xml:space="preserve">support </w:t>
      </w:r>
      <w:r w:rsidRPr="07CA5E0B">
        <w:t xml:space="preserve">the </w:t>
      </w:r>
      <w:r w:rsidR="00E64661">
        <w:t xml:space="preserve">Advisory </w:t>
      </w:r>
      <w:r w:rsidRPr="07CA5E0B">
        <w:t>Committee</w:t>
      </w:r>
      <w:r w:rsidR="00E64661">
        <w:t xml:space="preserve"> for the COVID-19 Response for People with Disability (Advisory Committee) </w:t>
      </w:r>
      <w:r w:rsidRPr="07CA5E0B">
        <w:rPr>
          <w:i/>
          <w:iCs/>
        </w:rPr>
        <w:t>Management and Operational Plan for People with Disability</w:t>
      </w:r>
      <w:r w:rsidR="007309C2">
        <w:rPr>
          <w:i/>
          <w:iCs/>
        </w:rPr>
        <w:t xml:space="preserve"> </w:t>
      </w:r>
      <w:r w:rsidR="007309C2">
        <w:t>(the Plan)</w:t>
      </w:r>
      <w:r w:rsidRPr="07CA5E0B">
        <w:t xml:space="preserve">. The Plan was developed in accordance with the Australian Health Sector Emergency Response Plan for </w:t>
      </w:r>
      <w:r w:rsidR="00867278">
        <w:t xml:space="preserve">Novel </w:t>
      </w:r>
      <w:r w:rsidRPr="07CA5E0B">
        <w:t xml:space="preserve">Coronavirus </w:t>
      </w:r>
      <w:r w:rsidR="00867278">
        <w:t xml:space="preserve">(COVID-19) </w:t>
      </w:r>
      <w:r w:rsidRPr="07CA5E0B">
        <w:t>and has been endorsed by the Australian Health Protection Principal Committee.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4" w:type="dxa"/>
          <w:left w:w="284" w:type="dxa"/>
          <w:bottom w:w="284" w:type="dxa"/>
          <w:right w:w="284" w:type="dxa"/>
        </w:tblCellMar>
        <w:tblLook w:val="04A0" w:firstRow="1" w:lastRow="0" w:firstColumn="1" w:lastColumn="0" w:noHBand="0" w:noVBand="1"/>
      </w:tblPr>
      <w:tblGrid>
        <w:gridCol w:w="9016"/>
      </w:tblGrid>
      <w:tr w:rsidR="00E64661" w14:paraId="36C6BC43" w14:textId="77777777" w:rsidTr="007873C8">
        <w:tc>
          <w:tcPr>
            <w:tcW w:w="9016" w:type="dxa"/>
            <w:shd w:val="clear" w:color="auto" w:fill="F2F2F2" w:themeFill="background1" w:themeFillShade="F2"/>
          </w:tcPr>
          <w:p w14:paraId="53698E79" w14:textId="77777777" w:rsidR="00E64661" w:rsidRPr="00836348" w:rsidRDefault="00E64661" w:rsidP="00F277FA">
            <w:pPr>
              <w:pStyle w:val="HeadingOrange"/>
            </w:pPr>
            <w:r w:rsidRPr="00836348">
              <w:t xml:space="preserve">About the Advisory </w:t>
            </w:r>
            <w:r w:rsidRPr="00F277FA">
              <w:t>Committee</w:t>
            </w:r>
          </w:p>
          <w:p w14:paraId="22A7C589" w14:textId="38F6EA8A" w:rsidR="005F3738" w:rsidRDefault="005F3738" w:rsidP="008E52BE">
            <w:r w:rsidRPr="005F3738">
              <w:t xml:space="preserve">In recognition of the significant impact of the </w:t>
            </w:r>
            <w:r w:rsidR="00E459A1">
              <w:t>COVID-19</w:t>
            </w:r>
            <w:r w:rsidRPr="005F3738">
              <w:t xml:space="preserve"> </w:t>
            </w:r>
            <w:r w:rsidR="00E459A1" w:rsidRPr="005F3738">
              <w:t>pandemic</w:t>
            </w:r>
            <w:r w:rsidR="00E459A1">
              <w:t xml:space="preserve"> </w:t>
            </w:r>
            <w:r w:rsidRPr="005F3738">
              <w:t>on people with disability</w:t>
            </w:r>
            <w:r w:rsidR="00E459A1">
              <w:t>,</w:t>
            </w:r>
            <w:r w:rsidRPr="005F3738">
              <w:t xml:space="preserve"> the Australian </w:t>
            </w:r>
            <w:r w:rsidR="0023442F">
              <w:t>G</w:t>
            </w:r>
            <w:r w:rsidR="0023442F" w:rsidRPr="005F3738">
              <w:t xml:space="preserve">overnment </w:t>
            </w:r>
            <w:r w:rsidRPr="005F3738">
              <w:t>established the Advisory Committee in early April 2020.</w:t>
            </w:r>
          </w:p>
          <w:p w14:paraId="17A52D47" w14:textId="5A6D1C19" w:rsidR="005F3738" w:rsidRPr="005F3738" w:rsidRDefault="005F3738" w:rsidP="00F277FA">
            <w:pPr>
              <w:spacing w:after="120"/>
            </w:pPr>
            <w:r w:rsidRPr="005F3738">
              <w:t>The Advisory Committee advises the Chief Medical Officer.</w:t>
            </w:r>
            <w:r>
              <w:t xml:space="preserve"> T</w:t>
            </w:r>
            <w:r w:rsidRPr="005F3738">
              <w:t>he primary aim of its current work is to ensure the health and safety of people with disability during</w:t>
            </w:r>
            <w:r>
              <w:t xml:space="preserve"> the</w:t>
            </w:r>
            <w:r w:rsidRPr="005F3738">
              <w:t xml:space="preserve"> COVID-19</w:t>
            </w:r>
            <w:r>
              <w:t xml:space="preserve"> pandemic.</w:t>
            </w:r>
          </w:p>
        </w:tc>
      </w:tr>
    </w:tbl>
    <w:p w14:paraId="0EFDF648" w14:textId="37BBCFB9" w:rsidR="0061053C" w:rsidRPr="00906BD6" w:rsidRDefault="0061053C" w:rsidP="00F277FA">
      <w:pPr>
        <w:spacing w:before="360"/>
      </w:pPr>
      <w:r>
        <w:t xml:space="preserve">The </w:t>
      </w:r>
      <w:r w:rsidRPr="00906BD6">
        <w:t xml:space="preserve">intended </w:t>
      </w:r>
      <w:r w:rsidRPr="00906BD6">
        <w:rPr>
          <w:b/>
          <w:bCs/>
        </w:rPr>
        <w:t>audience</w:t>
      </w:r>
      <w:r w:rsidRPr="00906BD6">
        <w:t xml:space="preserve"> for the Guidelines</w:t>
      </w:r>
      <w:r w:rsidRPr="0048182C">
        <w:t xml:space="preserve"> </w:t>
      </w:r>
      <w:r w:rsidR="00B940D9">
        <w:t xml:space="preserve">is </w:t>
      </w:r>
      <w:r>
        <w:t>health care workers</w:t>
      </w:r>
      <w:r w:rsidR="00E459A1">
        <w:t>,</w:t>
      </w:r>
      <w:r>
        <w:t xml:space="preserve"> including medical practitioners, nurses and allied health </w:t>
      </w:r>
      <w:r w:rsidR="00262C80">
        <w:t>professionals</w:t>
      </w:r>
      <w:r>
        <w:t xml:space="preserve">, </w:t>
      </w:r>
      <w:r w:rsidR="00FE43BA">
        <w:t xml:space="preserve">and </w:t>
      </w:r>
      <w:r>
        <w:t xml:space="preserve">disability services and support workers </w:t>
      </w:r>
      <w:r w:rsidRPr="00906BD6">
        <w:t xml:space="preserve">particularly in the </w:t>
      </w:r>
      <w:r>
        <w:t>health and disability support</w:t>
      </w:r>
      <w:r w:rsidRPr="00906BD6">
        <w:t xml:space="preserve"> system</w:t>
      </w:r>
      <w:r>
        <w:t>s where individuals with complex support needs are being assisted. The Guidelines may also be a useful resource for people with disability, their families and carers</w:t>
      </w:r>
      <w:r w:rsidR="00E459A1">
        <w:t>,</w:t>
      </w:r>
      <w:r>
        <w:t xml:space="preserve"> to assist them to understand their rights in a health care setting.</w:t>
      </w:r>
    </w:p>
    <w:p w14:paraId="5FD492DD" w14:textId="7165DB54" w:rsidR="00A50280" w:rsidRDefault="0061053C" w:rsidP="00F277FA">
      <w:pPr>
        <w:spacing w:after="360"/>
      </w:pPr>
      <w:r w:rsidRPr="00906BD6">
        <w:rPr>
          <w:bCs/>
        </w:rPr>
        <w:t xml:space="preserve">The </w:t>
      </w:r>
      <w:r w:rsidRPr="00906BD6">
        <w:rPr>
          <w:b/>
          <w:bCs/>
        </w:rPr>
        <w:t>purpose</w:t>
      </w:r>
      <w:r w:rsidRPr="00906BD6">
        <w:t xml:space="preserve"> of the Guidelines </w:t>
      </w:r>
      <w:r>
        <w:t>is</w:t>
      </w:r>
      <w:r w:rsidRPr="00906BD6">
        <w:t xml:space="preserve"> to provide practical guidance on </w:t>
      </w:r>
      <w:r>
        <w:t>how to apply</w:t>
      </w:r>
      <w:r w:rsidRPr="00906BD6">
        <w:t xml:space="preserve"> a human</w:t>
      </w:r>
      <w:r w:rsidR="00E2119A">
        <w:t xml:space="preserve"> </w:t>
      </w:r>
      <w:r w:rsidRPr="00906BD6">
        <w:t>rights</w:t>
      </w:r>
      <w:r w:rsidR="00E2119A">
        <w:t>-</w:t>
      </w:r>
      <w:r w:rsidRPr="00906BD6">
        <w:t>based approach to decision</w:t>
      </w:r>
      <w:r w:rsidR="00A348DB">
        <w:t>-</w:t>
      </w:r>
      <w:r w:rsidRPr="00906BD6">
        <w:t>making within the health system in the context of the current pandemic, that takes the rights of people with disability</w:t>
      </w:r>
      <w:r w:rsidR="00785BEF">
        <w:t xml:space="preserve"> properly into account</w:t>
      </w:r>
      <w:r>
        <w:t xml:space="preserve">. </w:t>
      </w:r>
      <w:r w:rsidR="00914BC5">
        <w:t>H</w:t>
      </w:r>
      <w:r w:rsidRPr="00906BD6">
        <w:t>ealth care</w:t>
      </w:r>
      <w:r>
        <w:t xml:space="preserve"> and disability support</w:t>
      </w:r>
      <w:r w:rsidRPr="00906BD6">
        <w:t xml:space="preserve"> providers </w:t>
      </w:r>
      <w:r w:rsidR="00914BC5">
        <w:t xml:space="preserve">can </w:t>
      </w:r>
      <w:r w:rsidRPr="00906BD6">
        <w:t xml:space="preserve">use these Guidelines as the basis for </w:t>
      </w:r>
      <w:r w:rsidRPr="00143FD4">
        <w:t>developing publicly available medical and treatment protocols</w:t>
      </w:r>
      <w:r w:rsidRPr="00906BD6">
        <w:t xml:space="preserve"> which uphold the human rights principles outlined.</w:t>
      </w:r>
      <w:r w:rsidR="005C42A6">
        <w:rPr>
          <w:rStyle w:val="EndnoteReference"/>
          <w:rFonts w:cs="Open Sans"/>
        </w:rPr>
        <w:endnoteReference w:id="5"/>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04878" w:themeFill="accent5"/>
        <w:tblCellMar>
          <w:top w:w="284" w:type="dxa"/>
          <w:left w:w="284" w:type="dxa"/>
          <w:bottom w:w="284" w:type="dxa"/>
          <w:right w:w="284" w:type="dxa"/>
        </w:tblCellMar>
        <w:tblLook w:val="04A0" w:firstRow="1" w:lastRow="0" w:firstColumn="1" w:lastColumn="0" w:noHBand="0" w:noVBand="1"/>
      </w:tblPr>
      <w:tblGrid>
        <w:gridCol w:w="9016"/>
      </w:tblGrid>
      <w:tr w:rsidR="00AE47FD" w14:paraId="07834702" w14:textId="77777777" w:rsidTr="00702011">
        <w:tc>
          <w:tcPr>
            <w:tcW w:w="9016" w:type="dxa"/>
            <w:shd w:val="clear" w:color="auto" w:fill="604878" w:themeFill="accent5"/>
          </w:tcPr>
          <w:p w14:paraId="7850919B" w14:textId="65351CA3" w:rsidR="00AE47FD" w:rsidRPr="00AE4B22" w:rsidRDefault="0027466F" w:rsidP="00AE4B22">
            <w:pPr>
              <w:pStyle w:val="Quote14ptWhite"/>
              <w:rPr>
                <w:rFonts w:cs="Open Sans"/>
              </w:rPr>
            </w:pPr>
            <w:r w:rsidRPr="00AE4B22">
              <w:rPr>
                <w:rFonts w:cs="Open Sans"/>
              </w:rPr>
              <w:lastRenderedPageBreak/>
              <w:t>“</w:t>
            </w:r>
            <w:r w:rsidR="00AE47FD" w:rsidRPr="00AE4B22">
              <w:t>A human rights approach is critical to response and recovery efforts not only in relation to the COVID-19 pandemic, but also to ensure that States take action now to build equitable, sustainable and resilient societies that have the mechanisms to prevent and respond rapidly to future public health emergencies and to ensure that ‘no-one is left behind</w:t>
            </w:r>
            <w:r w:rsidR="00A711C6" w:rsidRPr="00AE4B22">
              <w:t>’</w:t>
            </w:r>
            <w:r w:rsidR="00AE47FD" w:rsidRPr="00AE4B22">
              <w:rPr>
                <w:rFonts w:cs="Open Sans"/>
              </w:rPr>
              <w:t>.</w:t>
            </w:r>
            <w:r w:rsidRPr="00AE4B22">
              <w:rPr>
                <w:rFonts w:cs="Open Sans"/>
              </w:rPr>
              <w:t>”</w:t>
            </w:r>
            <w:r w:rsidR="00AE47FD" w:rsidRPr="00AE4B22">
              <w:rPr>
                <w:rStyle w:val="EndnoteReference"/>
                <w:rFonts w:cs="Open Sans"/>
              </w:rPr>
              <w:endnoteReference w:id="6"/>
            </w:r>
          </w:p>
          <w:p w14:paraId="28C42319" w14:textId="21C52BC3" w:rsidR="00AE47FD" w:rsidRPr="00506E90" w:rsidRDefault="00AE47FD" w:rsidP="00F46042">
            <w:pPr>
              <w:rPr>
                <w:rFonts w:cs="Open Sans"/>
                <w:sz w:val="22"/>
                <w:szCs w:val="22"/>
              </w:rPr>
            </w:pPr>
            <w:r w:rsidRPr="00506E90">
              <w:rPr>
                <w:rFonts w:cs="Open Sans"/>
                <w:b/>
                <w:bCs/>
                <w:color w:val="FFFFFF" w:themeColor="background1"/>
                <w:sz w:val="22"/>
                <w:szCs w:val="22"/>
              </w:rPr>
              <w:t>Committee on the Rights of Persons with Disabilities</w:t>
            </w:r>
            <w:r w:rsidR="00945BF0" w:rsidRPr="00506E90">
              <w:rPr>
                <w:rStyle w:val="EndnoteReference"/>
                <w:rFonts w:cs="Open Sans"/>
                <w:color w:val="FFFFFF" w:themeColor="background1"/>
                <w:sz w:val="22"/>
                <w:szCs w:val="22"/>
              </w:rPr>
              <w:endnoteReference w:id="7"/>
            </w:r>
            <w:r w:rsidRPr="00506E90">
              <w:rPr>
                <w:rFonts w:cs="Open Sans"/>
                <w:color w:val="FFFFFF" w:themeColor="background1"/>
                <w:sz w:val="22"/>
                <w:szCs w:val="22"/>
              </w:rPr>
              <w:t xml:space="preserve"> </w:t>
            </w:r>
            <w:r w:rsidR="00F91BF4" w:rsidRPr="00506E90">
              <w:rPr>
                <w:rFonts w:cs="Open Sans"/>
                <w:color w:val="FFFFFF" w:themeColor="background1"/>
                <w:sz w:val="22"/>
                <w:szCs w:val="22"/>
              </w:rPr>
              <w:br/>
            </w:r>
            <w:r w:rsidRPr="00506E90">
              <w:rPr>
                <w:rFonts w:cs="Open Sans"/>
                <w:color w:val="FFFFFF" w:themeColor="background1"/>
                <w:sz w:val="22"/>
                <w:szCs w:val="22"/>
              </w:rPr>
              <w:t>9 June 2020</w:t>
            </w:r>
          </w:p>
        </w:tc>
      </w:tr>
    </w:tbl>
    <w:p w14:paraId="662300D5" w14:textId="443A0A85" w:rsidR="007873C8" w:rsidRDefault="007873C8" w:rsidP="007873C8">
      <w:bookmarkStart w:id="6" w:name="_Toc46679143"/>
    </w:p>
    <w:p w14:paraId="01B25C4C" w14:textId="77777777" w:rsidR="007873C8" w:rsidRDefault="007873C8">
      <w:pPr>
        <w:keepLines w:val="0"/>
        <w:spacing w:before="0" w:after="0"/>
      </w:pPr>
      <w:r>
        <w:br w:type="page"/>
      </w:r>
    </w:p>
    <w:p w14:paraId="63394877" w14:textId="14DC6533" w:rsidR="008A1D5E" w:rsidRPr="0073427E" w:rsidRDefault="00230F05" w:rsidP="00F277FA">
      <w:pPr>
        <w:pStyle w:val="Heading1"/>
        <w:spacing w:after="360"/>
        <w:rPr>
          <w:rFonts w:cs="Open Sans"/>
        </w:rPr>
      </w:pPr>
      <w:r>
        <w:lastRenderedPageBreak/>
        <w:t>Disability in Australia</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4" w:type="dxa"/>
          <w:left w:w="284" w:type="dxa"/>
          <w:bottom w:w="284" w:type="dxa"/>
          <w:right w:w="284" w:type="dxa"/>
        </w:tblCellMar>
        <w:tblLook w:val="04A0" w:firstRow="1" w:lastRow="0" w:firstColumn="1" w:lastColumn="0" w:noHBand="0" w:noVBand="1"/>
      </w:tblPr>
      <w:tblGrid>
        <w:gridCol w:w="9016"/>
      </w:tblGrid>
      <w:tr w:rsidR="00EC4956" w14:paraId="72209652" w14:textId="77777777" w:rsidTr="00F277FA">
        <w:tc>
          <w:tcPr>
            <w:tcW w:w="9016" w:type="dxa"/>
            <w:shd w:val="clear" w:color="auto" w:fill="F2F2F2" w:themeFill="background1" w:themeFillShade="F2"/>
          </w:tcPr>
          <w:p w14:paraId="78AAD68C" w14:textId="2D0A6EB0" w:rsidR="004A4D8D" w:rsidRPr="00F277FA" w:rsidRDefault="0014632B" w:rsidP="00F277FA">
            <w:pPr>
              <w:pStyle w:val="HeadingOrange"/>
              <w:rPr>
                <w:bCs w:val="0"/>
              </w:rPr>
            </w:pPr>
            <w:r w:rsidRPr="00F277FA">
              <w:rPr>
                <w:bCs w:val="0"/>
              </w:rPr>
              <w:t>‘</w:t>
            </w:r>
            <w:r w:rsidR="004A4D8D" w:rsidRPr="00F277FA">
              <w:rPr>
                <w:bCs w:val="0"/>
              </w:rPr>
              <w:t>Disability</w:t>
            </w:r>
            <w:r w:rsidRPr="00F277FA">
              <w:rPr>
                <w:bCs w:val="0"/>
              </w:rPr>
              <w:t>’</w:t>
            </w:r>
            <w:r w:rsidR="004A4D8D" w:rsidRPr="00F277FA">
              <w:rPr>
                <w:bCs w:val="0"/>
              </w:rPr>
              <w:t xml:space="preserve"> in the </w:t>
            </w:r>
            <w:r w:rsidR="004A4D8D" w:rsidRPr="00F277FA">
              <w:rPr>
                <w:bCs w:val="0"/>
                <w:i/>
                <w:iCs/>
              </w:rPr>
              <w:t>Disability Discrimination Act 1992</w:t>
            </w:r>
            <w:r w:rsidR="004A4D8D" w:rsidRPr="00F277FA">
              <w:rPr>
                <w:bCs w:val="0"/>
              </w:rPr>
              <w:t xml:space="preserve"> (</w:t>
            </w:r>
            <w:proofErr w:type="spellStart"/>
            <w:r w:rsidR="004A4D8D" w:rsidRPr="00F277FA">
              <w:rPr>
                <w:bCs w:val="0"/>
              </w:rPr>
              <w:t>Cth</w:t>
            </w:r>
            <w:proofErr w:type="spellEnd"/>
            <w:r w:rsidR="004A4D8D" w:rsidRPr="00F277FA">
              <w:rPr>
                <w:bCs w:val="0"/>
              </w:rPr>
              <w:t>)</w:t>
            </w:r>
          </w:p>
          <w:p w14:paraId="1A375F0A" w14:textId="044519D4" w:rsidR="00EC4956" w:rsidRPr="00EC4956" w:rsidRDefault="0081268C" w:rsidP="00EC4956">
            <w:pPr>
              <w:rPr>
                <w:rFonts w:cs="Open Sans"/>
                <w:lang w:val="en-US"/>
              </w:rPr>
            </w:pPr>
            <w:r w:rsidRPr="00F46042">
              <w:rPr>
                <w:rFonts w:cs="Open Sans"/>
                <w:b/>
                <w:bCs/>
              </w:rPr>
              <w:t>Disability</w:t>
            </w:r>
            <w:r w:rsidR="0014632B">
              <w:rPr>
                <w:rFonts w:cs="Open Sans"/>
              </w:rPr>
              <w:t>,</w:t>
            </w:r>
            <w:r>
              <w:rPr>
                <w:rFonts w:cs="Open Sans"/>
              </w:rPr>
              <w:t xml:space="preserve"> </w:t>
            </w:r>
            <w:r w:rsidR="00EC4956" w:rsidRPr="00EC4956">
              <w:rPr>
                <w:rFonts w:cs="Open Sans"/>
              </w:rPr>
              <w:t>in relation to a person, means:</w:t>
            </w:r>
          </w:p>
          <w:p w14:paraId="5945CACA" w14:textId="29A2291C" w:rsidR="00EC4956" w:rsidRPr="00EC4956" w:rsidRDefault="00EC4956" w:rsidP="00017941">
            <w:pPr>
              <w:rPr>
                <w:rFonts w:cs="Open Sans"/>
                <w:lang w:val="en-US"/>
              </w:rPr>
            </w:pPr>
            <w:r w:rsidRPr="00EC4956">
              <w:rPr>
                <w:rFonts w:cs="Open Sans"/>
              </w:rPr>
              <w:t>(a) total or partial loss of the person’s bodily or mental functions; or</w:t>
            </w:r>
          </w:p>
          <w:p w14:paraId="65817E26" w14:textId="4D0FDAE8" w:rsidR="00EC4956" w:rsidRPr="00EC4956" w:rsidRDefault="00EC4956" w:rsidP="00EC4956">
            <w:pPr>
              <w:rPr>
                <w:rFonts w:cs="Open Sans"/>
                <w:lang w:val="en-US"/>
              </w:rPr>
            </w:pPr>
            <w:r w:rsidRPr="00EC4956">
              <w:rPr>
                <w:rFonts w:cs="Open Sans"/>
              </w:rPr>
              <w:t>(b) total or partial loss of a part of the body; or</w:t>
            </w:r>
          </w:p>
          <w:p w14:paraId="33D15EAF" w14:textId="744DD7E9" w:rsidR="00EC4956" w:rsidRPr="00EC4956" w:rsidRDefault="00EC4956" w:rsidP="00EC4956">
            <w:pPr>
              <w:rPr>
                <w:rFonts w:cs="Open Sans"/>
                <w:lang w:val="en-US"/>
              </w:rPr>
            </w:pPr>
            <w:r w:rsidRPr="00EC4956">
              <w:rPr>
                <w:rFonts w:cs="Open Sans"/>
              </w:rPr>
              <w:t>(c) the presence in the body of organisms causing disease or illness; or</w:t>
            </w:r>
          </w:p>
          <w:p w14:paraId="022A221D" w14:textId="6960F97B" w:rsidR="00EC4956" w:rsidRPr="00EC4956" w:rsidRDefault="00EC4956" w:rsidP="00EC4956">
            <w:pPr>
              <w:rPr>
                <w:rFonts w:cs="Open Sans"/>
                <w:lang w:val="en-US"/>
              </w:rPr>
            </w:pPr>
            <w:r w:rsidRPr="00EC4956">
              <w:rPr>
                <w:rFonts w:cs="Open Sans"/>
              </w:rPr>
              <w:t>(d) the presence in the body of organisms capable of causing disease or illness; or</w:t>
            </w:r>
          </w:p>
          <w:p w14:paraId="256B7167" w14:textId="484FDCFE" w:rsidR="00EC4956" w:rsidRPr="00EC4956" w:rsidRDefault="00EC4956" w:rsidP="00EC4956">
            <w:pPr>
              <w:rPr>
                <w:rFonts w:cs="Open Sans"/>
                <w:lang w:val="en-US"/>
              </w:rPr>
            </w:pPr>
            <w:r w:rsidRPr="00EC4956">
              <w:rPr>
                <w:rFonts w:cs="Open Sans"/>
              </w:rPr>
              <w:t>(e) the malfunction, malformation or disfigurement of a part of the person’s body; or</w:t>
            </w:r>
          </w:p>
          <w:p w14:paraId="25EA3F1C" w14:textId="3ADDD909" w:rsidR="00EC4956" w:rsidRPr="00EC4956" w:rsidRDefault="00EC4956" w:rsidP="00EC4956">
            <w:pPr>
              <w:rPr>
                <w:rFonts w:cs="Open Sans"/>
                <w:lang w:val="en-US"/>
              </w:rPr>
            </w:pPr>
            <w:r w:rsidRPr="00EC4956">
              <w:rPr>
                <w:rFonts w:cs="Open Sans"/>
              </w:rPr>
              <w:t>(f) a disorder or malfunction that results in the person learning differently from a person without the disorder or malfunction; or</w:t>
            </w:r>
          </w:p>
          <w:p w14:paraId="2683D29D" w14:textId="6BDC0329" w:rsidR="00EC4956" w:rsidRPr="00EC4956" w:rsidRDefault="00EC4956" w:rsidP="00EC4956">
            <w:pPr>
              <w:rPr>
                <w:rFonts w:cs="Open Sans"/>
                <w:lang w:val="en-US"/>
              </w:rPr>
            </w:pPr>
            <w:r w:rsidRPr="00EC4956">
              <w:rPr>
                <w:rFonts w:cs="Open Sans"/>
              </w:rPr>
              <w:t>(g) a disorder, illness or disease that affects a person’s thought processes, perception of reality, emotions or judgment or that results in disturbed behaviour;</w:t>
            </w:r>
          </w:p>
          <w:p w14:paraId="2A33A8C7" w14:textId="77777777" w:rsidR="00EC4956" w:rsidRPr="00EC4956" w:rsidRDefault="00EC4956" w:rsidP="00EC4956">
            <w:pPr>
              <w:rPr>
                <w:rFonts w:cs="Open Sans"/>
                <w:lang w:val="en-US"/>
              </w:rPr>
            </w:pPr>
            <w:r w:rsidRPr="00EC4956">
              <w:rPr>
                <w:rFonts w:cs="Open Sans"/>
              </w:rPr>
              <w:t>and includes a disability that:</w:t>
            </w:r>
          </w:p>
          <w:p w14:paraId="1ADEA8AC" w14:textId="72723460" w:rsidR="00EC4956" w:rsidRPr="00EC4956" w:rsidRDefault="00EC4956" w:rsidP="00EC4956">
            <w:pPr>
              <w:rPr>
                <w:rFonts w:cs="Open Sans"/>
                <w:lang w:val="en-US"/>
              </w:rPr>
            </w:pPr>
            <w:r w:rsidRPr="00EC4956">
              <w:rPr>
                <w:rFonts w:cs="Open Sans"/>
              </w:rPr>
              <w:t>(h) presently exists; or</w:t>
            </w:r>
          </w:p>
          <w:p w14:paraId="6AF981CF" w14:textId="22504A14" w:rsidR="00EC4956" w:rsidRPr="00EC4956" w:rsidRDefault="00EC4956" w:rsidP="00EC4956">
            <w:pPr>
              <w:rPr>
                <w:rFonts w:cs="Open Sans"/>
                <w:lang w:val="en-US"/>
              </w:rPr>
            </w:pPr>
            <w:r w:rsidRPr="00EC4956">
              <w:rPr>
                <w:rFonts w:cs="Open Sans"/>
              </w:rPr>
              <w:t>(</w:t>
            </w:r>
            <w:proofErr w:type="spellStart"/>
            <w:r w:rsidRPr="00EC4956">
              <w:rPr>
                <w:rFonts w:cs="Open Sans"/>
              </w:rPr>
              <w:t>i</w:t>
            </w:r>
            <w:proofErr w:type="spellEnd"/>
            <w:r w:rsidRPr="00EC4956">
              <w:rPr>
                <w:rFonts w:cs="Open Sans"/>
              </w:rPr>
              <w:t>) previously existed but no longer exists; or</w:t>
            </w:r>
          </w:p>
          <w:p w14:paraId="00F5CC4D" w14:textId="7D3696D6" w:rsidR="00EC4956" w:rsidRPr="00EC4956" w:rsidRDefault="00EC4956" w:rsidP="00EC4956">
            <w:pPr>
              <w:rPr>
                <w:rFonts w:cs="Open Sans"/>
                <w:lang w:val="en-US"/>
              </w:rPr>
            </w:pPr>
            <w:r w:rsidRPr="00EC4956">
              <w:rPr>
                <w:rFonts w:cs="Open Sans"/>
              </w:rPr>
              <w:t>(j) may exist in the future (including because of a genetic predisposition to that disability); or</w:t>
            </w:r>
          </w:p>
          <w:p w14:paraId="70AB613D" w14:textId="32458B13" w:rsidR="00EC4956" w:rsidRPr="00EC4956" w:rsidRDefault="00EC4956" w:rsidP="00EC4956">
            <w:pPr>
              <w:rPr>
                <w:rFonts w:cs="Open Sans"/>
                <w:lang w:val="en-US"/>
              </w:rPr>
            </w:pPr>
            <w:r w:rsidRPr="00EC4956">
              <w:rPr>
                <w:rFonts w:cs="Open Sans"/>
              </w:rPr>
              <w:t>(k) is imputed to a person.</w:t>
            </w:r>
          </w:p>
          <w:p w14:paraId="51EC525D" w14:textId="270B22B1" w:rsidR="0081268C" w:rsidRPr="00F46042" w:rsidRDefault="00EC4956" w:rsidP="00F277FA">
            <w:pPr>
              <w:spacing w:after="120"/>
              <w:rPr>
                <w:rFonts w:cs="Open Sans"/>
              </w:rPr>
            </w:pPr>
            <w:r w:rsidRPr="00EC4956">
              <w:rPr>
                <w:rFonts w:cs="Open Sans"/>
              </w:rPr>
              <w:t>To avoid doubt, a</w:t>
            </w:r>
            <w:r w:rsidR="00212AD9">
              <w:rPr>
                <w:rFonts w:cs="Open Sans"/>
              </w:rPr>
              <w:t xml:space="preserve"> </w:t>
            </w:r>
            <w:r w:rsidRPr="00EC4956">
              <w:rPr>
                <w:rFonts w:cs="Open Sans"/>
                <w:b/>
                <w:bCs/>
                <w:i/>
                <w:iCs/>
              </w:rPr>
              <w:t>disability</w:t>
            </w:r>
            <w:r w:rsidR="00212AD9">
              <w:rPr>
                <w:rFonts w:cs="Open Sans"/>
              </w:rPr>
              <w:t xml:space="preserve"> </w:t>
            </w:r>
            <w:r w:rsidRPr="00EC4956">
              <w:rPr>
                <w:rFonts w:cs="Open Sans"/>
              </w:rPr>
              <w:t>that is otherwise covered by this definition includes behaviour that is a symptom or manifestation of the disability.</w:t>
            </w:r>
            <w:r w:rsidR="001E2F26">
              <w:rPr>
                <w:rStyle w:val="EndnoteReference"/>
                <w:rFonts w:cs="Open Sans"/>
              </w:rPr>
              <w:endnoteReference w:id="8"/>
            </w:r>
          </w:p>
        </w:tc>
      </w:tr>
    </w:tbl>
    <w:p w14:paraId="2B51C819" w14:textId="77777777" w:rsidR="00F277FA" w:rsidRDefault="00F277FA" w:rsidP="00F277FA">
      <w:pPr>
        <w:spacing w:after="120"/>
        <w:rPr>
          <w:rFonts w:cs="Open Sans"/>
          <w:b/>
          <w:bCs/>
        </w:rPr>
      </w:pPr>
    </w:p>
    <w:p w14:paraId="7F60F509" w14:textId="77777777" w:rsidR="00F277FA" w:rsidRDefault="00F277FA">
      <w:pPr>
        <w:keepLines w:val="0"/>
        <w:spacing w:before="0" w:after="0"/>
        <w:rPr>
          <w:rFonts w:cs="Open Sans"/>
          <w:b/>
          <w:bCs/>
        </w:rPr>
      </w:pPr>
      <w:r>
        <w:rPr>
          <w:rFonts w:cs="Open Sans"/>
          <w:b/>
          <w:bCs/>
        </w:rPr>
        <w:br w:type="page"/>
      </w:r>
    </w:p>
    <w:p w14:paraId="0559EE71" w14:textId="77777777" w:rsidR="004F768D" w:rsidRPr="00F46042" w:rsidRDefault="004F768D" w:rsidP="00F277FA">
      <w:pPr>
        <w:spacing w:after="120"/>
        <w:rPr>
          <w:rFonts w:cs="Open Sans"/>
          <w:b/>
          <w:bCs/>
        </w:rPr>
      </w:pPr>
      <w:r>
        <w:rPr>
          <w:rFonts w:cs="Open Sans"/>
          <w:b/>
          <w:bCs/>
        </w:rPr>
        <w:lastRenderedPageBreak/>
        <w:t>People with disability in Australia</w:t>
      </w:r>
    </w:p>
    <w:p w14:paraId="2D23BF9B" w14:textId="136D9841" w:rsidR="002C5523" w:rsidRDefault="006308F1" w:rsidP="005F3738">
      <w:pPr>
        <w:pStyle w:val="ListParagraph"/>
        <w:numPr>
          <w:ilvl w:val="0"/>
          <w:numId w:val="30"/>
        </w:numPr>
        <w:rPr>
          <w:rFonts w:cs="Open Sans"/>
        </w:rPr>
      </w:pPr>
      <w:r>
        <w:rPr>
          <w:rFonts w:cs="Open Sans"/>
        </w:rPr>
        <w:t>There are 4.4 million people with disability in Australia.</w:t>
      </w:r>
      <w:r>
        <w:rPr>
          <w:rStyle w:val="EndnoteReference"/>
          <w:rFonts w:cs="Open Sans"/>
        </w:rPr>
        <w:endnoteReference w:id="9"/>
      </w:r>
    </w:p>
    <w:p w14:paraId="7D272A9C" w14:textId="11C9F528" w:rsidR="00F42F28" w:rsidRDefault="00CE244A" w:rsidP="005F3738">
      <w:pPr>
        <w:pStyle w:val="ListParagraph"/>
        <w:numPr>
          <w:ilvl w:val="0"/>
          <w:numId w:val="30"/>
        </w:numPr>
        <w:rPr>
          <w:rFonts w:cs="Open Sans"/>
        </w:rPr>
      </w:pPr>
      <w:r>
        <w:rPr>
          <w:rFonts w:cs="Open Sans"/>
        </w:rPr>
        <w:t>Almost one-in-five Australians have a disability</w:t>
      </w:r>
      <w:r w:rsidR="00F42F28">
        <w:rPr>
          <w:rFonts w:cs="Open Sans"/>
        </w:rPr>
        <w:t>.</w:t>
      </w:r>
      <w:r w:rsidR="00B027FD">
        <w:rPr>
          <w:rStyle w:val="EndnoteReference"/>
          <w:rFonts w:cs="Open Sans"/>
        </w:rPr>
        <w:endnoteReference w:id="10"/>
      </w:r>
    </w:p>
    <w:p w14:paraId="6E76BF1E" w14:textId="7896EB65" w:rsidR="00CB4DF9" w:rsidRDefault="006C4841" w:rsidP="005F3738">
      <w:pPr>
        <w:pStyle w:val="ListParagraph"/>
        <w:numPr>
          <w:ilvl w:val="0"/>
          <w:numId w:val="30"/>
        </w:numPr>
        <w:rPr>
          <w:rFonts w:cs="Open Sans"/>
        </w:rPr>
      </w:pPr>
      <w:r>
        <w:rPr>
          <w:rFonts w:cs="Open Sans"/>
        </w:rPr>
        <w:t>People born in 2015</w:t>
      </w:r>
      <w:r w:rsidR="00CE244A">
        <w:rPr>
          <w:rFonts w:cs="Open Sans"/>
        </w:rPr>
        <w:t xml:space="preserve"> can expect to live one-fi</w:t>
      </w:r>
      <w:r w:rsidR="00DC76E5">
        <w:rPr>
          <w:rFonts w:cs="Open Sans"/>
        </w:rPr>
        <w:t>f</w:t>
      </w:r>
      <w:r w:rsidR="00CE244A">
        <w:rPr>
          <w:rFonts w:cs="Open Sans"/>
        </w:rPr>
        <w:t>th of their life with some level of disability.</w:t>
      </w:r>
      <w:r w:rsidR="00DC76E5">
        <w:rPr>
          <w:rStyle w:val="EndnoteReference"/>
          <w:rFonts w:cs="Open Sans"/>
        </w:rPr>
        <w:endnoteReference w:id="11"/>
      </w:r>
    </w:p>
    <w:p w14:paraId="249749C3" w14:textId="637B43B4" w:rsidR="00726864" w:rsidRPr="00F46042" w:rsidRDefault="00E0575C" w:rsidP="00343CF8">
      <w:pPr>
        <w:pStyle w:val="ListParagraph"/>
        <w:numPr>
          <w:ilvl w:val="0"/>
          <w:numId w:val="30"/>
        </w:numPr>
        <w:rPr>
          <w:rFonts w:cs="Open Sans"/>
        </w:rPr>
      </w:pPr>
      <w:r w:rsidRPr="00F46042">
        <w:rPr>
          <w:rFonts w:cs="Open Sans"/>
        </w:rPr>
        <w:t xml:space="preserve">The </w:t>
      </w:r>
      <w:r w:rsidR="00BA4E87">
        <w:rPr>
          <w:rFonts w:cs="Open Sans"/>
        </w:rPr>
        <w:t>prevalence</w:t>
      </w:r>
      <w:r w:rsidRPr="00F46042">
        <w:rPr>
          <w:rFonts w:cs="Open Sans"/>
        </w:rPr>
        <w:t xml:space="preserve"> of disability generally increases with age. While 3.7% of 0-4 year </w:t>
      </w:r>
      <w:proofErr w:type="spellStart"/>
      <w:r w:rsidRPr="00F46042">
        <w:rPr>
          <w:rFonts w:cs="Open Sans"/>
        </w:rPr>
        <w:t>olds</w:t>
      </w:r>
      <w:proofErr w:type="spellEnd"/>
      <w:r w:rsidR="00E7439D" w:rsidRPr="00F46042">
        <w:rPr>
          <w:rFonts w:cs="Open Sans"/>
        </w:rPr>
        <w:t xml:space="preserve"> are reported as having a disability, this increases to </w:t>
      </w:r>
      <w:r w:rsidR="00343CF8" w:rsidRPr="00F46042">
        <w:rPr>
          <w:rFonts w:cs="Open Sans"/>
          <w:color w:val="333333"/>
          <w:shd w:val="clear" w:color="auto" w:fill="FFFFFF"/>
        </w:rPr>
        <w:t>84.6% of those aged 90 years and over</w:t>
      </w:r>
      <w:r w:rsidR="005C42A6" w:rsidRPr="00F46042">
        <w:rPr>
          <w:rFonts w:cs="Open Sans"/>
        </w:rPr>
        <w:t>.</w:t>
      </w:r>
      <w:r w:rsidR="002C4E26" w:rsidRPr="00343CF8">
        <w:rPr>
          <w:rStyle w:val="EndnoteReference"/>
          <w:rFonts w:cs="Open Sans"/>
        </w:rPr>
        <w:endnoteReference w:id="12"/>
      </w:r>
    </w:p>
    <w:p w14:paraId="0D2E9689" w14:textId="2AEAE805" w:rsidR="00AB54F8" w:rsidRPr="0073427E" w:rsidRDefault="00F9668F">
      <w:pPr>
        <w:pStyle w:val="ListParagraph"/>
        <w:numPr>
          <w:ilvl w:val="0"/>
          <w:numId w:val="30"/>
        </w:numPr>
        <w:rPr>
          <w:rFonts w:cs="Open Sans"/>
          <w:lang w:val="en-US"/>
        </w:rPr>
      </w:pPr>
      <w:r w:rsidRPr="00F9668F">
        <w:rPr>
          <w:rFonts w:cs="Open Sans"/>
          <w:lang w:val="en-US"/>
        </w:rPr>
        <w:t>The N</w:t>
      </w:r>
      <w:r w:rsidR="005C42A6">
        <w:rPr>
          <w:rFonts w:cs="Open Sans"/>
          <w:lang w:val="en-US"/>
        </w:rPr>
        <w:t xml:space="preserve">ational </w:t>
      </w:r>
      <w:r w:rsidRPr="00F9668F">
        <w:rPr>
          <w:rFonts w:cs="Open Sans"/>
          <w:lang w:val="en-US"/>
        </w:rPr>
        <w:t>D</w:t>
      </w:r>
      <w:r w:rsidR="005C42A6">
        <w:rPr>
          <w:rFonts w:cs="Open Sans"/>
          <w:lang w:val="en-US"/>
        </w:rPr>
        <w:t xml:space="preserve">isability </w:t>
      </w:r>
      <w:r w:rsidRPr="00F9668F">
        <w:rPr>
          <w:rFonts w:cs="Open Sans"/>
          <w:lang w:val="en-US"/>
        </w:rPr>
        <w:t>I</w:t>
      </w:r>
      <w:r w:rsidR="005C42A6">
        <w:rPr>
          <w:rFonts w:cs="Open Sans"/>
          <w:lang w:val="en-US"/>
        </w:rPr>
        <w:t xml:space="preserve">nsurance </w:t>
      </w:r>
      <w:r w:rsidRPr="00F9668F">
        <w:rPr>
          <w:rFonts w:cs="Open Sans"/>
          <w:lang w:val="en-US"/>
        </w:rPr>
        <w:t>S</w:t>
      </w:r>
      <w:r w:rsidR="005C42A6">
        <w:rPr>
          <w:rFonts w:cs="Open Sans"/>
          <w:lang w:val="en-US"/>
        </w:rPr>
        <w:t>cheme</w:t>
      </w:r>
      <w:r w:rsidRPr="00F9668F">
        <w:rPr>
          <w:rFonts w:cs="Open Sans"/>
          <w:lang w:val="en-US"/>
        </w:rPr>
        <w:t xml:space="preserve"> provides funding to support individuals with permanent and significant disability, </w:t>
      </w:r>
      <w:r w:rsidR="004D4AFC">
        <w:rPr>
          <w:rFonts w:cs="Open Sans"/>
          <w:lang w:val="en-US"/>
        </w:rPr>
        <w:t>who comprise</w:t>
      </w:r>
      <w:r w:rsidRPr="00F9668F">
        <w:rPr>
          <w:rFonts w:cs="Open Sans"/>
          <w:lang w:val="en-US"/>
        </w:rPr>
        <w:t xml:space="preserve"> approximately </w:t>
      </w:r>
      <w:r w:rsidR="00621EA1">
        <w:rPr>
          <w:rFonts w:cs="Open Sans"/>
          <w:lang w:val="en-US"/>
        </w:rPr>
        <w:t>460,000 people in Australia.</w:t>
      </w:r>
      <w:r w:rsidR="001E3EB8">
        <w:rPr>
          <w:rStyle w:val="EndnoteReference"/>
          <w:rFonts w:cs="Open Sans"/>
          <w:lang w:val="en-US"/>
        </w:rPr>
        <w:endnoteReference w:id="13"/>
      </w:r>
    </w:p>
    <w:p w14:paraId="7C30EEAF" w14:textId="1F17FB9A" w:rsidR="00230F05" w:rsidRPr="002F4ACB" w:rsidRDefault="00A346A9" w:rsidP="00F277FA">
      <w:pPr>
        <w:spacing w:after="120"/>
        <w:rPr>
          <w:rFonts w:cs="Open Sans"/>
        </w:rPr>
      </w:pPr>
      <w:r w:rsidRPr="002F4ACB">
        <w:rPr>
          <w:rFonts w:cs="Open Sans"/>
        </w:rPr>
        <w:t xml:space="preserve">Australians with disability can be </w:t>
      </w:r>
      <w:r w:rsidR="007D6555" w:rsidRPr="002F4ACB">
        <w:rPr>
          <w:rFonts w:cs="Open Sans"/>
        </w:rPr>
        <w:t>disadvantaged</w:t>
      </w:r>
      <w:r w:rsidR="00A85680">
        <w:rPr>
          <w:rFonts w:cs="Open Sans"/>
        </w:rPr>
        <w:t xml:space="preserve"> in accessing health services</w:t>
      </w:r>
      <w:r w:rsidR="007D6555" w:rsidRPr="002F4ACB">
        <w:rPr>
          <w:rFonts w:cs="Open Sans"/>
        </w:rPr>
        <w:t xml:space="preserve"> b</w:t>
      </w:r>
      <w:r w:rsidR="000954E0">
        <w:rPr>
          <w:rFonts w:cs="Open Sans"/>
        </w:rPr>
        <w:t>ecause of</w:t>
      </w:r>
      <w:r w:rsidR="007D6555" w:rsidRPr="002F4ACB">
        <w:rPr>
          <w:rFonts w:cs="Open Sans"/>
        </w:rPr>
        <w:t>:</w:t>
      </w:r>
    </w:p>
    <w:p w14:paraId="19518DAB" w14:textId="77777777" w:rsidR="00A85680" w:rsidRDefault="007D6555" w:rsidP="00F277FA">
      <w:pPr>
        <w:numPr>
          <w:ilvl w:val="0"/>
          <w:numId w:val="23"/>
        </w:numPr>
        <w:spacing w:before="120" w:after="120"/>
        <w:ind w:left="714" w:hanging="357"/>
        <w:rPr>
          <w:rFonts w:cs="Open Sans"/>
          <w:lang w:val="en-US"/>
        </w:rPr>
      </w:pPr>
      <w:r w:rsidRPr="002F4ACB">
        <w:rPr>
          <w:rFonts w:cs="Open Sans"/>
          <w:lang w:val="en-US"/>
        </w:rPr>
        <w:t>barriers to communication</w:t>
      </w:r>
    </w:p>
    <w:p w14:paraId="759CA65D" w14:textId="1189D160" w:rsidR="007D6555" w:rsidRDefault="007D6555" w:rsidP="00F277FA">
      <w:pPr>
        <w:numPr>
          <w:ilvl w:val="0"/>
          <w:numId w:val="23"/>
        </w:numPr>
        <w:spacing w:before="120" w:after="120"/>
        <w:ind w:left="714" w:hanging="357"/>
        <w:rPr>
          <w:rFonts w:cs="Open Sans"/>
          <w:lang w:val="en-US"/>
        </w:rPr>
      </w:pPr>
      <w:r w:rsidRPr="002F4ACB">
        <w:rPr>
          <w:rFonts w:cs="Open Sans"/>
          <w:lang w:val="en-US"/>
        </w:rPr>
        <w:t>attitudes, values and assumptions</w:t>
      </w:r>
      <w:r w:rsidR="00DB21F1">
        <w:rPr>
          <w:rFonts w:cs="Open Sans"/>
          <w:lang w:val="en-US"/>
        </w:rPr>
        <w:t xml:space="preserve"> concerning an individual’s quality of life and life expectancy</w:t>
      </w:r>
    </w:p>
    <w:p w14:paraId="6F32079E" w14:textId="77DB7EF7" w:rsidR="00293B03" w:rsidRPr="002F4ACB" w:rsidRDefault="00293B03" w:rsidP="00F277FA">
      <w:pPr>
        <w:numPr>
          <w:ilvl w:val="0"/>
          <w:numId w:val="23"/>
        </w:numPr>
        <w:spacing w:before="120" w:after="120"/>
        <w:ind w:left="714" w:hanging="357"/>
        <w:rPr>
          <w:rFonts w:cs="Open Sans"/>
          <w:lang w:val="en-US"/>
        </w:rPr>
      </w:pPr>
      <w:r>
        <w:rPr>
          <w:rFonts w:cs="Open Sans"/>
          <w:lang w:val="en-US"/>
        </w:rPr>
        <w:t>unconscious bias</w:t>
      </w:r>
    </w:p>
    <w:p w14:paraId="492205C4" w14:textId="38C3535E" w:rsidR="007D6555" w:rsidRDefault="007D6555" w:rsidP="00F277FA">
      <w:pPr>
        <w:numPr>
          <w:ilvl w:val="0"/>
          <w:numId w:val="23"/>
        </w:numPr>
        <w:spacing w:before="120" w:after="120"/>
        <w:ind w:left="714" w:hanging="357"/>
        <w:rPr>
          <w:rFonts w:cs="Open Sans"/>
          <w:lang w:val="en-US"/>
        </w:rPr>
      </w:pPr>
      <w:r w:rsidRPr="2AB08CD1">
        <w:rPr>
          <w:rFonts w:cs="Open Sans"/>
          <w:lang w:val="en-US"/>
        </w:rPr>
        <w:t xml:space="preserve">delayed diagnoses and misdiagnoses of </w:t>
      </w:r>
      <w:r w:rsidR="00DB21F1" w:rsidRPr="2AB08CD1">
        <w:rPr>
          <w:rFonts w:cs="Open Sans"/>
          <w:lang w:val="en-US"/>
        </w:rPr>
        <w:t>people caused by diagnostic overshadowing</w:t>
      </w:r>
      <w:r w:rsidR="00975EA9">
        <w:rPr>
          <w:rStyle w:val="EndnoteReference"/>
          <w:rFonts w:cs="Open Sans"/>
          <w:lang w:val="en-US"/>
        </w:rPr>
        <w:endnoteReference w:id="14"/>
      </w:r>
      <w:r w:rsidR="00DB21F1" w:rsidRPr="2AB08CD1">
        <w:rPr>
          <w:rFonts w:cs="Open Sans"/>
          <w:lang w:val="en-US"/>
        </w:rPr>
        <w:t xml:space="preserve"> or assumptions </w:t>
      </w:r>
      <w:r w:rsidR="000954E0" w:rsidRPr="2AB08CD1">
        <w:rPr>
          <w:rFonts w:cs="Open Sans"/>
          <w:lang w:val="en-US"/>
        </w:rPr>
        <w:t>about</w:t>
      </w:r>
      <w:r w:rsidR="00DB21F1" w:rsidRPr="2AB08CD1">
        <w:rPr>
          <w:rFonts w:cs="Open Sans"/>
          <w:lang w:val="en-US"/>
        </w:rPr>
        <w:t xml:space="preserve"> health outcomes</w:t>
      </w:r>
    </w:p>
    <w:p w14:paraId="3B19E890" w14:textId="6AE881EF" w:rsidR="006A7F0D" w:rsidRPr="002F4ACB" w:rsidRDefault="00660189" w:rsidP="00F277FA">
      <w:pPr>
        <w:numPr>
          <w:ilvl w:val="0"/>
          <w:numId w:val="23"/>
        </w:numPr>
        <w:spacing w:before="120" w:after="120"/>
        <w:ind w:left="714" w:hanging="357"/>
        <w:rPr>
          <w:rFonts w:cs="Open Sans"/>
          <w:lang w:val="en-US"/>
        </w:rPr>
      </w:pPr>
      <w:r>
        <w:rPr>
          <w:rFonts w:cs="Open Sans"/>
          <w:lang w:val="en-US"/>
        </w:rPr>
        <w:t>decisions to refuse access</w:t>
      </w:r>
      <w:r w:rsidR="006A7F0D" w:rsidRPr="006A7F0D">
        <w:rPr>
          <w:rFonts w:cs="Open Sans"/>
          <w:lang w:val="en-US"/>
        </w:rPr>
        <w:t xml:space="preserve"> to critical care </w:t>
      </w:r>
      <w:r>
        <w:rPr>
          <w:rFonts w:cs="Open Sans"/>
          <w:lang w:val="en-US"/>
        </w:rPr>
        <w:t>being based on an individual’s age,</w:t>
      </w:r>
      <w:r w:rsidR="006A7F0D" w:rsidRPr="006A7F0D">
        <w:rPr>
          <w:rFonts w:cs="Open Sans"/>
          <w:lang w:val="en-US"/>
        </w:rPr>
        <w:t xml:space="preserve"> or mental or physical disability</w:t>
      </w:r>
      <w:r w:rsidR="00ED4101">
        <w:rPr>
          <w:rFonts w:cs="Open Sans"/>
          <w:lang w:val="en-US"/>
        </w:rPr>
        <w:t>,</w:t>
      </w:r>
      <w:r w:rsidR="006A7F0D" w:rsidRPr="006A7F0D">
        <w:rPr>
          <w:rFonts w:cs="Open Sans"/>
          <w:lang w:val="en-US"/>
        </w:rPr>
        <w:t xml:space="preserve"> </w:t>
      </w:r>
      <w:r w:rsidR="00176923">
        <w:rPr>
          <w:rFonts w:cs="Open Sans"/>
          <w:lang w:val="en-US"/>
        </w:rPr>
        <w:t xml:space="preserve">in circumstances where that </w:t>
      </w:r>
      <w:r w:rsidR="006A7F0D" w:rsidRPr="006A7F0D">
        <w:rPr>
          <w:rFonts w:cs="Open Sans"/>
          <w:lang w:val="en-US"/>
        </w:rPr>
        <w:t>is not clinically relevant</w:t>
      </w:r>
    </w:p>
    <w:p w14:paraId="005C4F87" w14:textId="3167E8F4" w:rsidR="007D6555" w:rsidRDefault="007D6555" w:rsidP="00F277FA">
      <w:pPr>
        <w:numPr>
          <w:ilvl w:val="0"/>
          <w:numId w:val="23"/>
        </w:numPr>
        <w:spacing w:before="120" w:after="120"/>
        <w:ind w:left="714" w:hanging="357"/>
        <w:rPr>
          <w:rFonts w:cs="Open Sans"/>
          <w:lang w:val="en-US"/>
        </w:rPr>
      </w:pPr>
      <w:r w:rsidRPr="002F4ACB">
        <w:rPr>
          <w:rFonts w:cs="Open Sans"/>
          <w:lang w:val="en-US"/>
        </w:rPr>
        <w:t xml:space="preserve">specific issues for First Nations </w:t>
      </w:r>
      <w:r w:rsidR="005768BB">
        <w:rPr>
          <w:rFonts w:cs="Open Sans"/>
          <w:lang w:val="en-US"/>
        </w:rPr>
        <w:t xml:space="preserve">and culturally and linguistically diverse </w:t>
      </w:r>
      <w:r w:rsidRPr="002F4ACB">
        <w:rPr>
          <w:rFonts w:cs="Open Sans"/>
          <w:lang w:val="en-US"/>
        </w:rPr>
        <w:t xml:space="preserve">people with disability with respect to </w:t>
      </w:r>
      <w:r w:rsidR="006A7F0D">
        <w:rPr>
          <w:rFonts w:cs="Open Sans"/>
          <w:lang w:val="en-US"/>
        </w:rPr>
        <w:t>cultural norms</w:t>
      </w:r>
      <w:r w:rsidR="00BC64C8">
        <w:rPr>
          <w:rFonts w:cs="Open Sans"/>
          <w:lang w:val="en-US"/>
        </w:rPr>
        <w:t xml:space="preserve"> and</w:t>
      </w:r>
      <w:r w:rsidR="006A7F0D">
        <w:rPr>
          <w:rFonts w:cs="Open Sans"/>
          <w:lang w:val="en-US"/>
        </w:rPr>
        <w:t xml:space="preserve"> health care </w:t>
      </w:r>
    </w:p>
    <w:p w14:paraId="2AA92417" w14:textId="74CDA63B" w:rsidR="00BF1B4A" w:rsidRPr="00737DFC" w:rsidRDefault="00BF1B4A" w:rsidP="00F277FA">
      <w:pPr>
        <w:numPr>
          <w:ilvl w:val="0"/>
          <w:numId w:val="23"/>
        </w:numPr>
        <w:spacing w:before="120" w:after="120"/>
        <w:ind w:left="714" w:hanging="357"/>
        <w:rPr>
          <w:rFonts w:cs="Open Sans"/>
          <w:lang w:val="en-US"/>
        </w:rPr>
      </w:pPr>
      <w:r w:rsidRPr="00737DFC">
        <w:rPr>
          <w:rFonts w:cs="Open Sans"/>
          <w:lang w:val="en-US"/>
        </w:rPr>
        <w:t xml:space="preserve">specific issues for </w:t>
      </w:r>
      <w:r>
        <w:rPr>
          <w:rFonts w:cs="Open Sans"/>
          <w:lang w:val="en-US"/>
        </w:rPr>
        <w:t>women</w:t>
      </w:r>
      <w:r w:rsidRPr="00737DFC">
        <w:rPr>
          <w:rFonts w:cs="Open Sans"/>
          <w:lang w:val="en-US"/>
        </w:rPr>
        <w:t xml:space="preserve"> with disability with respect to </w:t>
      </w:r>
      <w:r>
        <w:rPr>
          <w:rFonts w:cs="Open Sans"/>
          <w:lang w:val="en-US"/>
        </w:rPr>
        <w:t xml:space="preserve">accessing </w:t>
      </w:r>
      <w:r w:rsidRPr="00737DFC">
        <w:rPr>
          <w:rFonts w:cs="Open Sans"/>
          <w:lang w:val="en-US"/>
        </w:rPr>
        <w:t>health care</w:t>
      </w:r>
    </w:p>
    <w:p w14:paraId="29B37815" w14:textId="306B2451" w:rsidR="000C04E9" w:rsidRDefault="000C04E9" w:rsidP="00F277FA">
      <w:pPr>
        <w:numPr>
          <w:ilvl w:val="0"/>
          <w:numId w:val="23"/>
        </w:numPr>
        <w:spacing w:before="120" w:after="120"/>
        <w:ind w:left="714" w:hanging="357"/>
        <w:rPr>
          <w:rFonts w:cs="Open Sans"/>
          <w:lang w:val="en-US"/>
        </w:rPr>
      </w:pPr>
      <w:bookmarkStart w:id="7" w:name="_Hlk43895261"/>
      <w:r>
        <w:rPr>
          <w:rFonts w:cs="Open Sans"/>
          <w:lang w:val="en-US"/>
        </w:rPr>
        <w:t xml:space="preserve">failing to consider the need </w:t>
      </w:r>
      <w:r w:rsidR="00F51779">
        <w:rPr>
          <w:rFonts w:cs="Open Sans"/>
          <w:lang w:val="en-US"/>
        </w:rPr>
        <w:t>for, or provide, reasonable adjustments to allow a person with disability to access the same level of health care as</w:t>
      </w:r>
      <w:r w:rsidR="00597D35">
        <w:rPr>
          <w:rFonts w:cs="Open Sans"/>
          <w:lang w:val="en-US"/>
        </w:rPr>
        <w:t xml:space="preserve"> a person without disability</w:t>
      </w:r>
    </w:p>
    <w:p w14:paraId="195D0521" w14:textId="5361F71C" w:rsidR="00915F2D" w:rsidRDefault="00915F2D" w:rsidP="00F277FA">
      <w:pPr>
        <w:numPr>
          <w:ilvl w:val="0"/>
          <w:numId w:val="23"/>
        </w:numPr>
        <w:spacing w:before="120" w:after="120"/>
        <w:ind w:left="714" w:hanging="357"/>
        <w:rPr>
          <w:rFonts w:cs="Open Sans"/>
          <w:lang w:val="en-US"/>
        </w:rPr>
      </w:pPr>
      <w:r w:rsidRPr="00915F2D">
        <w:rPr>
          <w:rFonts w:cs="Open Sans"/>
          <w:lang w:val="en-US"/>
        </w:rPr>
        <w:t xml:space="preserve">failing to </w:t>
      </w:r>
      <w:proofErr w:type="spellStart"/>
      <w:r w:rsidRPr="00915F2D">
        <w:rPr>
          <w:rFonts w:cs="Open Sans"/>
          <w:lang w:val="en-US"/>
        </w:rPr>
        <w:t>recognise</w:t>
      </w:r>
      <w:proofErr w:type="spellEnd"/>
      <w:r w:rsidRPr="00915F2D">
        <w:rPr>
          <w:rFonts w:cs="Open Sans"/>
          <w:lang w:val="en-US"/>
        </w:rPr>
        <w:t xml:space="preserve"> the decision-making capacity of a person with disability or to take their will and preferences about their health care into account</w:t>
      </w:r>
    </w:p>
    <w:p w14:paraId="4E24A387" w14:textId="16202999" w:rsidR="00A8103F" w:rsidRDefault="002B60EA" w:rsidP="00F277FA">
      <w:pPr>
        <w:numPr>
          <w:ilvl w:val="0"/>
          <w:numId w:val="23"/>
        </w:numPr>
        <w:spacing w:before="120"/>
        <w:ind w:left="714" w:hanging="357"/>
        <w:rPr>
          <w:rFonts w:cs="Open Sans"/>
          <w:lang w:val="en-US"/>
        </w:rPr>
      </w:pPr>
      <w:r w:rsidRPr="2AB08CD1">
        <w:rPr>
          <w:rFonts w:cs="Open Sans"/>
          <w:lang w:val="en-US"/>
        </w:rPr>
        <w:t>failing to consider the need for support for decision</w:t>
      </w:r>
      <w:r w:rsidR="00A348DB">
        <w:rPr>
          <w:rFonts w:cs="Open Sans"/>
          <w:lang w:val="en-US"/>
        </w:rPr>
        <w:t>-</w:t>
      </w:r>
      <w:r w:rsidRPr="2AB08CD1">
        <w:rPr>
          <w:rFonts w:cs="Open Sans"/>
          <w:lang w:val="en-US"/>
        </w:rPr>
        <w:t>making, particularly in times of crisis.</w:t>
      </w:r>
    </w:p>
    <w:bookmarkEnd w:id="7"/>
    <w:p w14:paraId="2B7F1753" w14:textId="5C309205" w:rsidR="00B06919" w:rsidRPr="00F277FA" w:rsidRDefault="0039474B" w:rsidP="00F277FA">
      <w:pPr>
        <w:spacing w:after="360"/>
        <w:rPr>
          <w:rFonts w:cs="Open Sans"/>
          <w:lang w:val="en-US"/>
        </w:rPr>
      </w:pPr>
      <w:r>
        <w:rPr>
          <w:rFonts w:cs="Open Sans"/>
          <w:lang w:val="en-US"/>
        </w:rPr>
        <w:lastRenderedPageBreak/>
        <w:t>In a particular case, the reason that a person with disability is disadvantaged in accessing health</w:t>
      </w:r>
      <w:r w:rsidR="00453D61">
        <w:rPr>
          <w:rFonts w:cs="Open Sans"/>
          <w:lang w:val="en-US"/>
        </w:rPr>
        <w:t xml:space="preserve"> </w:t>
      </w:r>
      <w:r>
        <w:rPr>
          <w:rFonts w:cs="Open Sans"/>
          <w:lang w:val="en-US"/>
        </w:rPr>
        <w:t xml:space="preserve">care services may be because </w:t>
      </w:r>
      <w:r w:rsidR="00CE0A84">
        <w:rPr>
          <w:rFonts w:cs="Open Sans"/>
          <w:lang w:val="en-US"/>
        </w:rPr>
        <w:t xml:space="preserve">the person or </w:t>
      </w:r>
      <w:proofErr w:type="spellStart"/>
      <w:r w:rsidR="00CE0A84">
        <w:rPr>
          <w:rFonts w:cs="Open Sans"/>
          <w:lang w:val="en-US"/>
        </w:rPr>
        <w:t>organi</w:t>
      </w:r>
      <w:r w:rsidR="00EF3BE2">
        <w:rPr>
          <w:rFonts w:cs="Open Sans"/>
          <w:lang w:val="en-US"/>
        </w:rPr>
        <w:t>s</w:t>
      </w:r>
      <w:r w:rsidR="00CE0A84">
        <w:rPr>
          <w:rFonts w:cs="Open Sans"/>
          <w:lang w:val="en-US"/>
        </w:rPr>
        <w:t>ation</w:t>
      </w:r>
      <w:proofErr w:type="spellEnd"/>
      <w:r w:rsidR="00CE0A84">
        <w:rPr>
          <w:rFonts w:cs="Open Sans"/>
          <w:lang w:val="en-US"/>
        </w:rPr>
        <w:t xml:space="preserve"> providing the </w:t>
      </w:r>
      <w:r w:rsidR="00CD49E1">
        <w:rPr>
          <w:rFonts w:cs="Open Sans"/>
          <w:lang w:val="en-US"/>
        </w:rPr>
        <w:t xml:space="preserve">service is not aware of </w:t>
      </w:r>
      <w:r w:rsidR="0073604E">
        <w:rPr>
          <w:rFonts w:cs="Open Sans"/>
          <w:lang w:val="en-US"/>
        </w:rPr>
        <w:t>the relevant issues that give rise to the disad</w:t>
      </w:r>
      <w:r w:rsidR="00A40B2C">
        <w:rPr>
          <w:rFonts w:cs="Open Sans"/>
          <w:lang w:val="en-US"/>
        </w:rPr>
        <w:t xml:space="preserve">vantage. </w:t>
      </w:r>
      <w:r w:rsidR="00B2744F">
        <w:rPr>
          <w:rFonts w:cs="Open Sans"/>
          <w:lang w:val="en-US"/>
        </w:rPr>
        <w:t xml:space="preserve">However, </w:t>
      </w:r>
      <w:r w:rsidR="00A40B2C">
        <w:rPr>
          <w:rFonts w:cs="Open Sans"/>
          <w:lang w:val="en-US"/>
        </w:rPr>
        <w:t xml:space="preserve">even when </w:t>
      </w:r>
      <w:r w:rsidR="00FC77D6">
        <w:rPr>
          <w:rFonts w:cs="Open Sans"/>
          <w:lang w:val="en-US"/>
        </w:rPr>
        <w:t xml:space="preserve">the disadvantage is unintentional, </w:t>
      </w:r>
      <w:r w:rsidR="00B2744F">
        <w:rPr>
          <w:rFonts w:cs="Open Sans"/>
          <w:lang w:val="en-US"/>
        </w:rPr>
        <w:t xml:space="preserve">the effect </w:t>
      </w:r>
      <w:r w:rsidR="004A5147">
        <w:rPr>
          <w:rFonts w:cs="Open Sans"/>
          <w:lang w:val="en-US"/>
        </w:rPr>
        <w:t>upon</w:t>
      </w:r>
      <w:r w:rsidR="00B2744F">
        <w:rPr>
          <w:rFonts w:cs="Open Sans"/>
          <w:lang w:val="en-US"/>
        </w:rPr>
        <w:t xml:space="preserve"> people with disability </w:t>
      </w:r>
      <w:r w:rsidR="00B2744F" w:rsidRPr="00A91B6D">
        <w:rPr>
          <w:rFonts w:cs="Open Sans"/>
          <w:lang w:val="en-US"/>
        </w:rPr>
        <w:t>interacting with the health</w:t>
      </w:r>
      <w:r w:rsidR="00453D61">
        <w:rPr>
          <w:rFonts w:cs="Open Sans"/>
          <w:lang w:val="en-US"/>
        </w:rPr>
        <w:t xml:space="preserve"> </w:t>
      </w:r>
      <w:r w:rsidR="00B2744F" w:rsidRPr="00A91B6D">
        <w:rPr>
          <w:rFonts w:cs="Open Sans"/>
          <w:lang w:val="en-US"/>
        </w:rPr>
        <w:t xml:space="preserve">care </w:t>
      </w:r>
      <w:r w:rsidR="00970369" w:rsidRPr="00A91B6D">
        <w:rPr>
          <w:rFonts w:cs="Open Sans"/>
          <w:lang w:val="en-US"/>
        </w:rPr>
        <w:t>system can be devastating.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3659" w:themeFill="accent5" w:themeFillShade="BF"/>
        <w:tblCellMar>
          <w:top w:w="284" w:type="dxa"/>
          <w:left w:w="284" w:type="dxa"/>
          <w:bottom w:w="284" w:type="dxa"/>
          <w:right w:w="284" w:type="dxa"/>
        </w:tblCellMar>
        <w:tblLook w:val="04A0" w:firstRow="1" w:lastRow="0" w:firstColumn="1" w:lastColumn="0" w:noHBand="0" w:noVBand="1"/>
      </w:tblPr>
      <w:tblGrid>
        <w:gridCol w:w="9016"/>
      </w:tblGrid>
      <w:tr w:rsidR="0092649A" w14:paraId="6E96BF28" w14:textId="77777777" w:rsidTr="00F277FA">
        <w:tc>
          <w:tcPr>
            <w:tcW w:w="9016" w:type="dxa"/>
            <w:shd w:val="clear" w:color="auto" w:fill="473659" w:themeFill="accent5" w:themeFillShade="BF"/>
          </w:tcPr>
          <w:p w14:paraId="3CEEF1CB" w14:textId="249C197D" w:rsidR="0092649A" w:rsidRPr="00487E91" w:rsidRDefault="00DC2229" w:rsidP="00506E90">
            <w:pPr>
              <w:pStyle w:val="Quote14ptWhite"/>
            </w:pPr>
            <w:r w:rsidRPr="00487E91">
              <w:t>“</w:t>
            </w:r>
            <w:r w:rsidR="0092649A" w:rsidRPr="00487E91">
              <w:t>[T]he consequences of neglect and abuse by or within the health system for people with cognitive disability are as disturbing as they are profound</w:t>
            </w:r>
            <w:r w:rsidR="00937298" w:rsidRPr="00487E91">
              <w:t xml:space="preserve"> </w:t>
            </w:r>
            <w:r w:rsidR="0092649A" w:rsidRPr="00487E91">
              <w:t>… the extent and consequences of neglect and abuse should shock the conscience of all Australians</w:t>
            </w:r>
            <w:r w:rsidR="00912978" w:rsidRPr="00487E91">
              <w:t>.</w:t>
            </w:r>
            <w:r w:rsidRPr="00487E91">
              <w:t>”</w:t>
            </w:r>
            <w:r w:rsidR="00756F0B" w:rsidRPr="00506E90">
              <w:rPr>
                <w:rStyle w:val="EndnoteReference"/>
                <w:rFonts w:cs="Open Sans"/>
                <w:i w:val="0"/>
                <w:iCs w:val="0"/>
                <w:sz w:val="28"/>
              </w:rPr>
              <w:endnoteReference w:id="15"/>
            </w:r>
          </w:p>
          <w:p w14:paraId="03A1BB2F" w14:textId="47E881A1" w:rsidR="0092649A" w:rsidRPr="00506E90" w:rsidRDefault="0092649A" w:rsidP="0092649A">
            <w:pPr>
              <w:rPr>
                <w:b/>
                <w:bCs/>
                <w:sz w:val="22"/>
                <w:szCs w:val="22"/>
              </w:rPr>
            </w:pPr>
            <w:r w:rsidRPr="00506E90">
              <w:rPr>
                <w:rFonts w:cs="Open Sans"/>
                <w:b/>
                <w:bCs/>
                <w:color w:val="FFFFFF" w:themeColor="background1"/>
                <w:sz w:val="22"/>
                <w:szCs w:val="22"/>
              </w:rPr>
              <w:t xml:space="preserve">Commissioner Sackville AO, </w:t>
            </w:r>
            <w:r w:rsidR="00EF0003" w:rsidRPr="00506E90">
              <w:rPr>
                <w:rFonts w:cs="Open Sans"/>
                <w:b/>
                <w:bCs/>
                <w:color w:val="FFFFFF" w:themeColor="background1"/>
                <w:sz w:val="22"/>
                <w:szCs w:val="22"/>
              </w:rPr>
              <w:t>h</w:t>
            </w:r>
            <w:r w:rsidRPr="00506E90">
              <w:rPr>
                <w:rFonts w:cs="Open Sans"/>
                <w:b/>
                <w:bCs/>
                <w:color w:val="FFFFFF" w:themeColor="background1"/>
                <w:sz w:val="22"/>
                <w:szCs w:val="22"/>
              </w:rPr>
              <w:t xml:space="preserve">earing of the </w:t>
            </w:r>
            <w:r w:rsidR="001F0B8A" w:rsidRPr="00506E90">
              <w:rPr>
                <w:rFonts w:cs="Open Sans"/>
                <w:b/>
                <w:bCs/>
                <w:color w:val="FFFFFF" w:themeColor="background1"/>
                <w:sz w:val="22"/>
                <w:szCs w:val="22"/>
              </w:rPr>
              <w:t xml:space="preserve">Royal Commission into Violence, Abuse, </w:t>
            </w:r>
            <w:r w:rsidR="001A3E64">
              <w:rPr>
                <w:rFonts w:cs="Open Sans"/>
                <w:b/>
                <w:bCs/>
                <w:color w:val="FFFFFF" w:themeColor="background1"/>
                <w:sz w:val="22"/>
                <w:szCs w:val="22"/>
              </w:rPr>
              <w:t>Neglect</w:t>
            </w:r>
            <w:r w:rsidR="001F0B8A" w:rsidRPr="00506E90">
              <w:rPr>
                <w:rFonts w:cs="Open Sans"/>
                <w:b/>
                <w:bCs/>
                <w:color w:val="FFFFFF" w:themeColor="background1"/>
                <w:sz w:val="22"/>
                <w:szCs w:val="22"/>
              </w:rPr>
              <w:t xml:space="preserve"> and </w:t>
            </w:r>
            <w:r w:rsidR="001A3E64">
              <w:rPr>
                <w:rFonts w:cs="Open Sans"/>
                <w:b/>
                <w:bCs/>
                <w:color w:val="FFFFFF" w:themeColor="background1"/>
                <w:sz w:val="22"/>
                <w:szCs w:val="22"/>
              </w:rPr>
              <w:t>Exploitation</w:t>
            </w:r>
            <w:r w:rsidR="001F0B8A" w:rsidRPr="00506E90">
              <w:rPr>
                <w:rFonts w:cs="Open Sans"/>
                <w:b/>
                <w:bCs/>
                <w:color w:val="FFFFFF" w:themeColor="background1"/>
                <w:sz w:val="22"/>
                <w:szCs w:val="22"/>
              </w:rPr>
              <w:t xml:space="preserve"> of People with Disability</w:t>
            </w:r>
            <w:r w:rsidR="001F0B8A" w:rsidRPr="00506E90">
              <w:rPr>
                <w:rFonts w:cs="Open Sans"/>
                <w:color w:val="FFFFFF" w:themeColor="background1"/>
                <w:sz w:val="22"/>
                <w:szCs w:val="22"/>
              </w:rPr>
              <w:t xml:space="preserve"> </w:t>
            </w:r>
            <w:r w:rsidR="001F0B8A" w:rsidRPr="00506E90">
              <w:rPr>
                <w:rFonts w:cs="Open Sans"/>
                <w:b/>
                <w:bCs/>
                <w:color w:val="FFFFFF" w:themeColor="background1"/>
                <w:sz w:val="22"/>
                <w:szCs w:val="22"/>
              </w:rPr>
              <w:br/>
            </w:r>
            <w:r w:rsidR="00CD6200" w:rsidRPr="00506E90">
              <w:rPr>
                <w:rFonts w:cs="Open Sans"/>
                <w:color w:val="FFFFFF" w:themeColor="background1"/>
                <w:sz w:val="22"/>
                <w:szCs w:val="22"/>
              </w:rPr>
              <w:t xml:space="preserve">28 February 2020 </w:t>
            </w:r>
          </w:p>
        </w:tc>
      </w:tr>
    </w:tbl>
    <w:p w14:paraId="67BA89EB" w14:textId="2528ACD5" w:rsidR="002306C1" w:rsidRDefault="002306C1" w:rsidP="005C00DE">
      <w:pPr>
        <w:spacing w:before="0" w:after="0"/>
      </w:pPr>
    </w:p>
    <w:p w14:paraId="247B3B73" w14:textId="77777777" w:rsidR="002306C1" w:rsidRDefault="002306C1">
      <w:pPr>
        <w:keepLines w:val="0"/>
        <w:spacing w:before="0" w:after="0"/>
      </w:pPr>
      <w:r>
        <w:br w:type="page"/>
      </w:r>
    </w:p>
    <w:p w14:paraId="61459552" w14:textId="55BBA271" w:rsidR="008858BC" w:rsidRPr="00A67A4F" w:rsidRDefault="008858BC" w:rsidP="002F4ACB">
      <w:pPr>
        <w:pStyle w:val="Heading1"/>
      </w:pPr>
      <w:bookmarkStart w:id="8" w:name="_Toc41281457"/>
      <w:bookmarkStart w:id="9" w:name="_Toc46679144"/>
      <w:bookmarkEnd w:id="8"/>
      <w:r>
        <w:lastRenderedPageBreak/>
        <w:t xml:space="preserve">Human </w:t>
      </w:r>
      <w:r w:rsidR="00783BC9">
        <w:t>r</w:t>
      </w:r>
      <w:r>
        <w:t xml:space="preserve">ights </w:t>
      </w:r>
      <w:r w:rsidR="00783BC9">
        <w:t>i</w:t>
      </w:r>
      <w:r>
        <w:t xml:space="preserve">ssues and </w:t>
      </w:r>
      <w:r w:rsidDel="00A91B6D">
        <w:t>COVID-19</w:t>
      </w:r>
      <w:bookmarkEnd w:id="9"/>
    </w:p>
    <w:p w14:paraId="457E666C" w14:textId="1A5C4B0F" w:rsidR="008858BC" w:rsidRDefault="00DD17D4" w:rsidP="00702011">
      <w:pPr>
        <w:spacing w:after="360"/>
      </w:pPr>
      <w:r>
        <w:t>The COVID-19 pandemic has raised a n</w:t>
      </w:r>
      <w:r w:rsidR="00CD7DF3">
        <w:t xml:space="preserve">umber of significant human rights concerns for </w:t>
      </w:r>
      <w:r w:rsidR="008858BC" w:rsidRPr="00906BD6">
        <w:t>people with disability</w:t>
      </w:r>
      <w:r w:rsidR="008858BC">
        <w:t>.</w:t>
      </w:r>
      <w:r w:rsidR="008858BC">
        <w:rPr>
          <w:rStyle w:val="EndnoteReference"/>
          <w:rFonts w:cs="Open Sans"/>
        </w:rPr>
        <w:endnoteReference w:id="16"/>
      </w:r>
      <w:r w:rsidR="008858BC" w:rsidRPr="00906BD6">
        <w:t xml:space="preserve"> </w:t>
      </w:r>
      <w:r w:rsidR="008858BC">
        <w:t>This has been</w:t>
      </w:r>
      <w:r w:rsidR="008858BC" w:rsidRPr="00906BD6">
        <w:t xml:space="preserve"> identified by the Royal </w:t>
      </w:r>
      <w:r w:rsidR="008858BC" w:rsidRPr="001870DE">
        <w:t>Commission</w:t>
      </w:r>
      <w:r w:rsidR="002C4139" w:rsidRPr="00C7683C">
        <w:t xml:space="preserve"> </w:t>
      </w:r>
      <w:r w:rsidR="001870DE" w:rsidRPr="00F46042">
        <w:t xml:space="preserve">into Violence, Abuse, </w:t>
      </w:r>
      <w:r w:rsidR="009965E5">
        <w:t>Neglect</w:t>
      </w:r>
      <w:r w:rsidR="009965E5" w:rsidRPr="00F46042">
        <w:t xml:space="preserve"> </w:t>
      </w:r>
      <w:r w:rsidR="001870DE" w:rsidRPr="00F46042">
        <w:t xml:space="preserve">and </w:t>
      </w:r>
      <w:r w:rsidR="009965E5">
        <w:t>Exploitation</w:t>
      </w:r>
      <w:r w:rsidR="009965E5" w:rsidRPr="00F46042">
        <w:t xml:space="preserve"> </w:t>
      </w:r>
      <w:r w:rsidR="001870DE" w:rsidRPr="00F46042">
        <w:t>of People with Disability</w:t>
      </w:r>
      <w:r w:rsidR="008858BC" w:rsidRPr="001870DE">
        <w:t>,</w:t>
      </w:r>
      <w:r w:rsidR="008858BC" w:rsidRPr="001870DE">
        <w:rPr>
          <w:rStyle w:val="EndnoteReference"/>
          <w:rFonts w:cs="Open Sans"/>
        </w:rPr>
        <w:endnoteReference w:id="17"/>
      </w:r>
      <w:r w:rsidR="008858BC" w:rsidRPr="00906BD6">
        <w:t xml:space="preserve"> </w:t>
      </w:r>
      <w:r w:rsidR="007224FA" w:rsidRPr="002306C1">
        <w:t xml:space="preserve">independent experts commissioned by </w:t>
      </w:r>
      <w:r w:rsidR="00DE3A01" w:rsidRPr="002306C1">
        <w:t>D</w:t>
      </w:r>
      <w:r w:rsidR="008858BC" w:rsidRPr="002306C1">
        <w:t xml:space="preserve">isabled </w:t>
      </w:r>
      <w:r w:rsidR="00DE3A01" w:rsidRPr="002306C1">
        <w:t>P</w:t>
      </w:r>
      <w:r w:rsidR="00D35DF5" w:rsidRPr="002306C1">
        <w:t xml:space="preserve">eople’s </w:t>
      </w:r>
      <w:r w:rsidR="00DE3A01" w:rsidRPr="002306C1">
        <w:t>O</w:t>
      </w:r>
      <w:r w:rsidR="00D35DF5" w:rsidRPr="002306C1">
        <w:t>rganisations</w:t>
      </w:r>
      <w:r w:rsidR="00DE3A01" w:rsidRPr="002306C1">
        <w:t xml:space="preserve"> Australia</w:t>
      </w:r>
      <w:r w:rsidR="008858BC" w:rsidRPr="002306C1">
        <w:t>,</w:t>
      </w:r>
      <w:r w:rsidR="008858BC">
        <w:rPr>
          <w:rStyle w:val="EndnoteReference"/>
          <w:rFonts w:cs="Open Sans"/>
        </w:rPr>
        <w:endnoteReference w:id="18"/>
      </w:r>
      <w:r w:rsidR="008858BC" w:rsidRPr="00906BD6">
        <w:t xml:space="preserve"> the U</w:t>
      </w:r>
      <w:r w:rsidR="008858BC">
        <w:t xml:space="preserve">nited </w:t>
      </w:r>
      <w:r w:rsidR="008858BC" w:rsidRPr="00906BD6">
        <w:t>N</w:t>
      </w:r>
      <w:r w:rsidR="008858BC">
        <w:t>ations</w:t>
      </w:r>
      <w:r w:rsidR="008858BC" w:rsidRPr="00906BD6">
        <w:t xml:space="preserve"> </w:t>
      </w:r>
      <w:r w:rsidR="008858BC">
        <w:t xml:space="preserve">(UN) </w:t>
      </w:r>
      <w:r w:rsidR="008858BC" w:rsidRPr="00906BD6">
        <w:t>Special Rapporteur</w:t>
      </w:r>
      <w:r w:rsidR="004448CF">
        <w:t xml:space="preserve"> on the rights of persons with disabilities</w:t>
      </w:r>
      <w:r w:rsidR="008858BC" w:rsidRPr="00906BD6">
        <w:t>,</w:t>
      </w:r>
      <w:r w:rsidR="008858BC">
        <w:rPr>
          <w:rStyle w:val="EndnoteReference"/>
          <w:rFonts w:cs="Open Sans"/>
        </w:rPr>
        <w:endnoteReference w:id="19"/>
      </w:r>
      <w:r w:rsidR="008858BC" w:rsidRPr="00906BD6">
        <w:t xml:space="preserve"> UN </w:t>
      </w:r>
      <w:r w:rsidR="00D35DF5">
        <w:t>human rights experts</w:t>
      </w:r>
      <w:r w:rsidR="005768BB">
        <w:t>,</w:t>
      </w:r>
      <w:r w:rsidR="008858BC">
        <w:rPr>
          <w:rStyle w:val="EndnoteReference"/>
          <w:rFonts w:cs="Open Sans"/>
        </w:rPr>
        <w:endnoteReference w:id="20"/>
      </w:r>
      <w:r w:rsidR="008858BC" w:rsidRPr="00906BD6">
        <w:t xml:space="preserve"> </w:t>
      </w:r>
      <w:r w:rsidR="00B06919">
        <w:t>the Secretary-General of the UN,</w:t>
      </w:r>
      <w:r w:rsidR="00B06919">
        <w:rPr>
          <w:rStyle w:val="EndnoteReference"/>
          <w:rFonts w:cs="Open Sans"/>
        </w:rPr>
        <w:endnoteReference w:id="21"/>
      </w:r>
      <w:r w:rsidR="00B06919">
        <w:t xml:space="preserve"> </w:t>
      </w:r>
      <w:r w:rsidR="008858BC" w:rsidRPr="00906BD6">
        <w:t>t</w:t>
      </w:r>
      <w:r w:rsidR="00942798">
        <w:t>he UN High Commissioner for Human Rights,</w:t>
      </w:r>
      <w:r w:rsidR="00942798">
        <w:rPr>
          <w:rStyle w:val="EndnoteReference"/>
          <w:rFonts w:cs="Open Sans"/>
        </w:rPr>
        <w:endnoteReference w:id="22"/>
      </w:r>
      <w:r w:rsidR="00942798">
        <w:t xml:space="preserve"> </w:t>
      </w:r>
      <w:r w:rsidR="00D34351">
        <w:t xml:space="preserve">the UN </w:t>
      </w:r>
      <w:r w:rsidR="008E23EF">
        <w:t>Sustainable Development Group,</w:t>
      </w:r>
      <w:r w:rsidR="005C2D49">
        <w:rPr>
          <w:rStyle w:val="EndnoteReference"/>
          <w:rFonts w:cs="Open Sans"/>
        </w:rPr>
        <w:endnoteReference w:id="23"/>
      </w:r>
      <w:r w:rsidR="008E23EF">
        <w:t xml:space="preserve"> </w:t>
      </w:r>
      <w:r w:rsidR="00942798">
        <w:t>t</w:t>
      </w:r>
      <w:r w:rsidR="008858BC" w:rsidRPr="00906BD6">
        <w:t>he W</w:t>
      </w:r>
      <w:r w:rsidR="008858BC">
        <w:t xml:space="preserve">orld </w:t>
      </w:r>
      <w:r w:rsidR="008858BC" w:rsidRPr="00906BD6">
        <w:t>H</w:t>
      </w:r>
      <w:r w:rsidR="008858BC">
        <w:t xml:space="preserve">ealth </w:t>
      </w:r>
      <w:r w:rsidR="008858BC" w:rsidRPr="00906BD6">
        <w:t>O</w:t>
      </w:r>
      <w:r w:rsidR="008858BC">
        <w:t>rgani</w:t>
      </w:r>
      <w:r w:rsidR="00DE3A01">
        <w:t>z</w:t>
      </w:r>
      <w:r w:rsidR="008858BC">
        <w:t>ation,</w:t>
      </w:r>
      <w:r w:rsidR="008858BC">
        <w:rPr>
          <w:rStyle w:val="EndnoteReference"/>
          <w:rFonts w:cs="Open Sans"/>
        </w:rPr>
        <w:endnoteReference w:id="24"/>
      </w:r>
      <w:r w:rsidR="008858BC">
        <w:t xml:space="preserve"> human rights organisations</w:t>
      </w:r>
      <w:r w:rsidR="00C66D1C">
        <w:t>,</w:t>
      </w:r>
      <w:r w:rsidR="008858BC">
        <w:rPr>
          <w:rStyle w:val="EndnoteReference"/>
          <w:rFonts w:cs="Open Sans"/>
        </w:rPr>
        <w:endnoteReference w:id="25"/>
      </w:r>
      <w:r w:rsidR="008858BC">
        <w:t xml:space="preserve"> and leading universities and commentators.</w:t>
      </w:r>
      <w:r w:rsidR="008858BC">
        <w:rPr>
          <w:rStyle w:val="EndnoteReference"/>
          <w:rFonts w:cs="Open Sans"/>
        </w:rPr>
        <w:endnoteReference w:id="26"/>
      </w:r>
      <w:r w:rsidR="008858B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04878" w:themeFill="accent5"/>
        <w:tblCellMar>
          <w:top w:w="284" w:type="dxa"/>
          <w:left w:w="284" w:type="dxa"/>
          <w:bottom w:w="284" w:type="dxa"/>
          <w:right w:w="284" w:type="dxa"/>
        </w:tblCellMar>
        <w:tblLook w:val="04A0" w:firstRow="1" w:lastRow="0" w:firstColumn="1" w:lastColumn="0" w:noHBand="0" w:noVBand="1"/>
      </w:tblPr>
      <w:tblGrid>
        <w:gridCol w:w="9016"/>
      </w:tblGrid>
      <w:tr w:rsidR="00702011" w:rsidRPr="00702011" w14:paraId="105BB3E7" w14:textId="77777777" w:rsidTr="00702011">
        <w:tc>
          <w:tcPr>
            <w:tcW w:w="9016" w:type="dxa"/>
            <w:shd w:val="clear" w:color="auto" w:fill="604878" w:themeFill="accent5"/>
          </w:tcPr>
          <w:p w14:paraId="15FF7695" w14:textId="710E036C" w:rsidR="00B87F5A" w:rsidRPr="00702011" w:rsidRDefault="004C7583" w:rsidP="00702011">
            <w:pPr>
              <w:pStyle w:val="Quote14ptWhite"/>
              <w:spacing w:before="120"/>
            </w:pPr>
            <w:r w:rsidRPr="00702011">
              <w:t>“</w:t>
            </w:r>
            <w:r w:rsidR="00B87F5A" w:rsidRPr="00702011">
              <w:t>While the COVID-19 pandemic threatens all members of society, persons with disabilities are disproportionately impacted due to attitudinal, environmental and institutional barriers that are reproduced in the COVID-19 response.</w:t>
            </w:r>
            <w:r w:rsidRPr="00702011">
              <w:t>”</w:t>
            </w:r>
            <w:r w:rsidR="00FA5139" w:rsidRPr="00702011">
              <w:rPr>
                <w:rStyle w:val="EndnoteReference"/>
                <w:rFonts w:cs="Open Sans"/>
                <w:i w:val="0"/>
                <w:iCs w:val="0"/>
              </w:rPr>
              <w:endnoteReference w:id="27"/>
            </w:r>
          </w:p>
          <w:p w14:paraId="741CCFC5" w14:textId="4EBACE28" w:rsidR="00B87F5A" w:rsidRPr="00702011" w:rsidRDefault="00B87F5A" w:rsidP="00822B79">
            <w:pPr>
              <w:rPr>
                <w:rFonts w:cs="Open Sans"/>
                <w:b/>
                <w:bCs/>
                <w:color w:val="FFFFFF" w:themeColor="background1"/>
                <w:sz w:val="22"/>
                <w:szCs w:val="22"/>
              </w:rPr>
            </w:pPr>
            <w:r w:rsidRPr="00702011">
              <w:rPr>
                <w:rFonts w:cs="Open Sans"/>
                <w:b/>
                <w:bCs/>
                <w:color w:val="FFFFFF" w:themeColor="background1"/>
                <w:sz w:val="22"/>
                <w:szCs w:val="22"/>
              </w:rPr>
              <w:t xml:space="preserve">Office of the </w:t>
            </w:r>
            <w:r w:rsidR="00DE3A01" w:rsidRPr="00702011">
              <w:rPr>
                <w:rFonts w:cs="Open Sans"/>
                <w:b/>
                <w:bCs/>
                <w:color w:val="FFFFFF" w:themeColor="background1"/>
                <w:sz w:val="22"/>
                <w:szCs w:val="22"/>
              </w:rPr>
              <w:t xml:space="preserve">United Nations </w:t>
            </w:r>
            <w:r w:rsidRPr="00702011">
              <w:rPr>
                <w:rFonts w:cs="Open Sans"/>
                <w:b/>
                <w:bCs/>
                <w:color w:val="FFFFFF" w:themeColor="background1"/>
                <w:sz w:val="22"/>
                <w:szCs w:val="22"/>
              </w:rPr>
              <w:t>High Commissioner</w:t>
            </w:r>
            <w:r w:rsidR="00FB1457" w:rsidRPr="00702011">
              <w:rPr>
                <w:rFonts w:cs="Open Sans"/>
                <w:b/>
                <w:bCs/>
                <w:color w:val="FFFFFF" w:themeColor="background1"/>
                <w:sz w:val="22"/>
                <w:szCs w:val="22"/>
              </w:rPr>
              <w:t xml:space="preserve"> for Human Rights</w:t>
            </w:r>
            <w:r w:rsidRPr="00702011">
              <w:rPr>
                <w:rFonts w:cs="Open Sans"/>
                <w:b/>
                <w:bCs/>
                <w:color w:val="FFFFFF" w:themeColor="background1"/>
                <w:sz w:val="22"/>
                <w:szCs w:val="22"/>
              </w:rPr>
              <w:t xml:space="preserve"> </w:t>
            </w:r>
            <w:r w:rsidR="00CD6200" w:rsidRPr="00702011">
              <w:rPr>
                <w:rFonts w:cs="Open Sans"/>
                <w:b/>
                <w:bCs/>
                <w:color w:val="FFFFFF" w:themeColor="background1"/>
                <w:sz w:val="22"/>
                <w:szCs w:val="22"/>
              </w:rPr>
              <w:br/>
            </w:r>
            <w:r w:rsidRPr="00702011">
              <w:rPr>
                <w:rFonts w:cs="Open Sans"/>
                <w:color w:val="FFFFFF" w:themeColor="background1"/>
                <w:sz w:val="22"/>
                <w:szCs w:val="22"/>
              </w:rPr>
              <w:t>29 April 2020</w:t>
            </w:r>
          </w:p>
        </w:tc>
      </w:tr>
    </w:tbl>
    <w:p w14:paraId="1D2C0BD6" w14:textId="29FE1275" w:rsidR="008858BC" w:rsidRDefault="008858BC" w:rsidP="00F277FA">
      <w:pPr>
        <w:spacing w:before="360"/>
      </w:pPr>
      <w:r>
        <w:t xml:space="preserve">When seeking to protect the human rights of people with disability in the context of </w:t>
      </w:r>
      <w:r w:rsidDel="009700C6">
        <w:t>COVID-19</w:t>
      </w:r>
      <w:r w:rsidR="00DA352A">
        <w:t>,</w:t>
      </w:r>
      <w:r>
        <w:t xml:space="preserve"> the following human rights principles outlined in article 3 of the </w:t>
      </w:r>
      <w:r w:rsidR="00E967AB" w:rsidRPr="00F762BE">
        <w:rPr>
          <w:rFonts w:eastAsia="Times New Roman"/>
          <w:i/>
          <w:iCs/>
        </w:rPr>
        <w:t>Convention on the Rights of Persons with Disabilities</w:t>
      </w:r>
      <w:r w:rsidR="00E967AB">
        <w:rPr>
          <w:rFonts w:eastAsia="Times New Roman"/>
          <w:i/>
          <w:iCs/>
        </w:rPr>
        <w:t xml:space="preserve"> </w:t>
      </w:r>
      <w:r w:rsidR="00E967AB">
        <w:rPr>
          <w:rFonts w:eastAsia="Times New Roman"/>
          <w:iCs/>
        </w:rPr>
        <w:t>(</w:t>
      </w:r>
      <w:r w:rsidR="00E967AB" w:rsidRPr="00D36F1B">
        <w:rPr>
          <w:rFonts w:eastAsia="Times New Roman"/>
          <w:iCs/>
        </w:rPr>
        <w:t>CRPD</w:t>
      </w:r>
      <w:r w:rsidR="00E967AB">
        <w:rPr>
          <w:rFonts w:eastAsia="Times New Roman"/>
          <w:iCs/>
        </w:rPr>
        <w:t>),</w:t>
      </w:r>
      <w:r w:rsidR="00E967AB">
        <w:rPr>
          <w:rStyle w:val="EndnoteReference"/>
          <w:rFonts w:eastAsia="Times New Roman" w:cs="Open Sans"/>
          <w:iCs/>
        </w:rPr>
        <w:endnoteReference w:id="28"/>
      </w:r>
      <w:r w:rsidR="00E967AB">
        <w:rPr>
          <w:rFonts w:eastAsia="Times New Roman"/>
          <w:iCs/>
        </w:rPr>
        <w:t xml:space="preserve"> </w:t>
      </w:r>
      <w:r>
        <w:t xml:space="preserve">are important: </w:t>
      </w:r>
    </w:p>
    <w:p w14:paraId="3DCED8F9" w14:textId="6B8EF9C7" w:rsidR="008858BC" w:rsidRPr="000D0726" w:rsidRDefault="008858BC" w:rsidP="000D0726">
      <w:pPr>
        <w:pStyle w:val="Heading4"/>
      </w:pPr>
      <w:r w:rsidRPr="000D0726">
        <w:t xml:space="preserve">Respect for </w:t>
      </w:r>
      <w:r w:rsidR="00ED0713" w:rsidRPr="000D0726">
        <w:t xml:space="preserve">the </w:t>
      </w:r>
      <w:r w:rsidRPr="000D0726">
        <w:t>inherent dignity of a person</w:t>
      </w:r>
    </w:p>
    <w:p w14:paraId="4366A631" w14:textId="4C1B2AA4" w:rsidR="008858BC" w:rsidRDefault="008858BC" w:rsidP="002306C1">
      <w:r>
        <w:t>Dignity sits at the core of most UN human rights instruments, and is often intertwined with other human rights concepts.</w:t>
      </w:r>
      <w:r>
        <w:rPr>
          <w:rStyle w:val="EndnoteReference"/>
          <w:rFonts w:cs="Open Sans"/>
        </w:rPr>
        <w:endnoteReference w:id="29"/>
      </w:r>
      <w:r>
        <w:t xml:space="preserve"> It has been described as the ‘anchor norm of human rights’.</w:t>
      </w:r>
      <w:r>
        <w:rPr>
          <w:rStyle w:val="EndnoteReference"/>
          <w:rFonts w:cs="Open Sans"/>
        </w:rPr>
        <w:endnoteReference w:id="30"/>
      </w:r>
    </w:p>
    <w:p w14:paraId="5402888E" w14:textId="2C1210CC" w:rsidR="008858BC" w:rsidRDefault="008858BC" w:rsidP="002306C1">
      <w:r>
        <w:t>The principle of ‘respect for inherent dignity’ points to the inherent value of the human dignity of</w:t>
      </w:r>
      <w:r w:rsidRPr="009965E5">
        <w:t xml:space="preserve"> </w:t>
      </w:r>
      <w:r w:rsidRPr="00143FD4">
        <w:t>all people</w:t>
      </w:r>
      <w:r>
        <w:t>.</w:t>
      </w:r>
      <w:r>
        <w:rPr>
          <w:rStyle w:val="EndnoteReference"/>
          <w:rFonts w:cs="Open Sans"/>
        </w:rPr>
        <w:endnoteReference w:id="31"/>
      </w:r>
    </w:p>
    <w:p w14:paraId="003D98DD" w14:textId="40B648C2" w:rsidR="008858BC" w:rsidRPr="00906BD6" w:rsidRDefault="008858BC" w:rsidP="002306C1">
      <w:r>
        <w:t xml:space="preserve">This is particularly important to articulate in the context of vulnerable groups </w:t>
      </w:r>
      <w:r w:rsidR="005B0683">
        <w:t>(including groups with intersectional characteristics</w:t>
      </w:r>
      <w:r w:rsidR="00FE6805">
        <w:rPr>
          <w:rStyle w:val="EndnoteReference"/>
          <w:rFonts w:cs="Open Sans"/>
        </w:rPr>
        <w:endnoteReference w:id="32"/>
      </w:r>
      <w:r w:rsidR="005B0683">
        <w:t xml:space="preserve">) </w:t>
      </w:r>
      <w:r>
        <w:t>where stigma can lead to discrimination and value judgements regarding the value of one life compared to another.</w:t>
      </w:r>
    </w:p>
    <w:p w14:paraId="561E11A1" w14:textId="77777777" w:rsidR="008858BC" w:rsidRPr="00660587" w:rsidRDefault="008858BC" w:rsidP="001737C1">
      <w:pPr>
        <w:pStyle w:val="Heading4"/>
      </w:pPr>
      <w:r w:rsidRPr="00660587">
        <w:lastRenderedPageBreak/>
        <w:t xml:space="preserve">Individual autonomy, </w:t>
      </w:r>
      <w:r w:rsidRPr="001737C1">
        <w:t>including</w:t>
      </w:r>
      <w:r w:rsidRPr="00660587">
        <w:t xml:space="preserve"> </w:t>
      </w:r>
      <w:r w:rsidRPr="001737C1">
        <w:rPr>
          <w:bCs/>
        </w:rPr>
        <w:t>the freedom</w:t>
      </w:r>
      <w:r w:rsidRPr="00660587">
        <w:t xml:space="preserve"> for a person to make their own choices</w:t>
      </w:r>
    </w:p>
    <w:p w14:paraId="5A9721EF" w14:textId="77777777" w:rsidR="008858BC" w:rsidRDefault="008858BC" w:rsidP="002306C1">
      <w:r>
        <w:t>Autonomy refers to the ‘freedom of being in charge of one’s own life and of making one’s own choices’.</w:t>
      </w:r>
      <w:r>
        <w:rPr>
          <w:rStyle w:val="EndnoteReference"/>
          <w:rFonts w:cs="Open Sans"/>
        </w:rPr>
        <w:endnoteReference w:id="33"/>
      </w:r>
      <w:r>
        <w:t xml:space="preserve"> When an individual has autonomy they have a greater ability to make ‘reasonable life choices’.</w:t>
      </w:r>
      <w:r>
        <w:rPr>
          <w:rStyle w:val="EndnoteReference"/>
          <w:rFonts w:cs="Open Sans"/>
        </w:rPr>
        <w:endnoteReference w:id="34"/>
      </w:r>
      <w:r>
        <w:t xml:space="preserve"> Autonomy also underpins the right to independent living. </w:t>
      </w:r>
    </w:p>
    <w:p w14:paraId="72FDAAE2" w14:textId="61B84BD9" w:rsidR="008858BC" w:rsidRDefault="008858BC" w:rsidP="00F277FA">
      <w:pPr>
        <w:spacing w:after="360"/>
      </w:pPr>
      <w:r>
        <w:t xml:space="preserve">Article 12 of the CRPD reinforces the importance of autonomy through its recognition of the principle of </w:t>
      </w:r>
      <w:r w:rsidR="00863883">
        <w:t xml:space="preserve">equal recognition of </w:t>
      </w:r>
      <w:r>
        <w:t>the legal capacity of people with disability</w:t>
      </w:r>
      <w:r w:rsidR="00BD4CDB">
        <w:t>, and the role of supported decision</w:t>
      </w:r>
      <w:r w:rsidR="00CB7478">
        <w:t>-</w:t>
      </w:r>
      <w:r w:rsidR="00BD4CDB">
        <w:t>making.</w:t>
      </w:r>
      <w:r>
        <w:t xml:space="preserve"> </w:t>
      </w:r>
      <w:r w:rsidR="00FA0143">
        <w:t xml:space="preserve">Importantly, </w:t>
      </w:r>
      <w:r w:rsidR="009111A2">
        <w:t>s</w:t>
      </w:r>
      <w:r w:rsidR="00793B4E" w:rsidRPr="00793B4E">
        <w:t xml:space="preserve">upport </w:t>
      </w:r>
      <w:r w:rsidR="009965E5">
        <w:t>‘</w:t>
      </w:r>
      <w:r w:rsidR="00793B4E" w:rsidRPr="00793B4E">
        <w:t>must respect the rights, will and preferences</w:t>
      </w:r>
      <w:r w:rsidR="009111A2">
        <w:t xml:space="preserve"> </w:t>
      </w:r>
      <w:r w:rsidR="00793B4E" w:rsidRPr="00793B4E">
        <w:t>of persons with disabilities and should never amount to substitute decision-making</w:t>
      </w:r>
      <w:r w:rsidR="004E0DF7">
        <w:t>’</w:t>
      </w:r>
      <w:r w:rsidR="00793B4E" w:rsidRPr="00793B4E">
        <w:t>.</w:t>
      </w:r>
      <w:r w:rsidR="00517750">
        <w:rPr>
          <w:rStyle w:val="EndnoteReference"/>
          <w:rFonts w:cs="Open Sans"/>
        </w:rPr>
        <w:endnoteReference w:id="35"/>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04878" w:themeFill="accent5"/>
        <w:tblCellMar>
          <w:top w:w="284" w:type="dxa"/>
          <w:left w:w="284" w:type="dxa"/>
          <w:bottom w:w="284" w:type="dxa"/>
          <w:right w:w="284" w:type="dxa"/>
        </w:tblCellMar>
        <w:tblLook w:val="04A0" w:firstRow="1" w:lastRow="0" w:firstColumn="1" w:lastColumn="0" w:noHBand="0" w:noVBand="1"/>
      </w:tblPr>
      <w:tblGrid>
        <w:gridCol w:w="9016"/>
      </w:tblGrid>
      <w:tr w:rsidR="0061053C" w14:paraId="5281978E" w14:textId="77777777" w:rsidTr="001737C1">
        <w:trPr>
          <w:trHeight w:val="2135"/>
        </w:trPr>
        <w:tc>
          <w:tcPr>
            <w:tcW w:w="9016" w:type="dxa"/>
            <w:shd w:val="clear" w:color="auto" w:fill="604878" w:themeFill="accent5"/>
          </w:tcPr>
          <w:p w14:paraId="37EC6DA1" w14:textId="43A166D2" w:rsidR="007851CE" w:rsidRDefault="001241A5" w:rsidP="00702011">
            <w:pPr>
              <w:pStyle w:val="Quote14ptWhite"/>
              <w:spacing w:before="120"/>
            </w:pPr>
            <w:r>
              <w:t>“</w:t>
            </w:r>
            <w:r w:rsidR="0070402B">
              <w:t xml:space="preserve">… </w:t>
            </w:r>
            <w:r w:rsidR="0061053C" w:rsidRPr="00660587">
              <w:t>persons with disabilities should not be denied medical care on the basis of stereotypes, assessments of quality of life, or judgments about a person’s relative ‘worth’ based on the presence or absence of disabilities</w:t>
            </w:r>
            <w:r w:rsidR="00A43653">
              <w:t xml:space="preserve"> or age</w:t>
            </w:r>
            <w:r w:rsidR="00F7413D">
              <w:t>.</w:t>
            </w:r>
            <w:r w:rsidR="0061053C" w:rsidRPr="00660587">
              <w:t xml:space="preserve">” </w:t>
            </w:r>
          </w:p>
          <w:p w14:paraId="6D2E357D" w14:textId="21F263F4" w:rsidR="0061053C" w:rsidRDefault="0061053C" w:rsidP="00506E90">
            <w:pPr>
              <w:pStyle w:val="Quote14ptWhite"/>
            </w:pPr>
            <w:r w:rsidRPr="00660587">
              <w:t>“</w:t>
            </w:r>
            <w:r w:rsidR="00F7413D">
              <w:t>[</w:t>
            </w:r>
            <w:r w:rsidR="00235125">
              <w:t>D</w:t>
            </w:r>
            <w:r w:rsidR="00F7413D">
              <w:t xml:space="preserve">ecisions] </w:t>
            </w:r>
            <w:r w:rsidRPr="00660587">
              <w:t>concerning whether an individual is a candidate for treatment should be based on an individualized assessment of the patient based on the best available objective medical evidence.</w:t>
            </w:r>
            <w:r w:rsidR="001241A5">
              <w:t>”</w:t>
            </w:r>
            <w:r w:rsidRPr="00506E90">
              <w:rPr>
                <w:rStyle w:val="EndnoteReference"/>
                <w:rFonts w:cs="Open Sans"/>
                <w:i w:val="0"/>
                <w:iCs w:val="0"/>
              </w:rPr>
              <w:endnoteReference w:id="36"/>
            </w:r>
          </w:p>
          <w:p w14:paraId="37765AAE" w14:textId="23CB85FD" w:rsidR="003D72AF" w:rsidRPr="00506E90" w:rsidRDefault="0061053C" w:rsidP="00F46042">
            <w:pPr>
              <w:rPr>
                <w:rFonts w:cs="Open Sans"/>
                <w:sz w:val="22"/>
                <w:szCs w:val="22"/>
              </w:rPr>
            </w:pPr>
            <w:r w:rsidRPr="00506E90">
              <w:rPr>
                <w:rFonts w:cs="Open Sans"/>
                <w:b/>
                <w:bCs/>
                <w:color w:val="FFFFFF" w:themeColor="background1"/>
                <w:sz w:val="22"/>
                <w:szCs w:val="22"/>
              </w:rPr>
              <w:t>Office of Civil Rights, US Department of Health and Human Services</w:t>
            </w:r>
            <w:r w:rsidR="003D72AF" w:rsidRPr="00506E90">
              <w:rPr>
                <w:rFonts w:cs="Open Sans"/>
                <w:b/>
                <w:bCs/>
                <w:color w:val="FFFFFF" w:themeColor="background1"/>
                <w:sz w:val="22"/>
                <w:szCs w:val="22"/>
              </w:rPr>
              <w:br/>
            </w:r>
            <w:r w:rsidR="003D72AF" w:rsidRPr="00506E90">
              <w:rPr>
                <w:rFonts w:cs="Open Sans"/>
                <w:color w:val="FFFFFF" w:themeColor="background1"/>
                <w:sz w:val="22"/>
                <w:szCs w:val="22"/>
              </w:rPr>
              <w:t>28 March 2020</w:t>
            </w:r>
          </w:p>
        </w:tc>
      </w:tr>
    </w:tbl>
    <w:p w14:paraId="6A37A42E" w14:textId="3C7109EE" w:rsidR="00F277FA" w:rsidRDefault="00F277FA" w:rsidP="0078415B">
      <w:pPr>
        <w:spacing w:before="0" w:after="0"/>
        <w:jc w:val="both"/>
        <w:rPr>
          <w:rFonts w:cs="Open Sans"/>
        </w:rPr>
      </w:pPr>
    </w:p>
    <w:p w14:paraId="5796D54A" w14:textId="77777777" w:rsidR="00F277FA" w:rsidRDefault="00F277FA">
      <w:pPr>
        <w:keepLines w:val="0"/>
        <w:spacing w:before="0" w:after="0"/>
        <w:rPr>
          <w:rFonts w:cs="Open Sans"/>
        </w:rPr>
      </w:pPr>
      <w:r>
        <w:rPr>
          <w:rFonts w:cs="Open Sans"/>
        </w:rPr>
        <w:br w:type="page"/>
      </w:r>
    </w:p>
    <w:p w14:paraId="089190DF" w14:textId="31CC2B12" w:rsidR="008858BC" w:rsidRPr="00660587" w:rsidRDefault="008858BC" w:rsidP="001737C1">
      <w:pPr>
        <w:pStyle w:val="Heading4"/>
      </w:pPr>
      <w:r w:rsidRPr="001737C1">
        <w:rPr>
          <w:bCs/>
        </w:rPr>
        <w:lastRenderedPageBreak/>
        <w:t>Non</w:t>
      </w:r>
      <w:r w:rsidRPr="00660587">
        <w:t>-</w:t>
      </w:r>
      <w:r w:rsidRPr="000D0726">
        <w:t>discrimination</w:t>
      </w:r>
    </w:p>
    <w:p w14:paraId="536F7CB9" w14:textId="3ABD2215" w:rsidR="002306C1" w:rsidRDefault="008858BC" w:rsidP="008858BC">
      <w:pPr>
        <w:rPr>
          <w:rFonts w:cs="Open Sans"/>
        </w:rPr>
      </w:pPr>
      <w:r w:rsidRPr="00906BD6">
        <w:rPr>
          <w:rFonts w:cs="Open Sans"/>
        </w:rPr>
        <w:t>Non-discrimination is a ‘basic and general principle relating to the protection of human rights</w:t>
      </w:r>
      <w:r w:rsidR="00235125">
        <w:rPr>
          <w:rFonts w:cs="Open Sans"/>
        </w:rPr>
        <w:t>’</w:t>
      </w:r>
      <w:r w:rsidRPr="00906BD6">
        <w:rPr>
          <w:rFonts w:cs="Open Sans"/>
        </w:rPr>
        <w:t>.</w:t>
      </w:r>
      <w:r w:rsidRPr="00906BD6">
        <w:rPr>
          <w:rStyle w:val="EndnoteReference"/>
          <w:rFonts w:cs="Open Sans"/>
          <w:sz w:val="24"/>
        </w:rPr>
        <w:endnoteReference w:id="37"/>
      </w:r>
      <w:r w:rsidRPr="00906BD6">
        <w:rPr>
          <w:rFonts w:cs="Open Sans"/>
        </w:rPr>
        <w:t xml:space="preserve"> Non-discrimination underpins a number of key rights in the CRPD and supports the concept of equality.</w:t>
      </w:r>
    </w:p>
    <w:p w14:paraId="7710AA82" w14:textId="77777777" w:rsidR="008858BC" w:rsidRDefault="008858BC" w:rsidP="008858BC">
      <w:pPr>
        <w:rPr>
          <w:rFonts w:cs="Open Sans"/>
          <w:color w:val="000000"/>
          <w:shd w:val="clear" w:color="auto" w:fill="FFFFFF"/>
        </w:rPr>
      </w:pPr>
      <w:r w:rsidRPr="00906BD6">
        <w:rPr>
          <w:rFonts w:cs="Open Sans"/>
        </w:rPr>
        <w:t xml:space="preserve">‘Discrimination’ is defined in article 2 of the CRPD as: </w:t>
      </w:r>
    </w:p>
    <w:p w14:paraId="556A2D3E" w14:textId="4A2CF33B" w:rsidR="008858BC" w:rsidRPr="000D0726" w:rsidRDefault="008858BC" w:rsidP="002306C1">
      <w:pPr>
        <w:ind w:left="360"/>
        <w:rPr>
          <w:rFonts w:cs="Open Sans"/>
          <w:color w:val="000000"/>
          <w:sz w:val="22"/>
          <w:szCs w:val="22"/>
          <w:shd w:val="clear" w:color="auto" w:fill="FFFFFF"/>
        </w:rPr>
      </w:pPr>
      <w:r w:rsidRPr="000D0726">
        <w:rPr>
          <w:rFonts w:cs="Open Sans"/>
          <w:color w:val="000000"/>
          <w:sz w:val="22"/>
          <w:szCs w:val="22"/>
          <w:shd w:val="clear" w:color="auto" w:fill="FFFFFF"/>
        </w:rPr>
        <w:t>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r w:rsidR="000B19D0" w:rsidRPr="000D0726">
        <w:rPr>
          <w:rStyle w:val="EndnoteReference"/>
          <w:rFonts w:cs="Open Sans"/>
          <w:color w:val="000000"/>
          <w:sz w:val="22"/>
          <w:szCs w:val="22"/>
          <w:shd w:val="clear" w:color="auto" w:fill="FFFFFF"/>
        </w:rPr>
        <w:endnoteReference w:id="38"/>
      </w:r>
    </w:p>
    <w:p w14:paraId="397C0084" w14:textId="059C3A05" w:rsidR="006E2168" w:rsidRPr="00906BD6" w:rsidRDefault="00BB501A" w:rsidP="002306C1">
      <w:pPr>
        <w:rPr>
          <w:iCs/>
        </w:rPr>
      </w:pPr>
      <w:r>
        <w:rPr>
          <w:shd w:val="clear" w:color="auto" w:fill="FFFFFF"/>
        </w:rPr>
        <w:t xml:space="preserve">In addition to these international human rights principles, there are also specific Australian laws dealing with </w:t>
      </w:r>
      <w:r w:rsidR="00643670">
        <w:rPr>
          <w:shd w:val="clear" w:color="auto" w:fill="FFFFFF"/>
        </w:rPr>
        <w:t xml:space="preserve">discrimination on the ground of disability. </w:t>
      </w:r>
      <w:r w:rsidR="006E2168">
        <w:rPr>
          <w:shd w:val="clear" w:color="auto" w:fill="FFFFFF"/>
        </w:rPr>
        <w:t xml:space="preserve">The </w:t>
      </w:r>
      <w:r w:rsidR="00234A3F" w:rsidRPr="00822B79">
        <w:rPr>
          <w:shd w:val="clear" w:color="auto" w:fill="FFFFFF"/>
        </w:rPr>
        <w:t>DDA</w:t>
      </w:r>
      <w:r w:rsidR="00234A3F">
        <w:rPr>
          <w:i/>
          <w:iCs/>
          <w:shd w:val="clear" w:color="auto" w:fill="FFFFFF"/>
        </w:rPr>
        <w:t xml:space="preserve"> </w:t>
      </w:r>
      <w:r w:rsidR="00757F7A">
        <w:rPr>
          <w:shd w:val="clear" w:color="auto" w:fill="FFFFFF"/>
        </w:rPr>
        <w:t xml:space="preserve">makes it unlawful to treat a person </w:t>
      </w:r>
      <w:r w:rsidR="00CB7256">
        <w:rPr>
          <w:shd w:val="clear" w:color="auto" w:fill="FFFFFF"/>
        </w:rPr>
        <w:t xml:space="preserve">less favourably because </w:t>
      </w:r>
      <w:r w:rsidR="00962CFF">
        <w:rPr>
          <w:shd w:val="clear" w:color="auto" w:fill="FFFFFF"/>
        </w:rPr>
        <w:t>of their disability</w:t>
      </w:r>
      <w:r w:rsidR="003133D7">
        <w:rPr>
          <w:shd w:val="clear" w:color="auto" w:fill="FFFFFF"/>
        </w:rPr>
        <w:t xml:space="preserve"> in a range of areas of public life, including </w:t>
      </w:r>
      <w:r w:rsidR="005D335B">
        <w:rPr>
          <w:shd w:val="clear" w:color="auto" w:fill="FFFFFF"/>
        </w:rPr>
        <w:t xml:space="preserve">in relation to </w:t>
      </w:r>
      <w:r w:rsidR="003133D7">
        <w:rPr>
          <w:shd w:val="clear" w:color="auto" w:fill="FFFFFF"/>
        </w:rPr>
        <w:t>the provision of medical services and facilities.</w:t>
      </w:r>
    </w:p>
    <w:p w14:paraId="655692A4" w14:textId="77777777" w:rsidR="008858BC" w:rsidRPr="007152E8" w:rsidRDefault="008858BC" w:rsidP="000D0726">
      <w:pPr>
        <w:pStyle w:val="Heading4"/>
        <w:rPr>
          <w:bCs/>
        </w:rPr>
      </w:pPr>
      <w:r w:rsidRPr="007152E8">
        <w:rPr>
          <w:bCs/>
        </w:rPr>
        <w:t>A person’s ability to be fully included, participate and be in society</w:t>
      </w:r>
    </w:p>
    <w:p w14:paraId="454485BA" w14:textId="2034FEFE" w:rsidR="008858BC" w:rsidRDefault="008858BC" w:rsidP="002306C1">
      <w:r w:rsidRPr="006D7C5D">
        <w:t>Participation in a human rights context generally refers to a person’s ability to</w:t>
      </w:r>
      <w:r>
        <w:t xml:space="preserve"> exercise both their </w:t>
      </w:r>
      <w:r w:rsidR="00AA149F">
        <w:t xml:space="preserve">civil and </w:t>
      </w:r>
      <w:r>
        <w:t xml:space="preserve">political </w:t>
      </w:r>
      <w:r w:rsidR="005042A7">
        <w:t xml:space="preserve">rights </w:t>
      </w:r>
      <w:r>
        <w:t xml:space="preserve">and </w:t>
      </w:r>
      <w:r w:rsidR="005042A7">
        <w:t xml:space="preserve">their economic, social and </w:t>
      </w:r>
      <w:r>
        <w:t>cultural rights.</w:t>
      </w:r>
      <w:r>
        <w:rPr>
          <w:rStyle w:val="EndnoteReference"/>
          <w:rFonts w:cs="Open Sans"/>
        </w:rPr>
        <w:endnoteReference w:id="39"/>
      </w:r>
    </w:p>
    <w:p w14:paraId="70CB1CD7" w14:textId="1316DB0A" w:rsidR="008858BC" w:rsidRDefault="008858BC" w:rsidP="002306C1">
      <w:r>
        <w:t>At its core</w:t>
      </w:r>
      <w:r w:rsidR="00DA352A">
        <w:t>,</w:t>
      </w:r>
      <w:r>
        <w:t xml:space="preserve"> participation is about being able to fully engage with all aspects of life without impediment.</w:t>
      </w:r>
    </w:p>
    <w:p w14:paraId="3B1E5001" w14:textId="75348123" w:rsidR="008858BC" w:rsidRPr="00906BD6" w:rsidRDefault="008858BC" w:rsidP="002306C1">
      <w:r>
        <w:t xml:space="preserve">Participation is also a key design feature </w:t>
      </w:r>
      <w:r w:rsidR="00FE6805">
        <w:t xml:space="preserve">of the </w:t>
      </w:r>
      <w:r w:rsidR="00AD131F">
        <w:t>monitoring processes of the CRPD and the</w:t>
      </w:r>
      <w:r w:rsidR="00DF0155">
        <w:t xml:space="preserve"> composition</w:t>
      </w:r>
      <w:r w:rsidR="00F07860">
        <w:t xml:space="preserve"> of the</w:t>
      </w:r>
      <w:r w:rsidR="00AD131F">
        <w:t xml:space="preserve"> CRPD Committee, </w:t>
      </w:r>
      <w:r>
        <w:t>which signals a move away from a medical model of disability, towards a social model.</w:t>
      </w:r>
      <w:r>
        <w:rPr>
          <w:rStyle w:val="EndnoteReference"/>
          <w:rFonts w:cs="Open Sans"/>
        </w:rPr>
        <w:endnoteReference w:id="40"/>
      </w:r>
      <w:r>
        <w:t xml:space="preserve"> </w:t>
      </w:r>
    </w:p>
    <w:p w14:paraId="14EFFF6C" w14:textId="77777777" w:rsidR="008858BC" w:rsidRPr="007152E8" w:rsidRDefault="008858BC" w:rsidP="000D0726">
      <w:pPr>
        <w:pStyle w:val="Heading4"/>
        <w:rPr>
          <w:bCs/>
        </w:rPr>
      </w:pPr>
      <w:r w:rsidRPr="007152E8">
        <w:rPr>
          <w:bCs/>
        </w:rPr>
        <w:t>Equality of opportunity</w:t>
      </w:r>
    </w:p>
    <w:p w14:paraId="56268988" w14:textId="295C5624" w:rsidR="008858BC" w:rsidRPr="00D14A48" w:rsidRDefault="008858BC" w:rsidP="002306C1">
      <w:r w:rsidRPr="00D14A48">
        <w:t>Equality of opportunity focuses on the removal of institutional and environmental barriers.</w:t>
      </w:r>
      <w:r w:rsidRPr="00D14A48">
        <w:rPr>
          <w:rStyle w:val="EndnoteReference"/>
          <w:rFonts w:cs="Open Sans"/>
        </w:rPr>
        <w:endnoteReference w:id="41"/>
      </w:r>
      <w:r w:rsidRPr="00D14A48">
        <w:t xml:space="preserve"> </w:t>
      </w:r>
      <w:r w:rsidR="007A3C11">
        <w:t xml:space="preserve">This also incorporates making reasonable adjustments </w:t>
      </w:r>
      <w:r w:rsidR="001B5055">
        <w:t xml:space="preserve">to ensure that people with disability can take </w:t>
      </w:r>
      <w:r w:rsidR="00BF14D4">
        <w:t xml:space="preserve">advantage of opportunities on an equal basis with others. </w:t>
      </w:r>
      <w:r w:rsidRPr="00D14A48">
        <w:t>It is the first step in facilitating substantive equality</w:t>
      </w:r>
      <w:r w:rsidR="00DA352A">
        <w:rPr>
          <w:rFonts w:ascii="Segoe UI" w:hAnsi="Segoe UI" w:cs="Segoe UI"/>
        </w:rPr>
        <w:t>—</w:t>
      </w:r>
      <w:r w:rsidR="00DA352A">
        <w:t>equality of outcomes</w:t>
      </w:r>
      <w:r w:rsidRPr="00D14A48">
        <w:t>.</w:t>
      </w:r>
    </w:p>
    <w:p w14:paraId="1F770232" w14:textId="0390AAA0" w:rsidR="008858BC" w:rsidRPr="00660587" w:rsidRDefault="008858BC" w:rsidP="000D0726">
      <w:pPr>
        <w:pStyle w:val="Heading4"/>
      </w:pPr>
      <w:r w:rsidRPr="000D0726">
        <w:lastRenderedPageBreak/>
        <w:t>Accessibility</w:t>
      </w:r>
    </w:p>
    <w:p w14:paraId="339BFF32" w14:textId="1CED8216" w:rsidR="008858BC" w:rsidRDefault="008858BC" w:rsidP="002306C1">
      <w:r w:rsidRPr="00D14A48">
        <w:t xml:space="preserve">Accessibility plays a key role in facilitating the </w:t>
      </w:r>
      <w:r w:rsidR="009C7F0A">
        <w:t>‘</w:t>
      </w:r>
      <w:r w:rsidRPr="00D14A48">
        <w:t>full and effective participation of people with disability in society</w:t>
      </w:r>
      <w:r w:rsidR="00FC5A53">
        <w:t>’</w:t>
      </w:r>
      <w:r w:rsidRPr="00D14A48">
        <w:t>.</w:t>
      </w:r>
      <w:r w:rsidRPr="00D14A48">
        <w:rPr>
          <w:rStyle w:val="EndnoteReference"/>
          <w:rFonts w:cs="Open Sans"/>
        </w:rPr>
        <w:endnoteReference w:id="42"/>
      </w:r>
      <w:r w:rsidRPr="00D14A48">
        <w:t xml:space="preserve"> Accessibility refers to the right of people with disability to access the physical environment, transport</w:t>
      </w:r>
      <w:r>
        <w:t xml:space="preserve">, information, systems and any other elements of daily life to support their participation and the realisation of their rights. </w:t>
      </w:r>
    </w:p>
    <w:p w14:paraId="029A0280" w14:textId="37DBE106" w:rsidR="008858BC" w:rsidRDefault="008858BC" w:rsidP="002306C1">
      <w:r>
        <w:t>These principles are echoed in the</w:t>
      </w:r>
      <w:r w:rsidR="00AD131F">
        <w:t xml:space="preserve"> </w:t>
      </w:r>
      <w:r w:rsidR="00234A3F">
        <w:t>DDA</w:t>
      </w:r>
      <w:r w:rsidR="009965E5">
        <w:t>.</w:t>
      </w:r>
      <w:r>
        <w:rPr>
          <w:rStyle w:val="EndnoteReference"/>
          <w:rFonts w:cs="Open Sans"/>
        </w:rPr>
        <w:endnoteReference w:id="43"/>
      </w:r>
    </w:p>
    <w:p w14:paraId="1B96A6F8" w14:textId="7D904A23" w:rsidR="00702011" w:rsidRPr="00906BD6" w:rsidRDefault="008858BC" w:rsidP="00702011">
      <w:pPr>
        <w:spacing w:after="360"/>
      </w:pPr>
      <w:r>
        <w:t xml:space="preserve">A key part of ensuring the equality of people with disability is through </w:t>
      </w:r>
      <w:r w:rsidR="00DA352A">
        <w:t>the principle of ‘</w:t>
      </w:r>
      <w:r>
        <w:t>reasonable accommodation</w:t>
      </w:r>
      <w:r w:rsidR="00DA352A">
        <w:t>’</w:t>
      </w:r>
      <w:r>
        <w:t xml:space="preserve">. Article 5(3) of the CRPD provides that parties </w:t>
      </w:r>
      <w:r w:rsidR="00AB700B">
        <w:t xml:space="preserve">shall </w:t>
      </w:r>
      <w:r>
        <w:t>actively take all appropriate steps to ensure that reasonable accommodations are made to ensure the promotion of equality and prevention of discrimination.</w:t>
      </w:r>
      <w:r>
        <w:rPr>
          <w:rStyle w:val="EndnoteReference"/>
          <w:rFonts w:cs="Open Sans"/>
        </w:rPr>
        <w:endnoteReference w:id="44"/>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4" w:type="dxa"/>
          <w:left w:w="284" w:type="dxa"/>
          <w:bottom w:w="284" w:type="dxa"/>
          <w:right w:w="284" w:type="dxa"/>
        </w:tblCellMar>
        <w:tblLook w:val="04A0" w:firstRow="1" w:lastRow="0" w:firstColumn="1" w:lastColumn="0" w:noHBand="0" w:noVBand="1"/>
      </w:tblPr>
      <w:tblGrid>
        <w:gridCol w:w="9016"/>
      </w:tblGrid>
      <w:tr w:rsidR="00DE2727" w14:paraId="5B390F64" w14:textId="77777777" w:rsidTr="007152E8">
        <w:tc>
          <w:tcPr>
            <w:tcW w:w="9016" w:type="dxa"/>
            <w:shd w:val="clear" w:color="auto" w:fill="F2F2F2" w:themeFill="background1" w:themeFillShade="F2"/>
          </w:tcPr>
          <w:p w14:paraId="17AB362E" w14:textId="6E6D823C" w:rsidR="00DE2727" w:rsidRDefault="00DE2727" w:rsidP="000D0726">
            <w:pPr>
              <w:pStyle w:val="HeadingOrange"/>
            </w:pPr>
            <w:r w:rsidRPr="00660587">
              <w:t>The PANEL model</w:t>
            </w:r>
          </w:p>
          <w:p w14:paraId="6FD50601" w14:textId="7C0FB48A" w:rsidR="00DE2727" w:rsidRDefault="00DE2727" w:rsidP="00DE2727">
            <w:pPr>
              <w:pStyle w:val="NoSpacing"/>
            </w:pPr>
            <w:r>
              <w:t>The PANEL model</w:t>
            </w:r>
            <w:r>
              <w:rPr>
                <w:rStyle w:val="EndnoteReference"/>
                <w:rFonts w:eastAsia="MS Mincho"/>
              </w:rPr>
              <w:endnoteReference w:id="45"/>
            </w:r>
            <w:r>
              <w:t xml:space="preserve"> provides guidance on the key elements of a human rights-based approach and is a useful analy</w:t>
            </w:r>
            <w:r w:rsidR="0046370F">
              <w:t>tical</w:t>
            </w:r>
            <w:r>
              <w:t xml:space="preserve"> tool. It includes the following elements:</w:t>
            </w:r>
          </w:p>
          <w:p w14:paraId="00FB1978" w14:textId="7AF4C8AA" w:rsidR="00DE2727" w:rsidRPr="00660587" w:rsidRDefault="00DE2727" w:rsidP="00AD45B0">
            <w:pPr>
              <w:pStyle w:val="NoSpacing"/>
              <w:numPr>
                <w:ilvl w:val="0"/>
                <w:numId w:val="25"/>
              </w:numPr>
              <w:spacing w:after="120"/>
              <w:ind w:left="714" w:hanging="357"/>
              <w:rPr>
                <w:b/>
                <w:bCs/>
              </w:rPr>
            </w:pPr>
            <w:r w:rsidRPr="00660587">
              <w:rPr>
                <w:b/>
                <w:bCs/>
              </w:rPr>
              <w:t>Participation</w:t>
            </w:r>
            <w:r w:rsidR="00AD131F">
              <w:t>—</w:t>
            </w:r>
            <w:r w:rsidR="00D31F2B">
              <w:t xml:space="preserve">everyone has the right to participate in decisions </w:t>
            </w:r>
            <w:r w:rsidR="00E777A1">
              <w:t xml:space="preserve">that </w:t>
            </w:r>
            <w:r w:rsidR="00D31F2B">
              <w:t>affect their human rights.</w:t>
            </w:r>
          </w:p>
          <w:p w14:paraId="5F57E6E7" w14:textId="05FDB6B5" w:rsidR="00DE2727" w:rsidRPr="00D31F2B" w:rsidRDefault="00DE2727" w:rsidP="00AD45B0">
            <w:pPr>
              <w:pStyle w:val="NoSpacing"/>
              <w:numPr>
                <w:ilvl w:val="0"/>
                <w:numId w:val="25"/>
              </w:numPr>
              <w:spacing w:after="120"/>
              <w:ind w:left="714" w:hanging="357"/>
            </w:pPr>
            <w:r w:rsidRPr="00660587">
              <w:rPr>
                <w:b/>
                <w:bCs/>
              </w:rPr>
              <w:t>Accountability</w:t>
            </w:r>
            <w:r w:rsidR="00AD131F">
              <w:t>—</w:t>
            </w:r>
            <w:r w:rsidR="00D31F2B" w:rsidRPr="00660587">
              <w:t>effective monitor</w:t>
            </w:r>
            <w:r w:rsidR="00D31F2B">
              <w:t xml:space="preserve">ing </w:t>
            </w:r>
            <w:r w:rsidR="00D31F2B" w:rsidRPr="00660587">
              <w:t>of co</w:t>
            </w:r>
            <w:r w:rsidR="00D31F2B">
              <w:t>mpliance with human rights norms</w:t>
            </w:r>
            <w:r w:rsidR="00DA352A">
              <w:t>,</w:t>
            </w:r>
            <w:r w:rsidR="00D31F2B">
              <w:t xml:space="preserve"> and remedies to address non-compliance.</w:t>
            </w:r>
          </w:p>
          <w:p w14:paraId="0B5D5A05" w14:textId="0320CE91" w:rsidR="00DE2727" w:rsidRPr="00660587" w:rsidRDefault="00DE2727" w:rsidP="00AD45B0">
            <w:pPr>
              <w:pStyle w:val="NoSpacing"/>
              <w:numPr>
                <w:ilvl w:val="0"/>
                <w:numId w:val="25"/>
              </w:numPr>
              <w:spacing w:after="120"/>
              <w:ind w:left="714" w:hanging="357"/>
              <w:rPr>
                <w:b/>
                <w:bCs/>
              </w:rPr>
            </w:pPr>
            <w:r w:rsidRPr="00660587">
              <w:rPr>
                <w:b/>
                <w:bCs/>
              </w:rPr>
              <w:t>Non-</w:t>
            </w:r>
            <w:r w:rsidR="00D31F2B" w:rsidRPr="00660587">
              <w:rPr>
                <w:b/>
                <w:bCs/>
              </w:rPr>
              <w:t>discrimination</w:t>
            </w:r>
            <w:r w:rsidRPr="00660587">
              <w:rPr>
                <w:b/>
                <w:bCs/>
              </w:rPr>
              <w:t xml:space="preserve"> and equality</w:t>
            </w:r>
            <w:r w:rsidR="00AD131F">
              <w:t>—</w:t>
            </w:r>
            <w:r w:rsidR="00D31F2B">
              <w:t>all forms of discrimination must be prohibited and prevented, and priority should be given to the most marginalised in our society.</w:t>
            </w:r>
          </w:p>
          <w:p w14:paraId="4A33649C" w14:textId="73D9E5A8" w:rsidR="00DE2727" w:rsidRPr="00660587" w:rsidRDefault="00DE2727" w:rsidP="00AD45B0">
            <w:pPr>
              <w:pStyle w:val="NoSpacing"/>
              <w:numPr>
                <w:ilvl w:val="0"/>
                <w:numId w:val="25"/>
              </w:numPr>
              <w:spacing w:after="120"/>
              <w:ind w:left="714" w:hanging="357"/>
              <w:rPr>
                <w:b/>
                <w:bCs/>
              </w:rPr>
            </w:pPr>
            <w:r w:rsidRPr="00660587">
              <w:rPr>
                <w:b/>
                <w:bCs/>
              </w:rPr>
              <w:t>Empowerment</w:t>
            </w:r>
            <w:r w:rsidR="00AD131F">
              <w:t>—</w:t>
            </w:r>
            <w:r w:rsidR="00D31F2B">
              <w:t>everyone is entitled to claim and exercise their rights and freedoms.</w:t>
            </w:r>
          </w:p>
          <w:p w14:paraId="0FFC403D" w14:textId="7156F3C6" w:rsidR="00DE2727" w:rsidRPr="00660587" w:rsidRDefault="00DE2727" w:rsidP="00AD45B0">
            <w:pPr>
              <w:pStyle w:val="NoSpacing"/>
              <w:numPr>
                <w:ilvl w:val="0"/>
                <w:numId w:val="25"/>
              </w:numPr>
              <w:spacing w:after="120"/>
              <w:ind w:left="714" w:hanging="357"/>
              <w:rPr>
                <w:b/>
                <w:bCs/>
              </w:rPr>
            </w:pPr>
            <w:r w:rsidRPr="00660587">
              <w:rPr>
                <w:b/>
                <w:bCs/>
              </w:rPr>
              <w:t>Legality</w:t>
            </w:r>
            <w:r w:rsidR="00AD131F">
              <w:t>—</w:t>
            </w:r>
            <w:r w:rsidR="00D31F2B">
              <w:t>when laws and policies are developed</w:t>
            </w:r>
            <w:r w:rsidR="00DA352A">
              <w:t>,</w:t>
            </w:r>
            <w:r w:rsidR="00D31F2B">
              <w:t xml:space="preserve"> they recognise human rights as enforceable entitlements, and </w:t>
            </w:r>
            <w:r w:rsidR="001503E4">
              <w:t xml:space="preserve">are </w:t>
            </w:r>
            <w:r w:rsidR="00D31F2B">
              <w:t>consistent with human rights.</w:t>
            </w:r>
          </w:p>
        </w:tc>
      </w:tr>
    </w:tbl>
    <w:p w14:paraId="69ACB985" w14:textId="7E863074" w:rsidR="007152E8" w:rsidRDefault="007152E8" w:rsidP="00660587">
      <w:pPr>
        <w:jc w:val="both"/>
      </w:pPr>
    </w:p>
    <w:p w14:paraId="15A1E2CB" w14:textId="2DCF2A7F" w:rsidR="008858BC" w:rsidRPr="008858BC" w:rsidRDefault="007152E8" w:rsidP="007152E8">
      <w:pPr>
        <w:keepLines w:val="0"/>
        <w:spacing w:before="0" w:after="0"/>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84" w:type="dxa"/>
          <w:left w:w="284" w:type="dxa"/>
          <w:bottom w:w="284" w:type="dxa"/>
          <w:right w:w="284" w:type="dxa"/>
        </w:tblCellMar>
        <w:tblLook w:val="04A0" w:firstRow="1" w:lastRow="0" w:firstColumn="1" w:lastColumn="0" w:noHBand="0" w:noVBand="1"/>
      </w:tblPr>
      <w:tblGrid>
        <w:gridCol w:w="9016"/>
      </w:tblGrid>
      <w:tr w:rsidR="00D14F82" w14:paraId="5792B56F" w14:textId="77777777" w:rsidTr="007152E8">
        <w:tc>
          <w:tcPr>
            <w:tcW w:w="9016" w:type="dxa"/>
            <w:shd w:val="clear" w:color="auto" w:fill="F2F2F2" w:themeFill="background1" w:themeFillShade="F2"/>
          </w:tcPr>
          <w:p w14:paraId="00741E92" w14:textId="00B1AC38" w:rsidR="00D14F82" w:rsidRPr="00FE55D5" w:rsidRDefault="008576DD" w:rsidP="000D0726">
            <w:pPr>
              <w:pStyle w:val="HeadingOrange"/>
            </w:pPr>
            <w:bookmarkStart w:id="10" w:name="_Toc41372054"/>
            <w:r w:rsidRPr="00723C98">
              <w:lastRenderedPageBreak/>
              <w:t>Human rights and health</w:t>
            </w:r>
            <w:r w:rsidR="003617EF">
              <w:t xml:space="preserve"> </w:t>
            </w:r>
            <w:r w:rsidRPr="00723C98">
              <w:t>care</w:t>
            </w:r>
            <w:bookmarkEnd w:id="10"/>
          </w:p>
          <w:p w14:paraId="049A6154" w14:textId="14A88539" w:rsidR="00DF0808" w:rsidRDefault="00652840" w:rsidP="008576DD">
            <w:pPr>
              <w:rPr>
                <w:rFonts w:cs="Open Sans"/>
              </w:rPr>
            </w:pPr>
            <w:r w:rsidRPr="00E25EBE">
              <w:rPr>
                <w:rFonts w:cs="Open Sans"/>
              </w:rPr>
              <w:t xml:space="preserve">Health professionals </w:t>
            </w:r>
            <w:r w:rsidR="00BD4F19">
              <w:rPr>
                <w:rFonts w:cs="Open Sans"/>
              </w:rPr>
              <w:t xml:space="preserve">are guided by </w:t>
            </w:r>
            <w:r w:rsidR="00FE55D5" w:rsidRPr="00E25EBE">
              <w:rPr>
                <w:rFonts w:cs="Open Sans"/>
              </w:rPr>
              <w:t xml:space="preserve">a </w:t>
            </w:r>
            <w:r w:rsidR="004A583F">
              <w:rPr>
                <w:rFonts w:cs="Open Sans"/>
              </w:rPr>
              <w:t>range</w:t>
            </w:r>
            <w:r w:rsidR="004A583F" w:rsidRPr="00E25EBE">
              <w:rPr>
                <w:rFonts w:cs="Open Sans"/>
              </w:rPr>
              <w:t xml:space="preserve"> </w:t>
            </w:r>
            <w:r w:rsidR="00FE55D5" w:rsidRPr="00E25EBE">
              <w:rPr>
                <w:rFonts w:cs="Open Sans"/>
              </w:rPr>
              <w:t>of different protocols</w:t>
            </w:r>
            <w:r w:rsidR="00260EE7">
              <w:rPr>
                <w:rFonts w:cs="Open Sans"/>
              </w:rPr>
              <w:t xml:space="preserve">, and use </w:t>
            </w:r>
            <w:r w:rsidR="001F1BC3">
              <w:rPr>
                <w:rFonts w:cs="Open Sans"/>
              </w:rPr>
              <w:t xml:space="preserve">a variety of </w:t>
            </w:r>
            <w:r w:rsidR="00260EE7">
              <w:rPr>
                <w:rFonts w:cs="Open Sans"/>
              </w:rPr>
              <w:t>different assessment tools,</w:t>
            </w:r>
            <w:r w:rsidR="00FE55D5" w:rsidRPr="00E25EBE">
              <w:rPr>
                <w:rFonts w:cs="Open Sans"/>
              </w:rPr>
              <w:t xml:space="preserve"> in a health</w:t>
            </w:r>
            <w:r w:rsidR="00453D61">
              <w:rPr>
                <w:rFonts w:cs="Open Sans"/>
              </w:rPr>
              <w:t xml:space="preserve"> </w:t>
            </w:r>
            <w:r w:rsidR="00FE55D5" w:rsidRPr="00E25EBE">
              <w:rPr>
                <w:rFonts w:cs="Open Sans"/>
              </w:rPr>
              <w:t xml:space="preserve">care setting. </w:t>
            </w:r>
            <w:r w:rsidR="00B65DDB">
              <w:rPr>
                <w:rFonts w:cs="Open Sans"/>
              </w:rPr>
              <w:t>By their nature these</w:t>
            </w:r>
            <w:r w:rsidR="004B785D">
              <w:rPr>
                <w:rFonts w:cs="Open Sans"/>
              </w:rPr>
              <w:t xml:space="preserve"> tools and protocols</w:t>
            </w:r>
            <w:r w:rsidR="00B65DDB">
              <w:rPr>
                <w:rFonts w:cs="Open Sans"/>
              </w:rPr>
              <w:t xml:space="preserve"> are designed with a primary focus on positive health</w:t>
            </w:r>
            <w:r w:rsidR="00453D61">
              <w:rPr>
                <w:rFonts w:cs="Open Sans"/>
              </w:rPr>
              <w:t xml:space="preserve"> </w:t>
            </w:r>
            <w:r w:rsidR="00B65DDB">
              <w:rPr>
                <w:rFonts w:cs="Open Sans"/>
              </w:rPr>
              <w:t xml:space="preserve">care outcomes. </w:t>
            </w:r>
            <w:r w:rsidR="00C22879">
              <w:rPr>
                <w:rFonts w:cs="Open Sans"/>
              </w:rPr>
              <w:t xml:space="preserve">It is important that these </w:t>
            </w:r>
            <w:r w:rsidR="00260EE7">
              <w:rPr>
                <w:rFonts w:cs="Open Sans"/>
              </w:rPr>
              <w:t xml:space="preserve">tools and </w:t>
            </w:r>
            <w:r w:rsidR="00C22879">
              <w:rPr>
                <w:rFonts w:cs="Open Sans"/>
              </w:rPr>
              <w:t>protocols also ensure the protection of the rights of people with disability.</w:t>
            </w:r>
          </w:p>
          <w:p w14:paraId="4BE032B2" w14:textId="4A69DE96" w:rsidR="00E922B7" w:rsidRPr="00702011" w:rsidRDefault="00DF0808" w:rsidP="008576DD">
            <w:pPr>
              <w:rPr>
                <w:rFonts w:cs="Open Sans"/>
                <w:color w:val="F06F1B"/>
              </w:rPr>
            </w:pPr>
            <w:r w:rsidRPr="00702011">
              <w:rPr>
                <w:rFonts w:cs="Open Sans"/>
                <w:b/>
                <w:bCs/>
                <w:i/>
                <w:iCs/>
                <w:color w:val="F06F1B"/>
              </w:rPr>
              <w:t>Clinical Frailty Scale</w:t>
            </w:r>
          </w:p>
          <w:p w14:paraId="52806092" w14:textId="493FA8D3" w:rsidR="00463AAC" w:rsidRDefault="00F3743C" w:rsidP="008576DD">
            <w:pPr>
              <w:rPr>
                <w:rFonts w:cs="Open Sans"/>
              </w:rPr>
            </w:pPr>
            <w:r>
              <w:rPr>
                <w:rFonts w:cs="Open Sans"/>
              </w:rPr>
              <w:t>The C</w:t>
            </w:r>
            <w:r w:rsidR="00260EE7">
              <w:rPr>
                <w:rFonts w:cs="Open Sans"/>
              </w:rPr>
              <w:t>lin</w:t>
            </w:r>
            <w:r w:rsidR="00017941">
              <w:rPr>
                <w:rFonts w:cs="Open Sans"/>
              </w:rPr>
              <w:t>i</w:t>
            </w:r>
            <w:r w:rsidR="00260EE7">
              <w:rPr>
                <w:rFonts w:cs="Open Sans"/>
              </w:rPr>
              <w:t>cal Frailty Scale</w:t>
            </w:r>
            <w:r w:rsidR="00D54CD7" w:rsidRPr="007E58A3">
              <w:rPr>
                <w:rStyle w:val="EndnoteReference"/>
                <w:rFonts w:cs="Open Sans"/>
              </w:rPr>
              <w:endnoteReference w:id="46"/>
            </w:r>
            <w:r w:rsidR="00260EE7">
              <w:rPr>
                <w:rFonts w:cs="Open Sans"/>
              </w:rPr>
              <w:t xml:space="preserve"> (CFS) is a tool that</w:t>
            </w:r>
            <w:r>
              <w:rPr>
                <w:rFonts w:cs="Open Sans"/>
              </w:rPr>
              <w:t xml:space="preserve"> was developed to help assess the </w:t>
            </w:r>
            <w:r w:rsidR="00407892">
              <w:rPr>
                <w:rFonts w:cs="Open Sans"/>
              </w:rPr>
              <w:t>frailty of older people (over 65 years) for clinical purposes.</w:t>
            </w:r>
            <w:r w:rsidR="0017763F">
              <w:rPr>
                <w:rFonts w:cs="Open Sans"/>
              </w:rPr>
              <w:t xml:space="preserve"> It allows clinicians to rate an individual </w:t>
            </w:r>
            <w:r w:rsidR="00AF710A">
              <w:rPr>
                <w:rFonts w:cs="Open Sans"/>
              </w:rPr>
              <w:t>on a scale from</w:t>
            </w:r>
            <w:r w:rsidR="00785C2A">
              <w:rPr>
                <w:rFonts w:cs="Open Sans"/>
              </w:rPr>
              <w:t xml:space="preserve"> ‘very fit’ to ‘terminally ill’.</w:t>
            </w:r>
            <w:r w:rsidR="00AF710A">
              <w:rPr>
                <w:rFonts w:cs="Open Sans"/>
              </w:rPr>
              <w:t xml:space="preserve"> </w:t>
            </w:r>
            <w:r w:rsidR="005F4BCB">
              <w:rPr>
                <w:rFonts w:cs="Open Sans"/>
              </w:rPr>
              <w:t>Some of the factors that are used to assess frailty under the CFS include</w:t>
            </w:r>
            <w:r w:rsidR="00463AAC">
              <w:rPr>
                <w:rFonts w:cs="Open Sans"/>
              </w:rPr>
              <w:t>:</w:t>
            </w:r>
          </w:p>
          <w:p w14:paraId="04DCC2DC" w14:textId="658D212D" w:rsidR="005F4BCB" w:rsidRDefault="00545510" w:rsidP="005F3738">
            <w:pPr>
              <w:pStyle w:val="ListParagraph"/>
              <w:numPr>
                <w:ilvl w:val="0"/>
                <w:numId w:val="29"/>
              </w:numPr>
              <w:rPr>
                <w:rFonts w:cs="Open Sans"/>
              </w:rPr>
            </w:pPr>
            <w:r w:rsidRPr="00E25EBE">
              <w:rPr>
                <w:rFonts w:cs="Open Sans"/>
              </w:rPr>
              <w:t>the amount of assistance an individual requires with</w:t>
            </w:r>
            <w:r w:rsidR="00463AAC">
              <w:rPr>
                <w:rFonts w:cs="Open Sans"/>
              </w:rPr>
              <w:t xml:space="preserve"> </w:t>
            </w:r>
            <w:r w:rsidR="00463AAC" w:rsidRPr="00E25EBE">
              <w:rPr>
                <w:rFonts w:cs="Open Sans"/>
              </w:rPr>
              <w:t>outside activities</w:t>
            </w:r>
            <w:r w:rsidR="00463AAC">
              <w:rPr>
                <w:rFonts w:cs="Open Sans"/>
              </w:rPr>
              <w:t xml:space="preserve"> and personal care</w:t>
            </w:r>
          </w:p>
          <w:p w14:paraId="723EB567" w14:textId="775FC8A0" w:rsidR="00463AAC" w:rsidRDefault="00940EE7" w:rsidP="005F3738">
            <w:pPr>
              <w:pStyle w:val="ListParagraph"/>
              <w:numPr>
                <w:ilvl w:val="0"/>
                <w:numId w:val="29"/>
              </w:numPr>
              <w:rPr>
                <w:rFonts w:cs="Open Sans"/>
              </w:rPr>
            </w:pPr>
            <w:r>
              <w:rPr>
                <w:rFonts w:cs="Open Sans"/>
              </w:rPr>
              <w:t>whether they have symptoms which limit activities.</w:t>
            </w:r>
          </w:p>
          <w:p w14:paraId="3757FE1A" w14:textId="200B8AFD" w:rsidR="003D0CD7" w:rsidRDefault="00DD1CFA" w:rsidP="007152E8">
            <w:pPr>
              <w:spacing w:before="0"/>
              <w:rPr>
                <w:rFonts w:eastAsia="Times New Roman" w:cs="Open Sans"/>
                <w:iCs/>
              </w:rPr>
            </w:pPr>
            <w:r>
              <w:rPr>
                <w:rFonts w:cs="Open Sans"/>
              </w:rPr>
              <w:t xml:space="preserve">Given the factors used to determine where an individual sits on the CFS there is a risk </w:t>
            </w:r>
            <w:r w:rsidR="00E80F92">
              <w:rPr>
                <w:rFonts w:cs="Open Sans"/>
              </w:rPr>
              <w:t>that people with</w:t>
            </w:r>
            <w:r w:rsidR="0099610D">
              <w:rPr>
                <w:rFonts w:cs="Open Sans"/>
              </w:rPr>
              <w:t xml:space="preserve"> disability will be discriminated against when it is applied. </w:t>
            </w:r>
            <w:r w:rsidR="00655A65">
              <w:rPr>
                <w:rFonts w:cs="Open Sans"/>
              </w:rPr>
              <w:t>With this in mind</w:t>
            </w:r>
            <w:r w:rsidR="00556905">
              <w:rPr>
                <w:rFonts w:cs="Open Sans"/>
              </w:rPr>
              <w:t>,</w:t>
            </w:r>
            <w:r w:rsidR="00655A65">
              <w:rPr>
                <w:rFonts w:cs="Open Sans"/>
              </w:rPr>
              <w:t xml:space="preserve"> t</w:t>
            </w:r>
            <w:r w:rsidR="003D0CD7">
              <w:rPr>
                <w:rFonts w:eastAsia="Times New Roman" w:cs="Open Sans"/>
                <w:iCs/>
              </w:rPr>
              <w:t xml:space="preserve">he </w:t>
            </w:r>
            <w:r w:rsidR="00892CB7">
              <w:rPr>
                <w:rFonts w:eastAsia="Times New Roman" w:cs="Open Sans"/>
                <w:iCs/>
              </w:rPr>
              <w:t xml:space="preserve">UK </w:t>
            </w:r>
            <w:r w:rsidR="003D0CD7">
              <w:rPr>
                <w:rFonts w:eastAsia="Times New Roman" w:cs="Open Sans"/>
                <w:iCs/>
              </w:rPr>
              <w:t xml:space="preserve">National Health Service Specialised Clinical Frailty Network issued the following guidance on </w:t>
            </w:r>
            <w:r w:rsidR="0099610D">
              <w:rPr>
                <w:rFonts w:eastAsia="Times New Roman" w:cs="Open Sans"/>
                <w:iCs/>
              </w:rPr>
              <w:t xml:space="preserve">the use of </w:t>
            </w:r>
            <w:r w:rsidR="006B2973">
              <w:rPr>
                <w:rFonts w:eastAsia="Times New Roman" w:cs="Open Sans"/>
                <w:iCs/>
              </w:rPr>
              <w:t xml:space="preserve">the </w:t>
            </w:r>
            <w:r w:rsidR="0099610D">
              <w:rPr>
                <w:rFonts w:eastAsia="Times New Roman" w:cs="Open Sans"/>
                <w:iCs/>
              </w:rPr>
              <w:t>CFS</w:t>
            </w:r>
            <w:r w:rsidR="003D0CD7" w:rsidRPr="002F4ACB">
              <w:rPr>
                <w:rFonts w:eastAsia="Times New Roman" w:cs="Open Sans"/>
                <w:iCs/>
              </w:rPr>
              <w:t>:</w:t>
            </w:r>
          </w:p>
          <w:p w14:paraId="694EA28B" w14:textId="6A354D4C" w:rsidR="00DF0808" w:rsidRPr="007152E8" w:rsidRDefault="003D0CD7" w:rsidP="000D0726">
            <w:pPr>
              <w:spacing w:before="0"/>
              <w:ind w:left="720" w:right="720"/>
              <w:rPr>
                <w:rFonts w:eastAsia="Times New Roman" w:cs="Open Sans"/>
                <w:iCs/>
                <w:sz w:val="22"/>
                <w:szCs w:val="22"/>
              </w:rPr>
            </w:pPr>
            <w:r w:rsidRPr="007152E8">
              <w:rPr>
                <w:rFonts w:eastAsia="Times New Roman" w:cs="Open Sans"/>
                <w:iCs/>
                <w:sz w:val="22"/>
                <w:szCs w:val="22"/>
              </w:rPr>
              <w:t xml:space="preserve">The [Clinical </w:t>
            </w:r>
            <w:r w:rsidRPr="007152E8">
              <w:rPr>
                <w:sz w:val="22"/>
                <w:szCs w:val="22"/>
              </w:rPr>
              <w:t>Frailty Scale] has not been widely validated in younger populations (below 65 years of age), or in those with learning disability. It may not perform as well in people with stable long term disability such as cerebral palsy, whose outcomes might be very different compared to older people with progressive disability. We would advise that</w:t>
            </w:r>
            <w:r w:rsidRPr="007152E8">
              <w:rPr>
                <w:rFonts w:eastAsia="Times New Roman" w:cs="Open Sans"/>
                <w:iCs/>
                <w:sz w:val="22"/>
                <w:szCs w:val="22"/>
              </w:rPr>
              <w:t xml:space="preserve"> the scale is not used in these groups. However, the guidance on holistic assessment to determine the likely risks and benefits of critical care support, and seeking critical care advice where there is uncertainty, is still relevant.</w:t>
            </w:r>
            <w:r w:rsidR="006F1CFB" w:rsidRPr="007152E8">
              <w:rPr>
                <w:rStyle w:val="EndnoteReference"/>
                <w:rFonts w:eastAsia="Times New Roman" w:cs="Open Sans"/>
                <w:iCs/>
                <w:sz w:val="22"/>
                <w:szCs w:val="22"/>
              </w:rPr>
              <w:endnoteReference w:id="47"/>
            </w:r>
          </w:p>
          <w:p w14:paraId="71163920" w14:textId="6D2483C8" w:rsidR="00E922B7" w:rsidRPr="002042A8" w:rsidRDefault="002042A8" w:rsidP="00AD45B0">
            <w:pPr>
              <w:spacing w:before="0" w:after="0"/>
              <w:ind w:right="720"/>
              <w:rPr>
                <w:rFonts w:eastAsia="Times New Roman" w:cs="Open Sans"/>
                <w:iCs/>
              </w:rPr>
            </w:pPr>
            <w:r w:rsidRPr="0073427E">
              <w:rPr>
                <w:rFonts w:eastAsia="Times New Roman" w:cs="Open Sans"/>
                <w:iCs/>
              </w:rPr>
              <w:t xml:space="preserve">It is also relevant to note that </w:t>
            </w:r>
            <w:r w:rsidR="00E6792C">
              <w:rPr>
                <w:rFonts w:eastAsia="Times New Roman" w:cs="Open Sans"/>
                <w:iCs/>
              </w:rPr>
              <w:t>a recent publication on the application of the CFS in the context of COVID-19 has cautioned against its use as the sole component of any assessment regarding the allocation of limited resources.</w:t>
            </w:r>
            <w:r w:rsidR="00E6792C">
              <w:rPr>
                <w:rStyle w:val="EndnoteReference"/>
                <w:rFonts w:eastAsia="Times New Roman" w:cs="Open Sans"/>
                <w:iCs/>
              </w:rPr>
              <w:endnoteReference w:id="48"/>
            </w:r>
            <w:r w:rsidR="005C42A6">
              <w:rPr>
                <w:rFonts w:eastAsia="Times New Roman" w:cs="Open Sans"/>
                <w:iCs/>
              </w:rPr>
              <w:t xml:space="preserve"> Rather, it</w:t>
            </w:r>
            <w:r w:rsidR="00E6792C">
              <w:rPr>
                <w:rFonts w:eastAsia="Times New Roman" w:cs="Open Sans"/>
                <w:iCs/>
              </w:rPr>
              <w:t xml:space="preserve"> should be viewed as a ‘rapid component </w:t>
            </w:r>
            <w:r w:rsidR="00BC7C9F">
              <w:rPr>
                <w:rFonts w:eastAsia="Times New Roman" w:cs="Open Sans"/>
                <w:iCs/>
              </w:rPr>
              <w:t>of a person-centred approach’.</w:t>
            </w:r>
            <w:r w:rsidR="00BC7C9F">
              <w:rPr>
                <w:rStyle w:val="EndnoteReference"/>
                <w:rFonts w:eastAsia="Times New Roman" w:cs="Open Sans"/>
                <w:iCs/>
              </w:rPr>
              <w:endnoteReference w:id="49"/>
            </w:r>
          </w:p>
          <w:p w14:paraId="12612752" w14:textId="70752623" w:rsidR="00DF0808" w:rsidRPr="00702011" w:rsidRDefault="00DF0808" w:rsidP="00723C98">
            <w:pPr>
              <w:keepNext/>
              <w:rPr>
                <w:rFonts w:cs="Open Sans"/>
                <w:color w:val="F06F1B"/>
              </w:rPr>
            </w:pPr>
            <w:r w:rsidRPr="00702011">
              <w:rPr>
                <w:rFonts w:cs="Open Sans"/>
                <w:b/>
                <w:bCs/>
                <w:i/>
                <w:iCs/>
                <w:color w:val="F06F1B"/>
              </w:rPr>
              <w:lastRenderedPageBreak/>
              <w:t>ANZICS Guiding Principles</w:t>
            </w:r>
          </w:p>
          <w:p w14:paraId="53644306" w14:textId="20321E65" w:rsidR="004A646B" w:rsidRPr="00E25EBE" w:rsidRDefault="00260EE7" w:rsidP="00AD45B0">
            <w:pPr>
              <w:jc w:val="both"/>
              <w:rPr>
                <w:rFonts w:cs="Open Sans"/>
              </w:rPr>
            </w:pPr>
            <w:r>
              <w:rPr>
                <w:rFonts w:cs="Open Sans"/>
              </w:rPr>
              <w:t xml:space="preserve">The </w:t>
            </w:r>
            <w:r>
              <w:rPr>
                <w:rFonts w:cs="Open Sans"/>
                <w:i/>
                <w:iCs/>
              </w:rPr>
              <w:t>Guiding principles for complex decision making during Pandemic COVID-19</w:t>
            </w:r>
            <w:r>
              <w:rPr>
                <w:rFonts w:cs="Open Sans"/>
              </w:rPr>
              <w:t xml:space="preserve"> developed by the Australia and New Zealand Intensive Care Society (ANZICS Guiding Principles)</w:t>
            </w:r>
            <w:r>
              <w:rPr>
                <w:rStyle w:val="EndnoteReference"/>
                <w:rFonts w:cs="Open Sans"/>
              </w:rPr>
              <w:endnoteReference w:id="50"/>
            </w:r>
            <w:r>
              <w:rPr>
                <w:rFonts w:cs="Open Sans"/>
              </w:rPr>
              <w:t xml:space="preserve"> </w:t>
            </w:r>
            <w:r w:rsidR="00505220" w:rsidRPr="00E25EBE">
              <w:rPr>
                <w:rFonts w:cs="Open Sans"/>
              </w:rPr>
              <w:t xml:space="preserve">were developed to: </w:t>
            </w:r>
          </w:p>
          <w:p w14:paraId="19736D65" w14:textId="16A0B6BE" w:rsidR="00462761" w:rsidRPr="007152E8" w:rsidRDefault="004A646B">
            <w:pPr>
              <w:ind w:left="720"/>
              <w:rPr>
                <w:rFonts w:cs="Open Sans"/>
                <w:sz w:val="22"/>
                <w:szCs w:val="22"/>
              </w:rPr>
            </w:pPr>
            <w:r w:rsidRPr="007152E8">
              <w:rPr>
                <w:rFonts w:cs="Open Sans"/>
                <w:sz w:val="22"/>
                <w:szCs w:val="22"/>
              </w:rPr>
              <w:t xml:space="preserve">[provide] </w:t>
            </w:r>
            <w:r w:rsidR="00505220" w:rsidRPr="007152E8">
              <w:rPr>
                <w:rFonts w:cs="Open Sans"/>
                <w:sz w:val="22"/>
                <w:szCs w:val="22"/>
              </w:rPr>
              <w:t>a framework to support intensive care specialists who are required to make decisions about the ethical allocation of critical care resources when demand exceeds capacity during a global pandemic.</w:t>
            </w:r>
            <w:r w:rsidR="004664D2" w:rsidRPr="007152E8">
              <w:rPr>
                <w:rStyle w:val="EndnoteReference"/>
                <w:rFonts w:cs="Open Sans"/>
                <w:sz w:val="22"/>
                <w:szCs w:val="22"/>
              </w:rPr>
              <w:endnoteReference w:id="51"/>
            </w:r>
          </w:p>
          <w:p w14:paraId="4B755FC4" w14:textId="45821E6D" w:rsidR="00921278" w:rsidRDefault="00921278" w:rsidP="00921278">
            <w:pPr>
              <w:rPr>
                <w:rFonts w:cs="Open Sans"/>
              </w:rPr>
            </w:pPr>
            <w:r>
              <w:rPr>
                <w:rFonts w:cs="Open Sans"/>
              </w:rPr>
              <w:t>The ANZICS Guiding Principles identify disability as an ‘irrelevant and discriminatory consideration’:</w:t>
            </w:r>
          </w:p>
          <w:p w14:paraId="6BC3F4C9" w14:textId="390CD696" w:rsidR="00921278" w:rsidRPr="00921278" w:rsidRDefault="00921278" w:rsidP="0073427E">
            <w:pPr>
              <w:ind w:left="720"/>
              <w:rPr>
                <w:rFonts w:cs="Open Sans"/>
              </w:rPr>
            </w:pPr>
            <w:r w:rsidRPr="0073427E">
              <w:rPr>
                <w:rFonts w:cs="Open Sans"/>
              </w:rPr>
              <w:t>In the situation where patients are otherwise similarly ranked in terms of clinical priority, access to intensive care must not be based on irrelevant and discriminatory considerations such as gender, sexual orientation, religion, disability, social status, personal connections, wealth, citizenship, insurance status, ethnicity or race.</w:t>
            </w:r>
            <w:r>
              <w:rPr>
                <w:rStyle w:val="EndnoteReference"/>
                <w:rFonts w:cs="Open Sans"/>
              </w:rPr>
              <w:endnoteReference w:id="52"/>
            </w:r>
          </w:p>
        </w:tc>
      </w:tr>
    </w:tbl>
    <w:p w14:paraId="38E23317" w14:textId="3561923C" w:rsidR="00AD45B0" w:rsidRDefault="00AD45B0" w:rsidP="0078415B">
      <w:pPr>
        <w:spacing w:before="0" w:after="0"/>
        <w:rPr>
          <w:rFonts w:eastAsia="Times New Roman" w:cs="Open Sans"/>
          <w:iCs/>
        </w:rPr>
      </w:pPr>
    </w:p>
    <w:p w14:paraId="7B33E8FA" w14:textId="77777777" w:rsidR="00AD45B0" w:rsidRDefault="00AD45B0">
      <w:pPr>
        <w:keepLines w:val="0"/>
        <w:spacing w:before="0" w:after="0"/>
        <w:rPr>
          <w:rFonts w:eastAsia="Times New Roman" w:cs="Open Sans"/>
          <w:iCs/>
        </w:rPr>
      </w:pPr>
      <w:r>
        <w:rPr>
          <w:rFonts w:eastAsia="Times New Roman" w:cs="Open Sans"/>
          <w:iCs/>
        </w:rPr>
        <w:br w:type="page"/>
      </w:r>
    </w:p>
    <w:p w14:paraId="3BEE23BA" w14:textId="4D712402" w:rsidR="00577B5B" w:rsidRPr="002F4ACB" w:rsidRDefault="00BD370F" w:rsidP="0078415B">
      <w:pPr>
        <w:pStyle w:val="Heading1"/>
        <w:spacing w:before="0" w:after="0"/>
        <w:rPr>
          <w:rFonts w:cs="Arial"/>
        </w:rPr>
      </w:pPr>
      <w:bookmarkStart w:id="11" w:name="_Toc40273387"/>
      <w:bookmarkStart w:id="12" w:name="_Toc40134272"/>
      <w:bookmarkStart w:id="13" w:name="_Toc40273388"/>
      <w:bookmarkStart w:id="14" w:name="_Toc40273389"/>
      <w:bookmarkStart w:id="15" w:name="_Toc40273390"/>
      <w:bookmarkStart w:id="16" w:name="_Toc40273391"/>
      <w:bookmarkStart w:id="17" w:name="_Toc40273392"/>
      <w:bookmarkStart w:id="18" w:name="_Toc40273393"/>
      <w:bookmarkStart w:id="19" w:name="_Toc40273394"/>
      <w:bookmarkStart w:id="20" w:name="_Toc40273395"/>
      <w:bookmarkStart w:id="21" w:name="_Toc40273396"/>
      <w:bookmarkStart w:id="22" w:name="_Toc40273397"/>
      <w:bookmarkStart w:id="23" w:name="_Toc40273398"/>
      <w:bookmarkStart w:id="24" w:name="_Toc40273399"/>
      <w:bookmarkStart w:id="25" w:name="_Toc40273400"/>
      <w:bookmarkStart w:id="26" w:name="_Toc40273401"/>
      <w:bookmarkStart w:id="27" w:name="_Toc40273402"/>
      <w:bookmarkStart w:id="28" w:name="_Toc40273403"/>
      <w:bookmarkStart w:id="29" w:name="_Toc40273404"/>
      <w:bookmarkStart w:id="30" w:name="_Toc40273405"/>
      <w:bookmarkStart w:id="31" w:name="_Toc39043180"/>
      <w:bookmarkStart w:id="32" w:name="_Toc39043181"/>
      <w:bookmarkStart w:id="33" w:name="_Toc39043182"/>
      <w:bookmarkStart w:id="34" w:name="_Toc39043183"/>
      <w:bookmarkStart w:id="35" w:name="_Toc39017390"/>
      <w:bookmarkStart w:id="36" w:name="_Toc39043184"/>
      <w:bookmarkStart w:id="37" w:name="_Toc39017391"/>
      <w:bookmarkStart w:id="38" w:name="_Toc39043185"/>
      <w:bookmarkStart w:id="39" w:name="_Toc39017392"/>
      <w:bookmarkStart w:id="40" w:name="_Toc39043186"/>
      <w:bookmarkStart w:id="41" w:name="_Toc39017393"/>
      <w:bookmarkStart w:id="42" w:name="_Toc39043187"/>
      <w:bookmarkStart w:id="43" w:name="_Toc39017394"/>
      <w:bookmarkStart w:id="44" w:name="_Toc39043188"/>
      <w:bookmarkStart w:id="45" w:name="_Toc4667914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2F4ACB">
        <w:rPr>
          <w:rFonts w:cs="Arial"/>
        </w:rPr>
        <w:lastRenderedPageBreak/>
        <w:t>Which human</w:t>
      </w:r>
      <w:r w:rsidR="007553E9" w:rsidRPr="002F4ACB">
        <w:rPr>
          <w:rFonts w:cs="Arial"/>
        </w:rPr>
        <w:t xml:space="preserve"> </w:t>
      </w:r>
      <w:r w:rsidRPr="002F4ACB">
        <w:rPr>
          <w:rFonts w:cs="Arial"/>
        </w:rPr>
        <w:t>rights are relevant</w:t>
      </w:r>
      <w:r w:rsidR="007553E9" w:rsidRPr="002F4ACB">
        <w:rPr>
          <w:rFonts w:cs="Arial"/>
        </w:rPr>
        <w:t>?</w:t>
      </w:r>
      <w:bookmarkEnd w:id="45"/>
    </w:p>
    <w:p w14:paraId="10C9A178" w14:textId="36F01008" w:rsidR="00E74297" w:rsidRDefault="00E74297" w:rsidP="00364DD8">
      <w:pPr>
        <w:rPr>
          <w:rFonts w:eastAsia="Times New Roman" w:cs="Open Sans"/>
        </w:rPr>
      </w:pPr>
      <w:r w:rsidRPr="00364DD8">
        <w:rPr>
          <w:rFonts w:eastAsia="Times New Roman" w:cs="Open Sans"/>
        </w:rPr>
        <w:t>This section outline</w:t>
      </w:r>
      <w:r w:rsidR="0061053C">
        <w:rPr>
          <w:rFonts w:eastAsia="Times New Roman" w:cs="Open Sans"/>
        </w:rPr>
        <w:t>s</w:t>
      </w:r>
      <w:r w:rsidRPr="00364DD8">
        <w:rPr>
          <w:rFonts w:eastAsia="Times New Roman" w:cs="Open Sans"/>
        </w:rPr>
        <w:t xml:space="preserve"> the </w:t>
      </w:r>
      <w:r w:rsidRPr="00D71847">
        <w:rPr>
          <w:rFonts w:eastAsia="Times New Roman" w:cs="Open Sans"/>
          <w:bCs/>
        </w:rPr>
        <w:t>key</w:t>
      </w:r>
      <w:r w:rsidRPr="00364DD8">
        <w:rPr>
          <w:rFonts w:eastAsia="Times New Roman" w:cs="Open Sans"/>
        </w:rPr>
        <w:t xml:space="preserve"> rights</w:t>
      </w:r>
      <w:r w:rsidR="00F762BE">
        <w:rPr>
          <w:rFonts w:eastAsia="Times New Roman" w:cs="Open Sans"/>
        </w:rPr>
        <w:t xml:space="preserve"> captured </w:t>
      </w:r>
      <w:r w:rsidR="00F762BE" w:rsidRPr="0061053C">
        <w:rPr>
          <w:rFonts w:eastAsia="Times New Roman" w:cs="Open Sans"/>
        </w:rPr>
        <w:t xml:space="preserve">within the </w:t>
      </w:r>
      <w:r w:rsidR="00021EC0" w:rsidRPr="0061053C">
        <w:rPr>
          <w:rFonts w:eastAsia="Times New Roman" w:cs="Open Sans"/>
        </w:rPr>
        <w:t>CRPD</w:t>
      </w:r>
      <w:r w:rsidR="0061053C">
        <w:rPr>
          <w:rFonts w:eastAsia="Times New Roman" w:cs="Open Sans"/>
        </w:rPr>
        <w:t xml:space="preserve"> </w:t>
      </w:r>
      <w:r w:rsidR="0061053C" w:rsidRPr="00660587">
        <w:rPr>
          <w:rFonts w:eastAsia="Times New Roman" w:cs="Open Sans"/>
        </w:rPr>
        <w:t>which are most relevant</w:t>
      </w:r>
      <w:r w:rsidRPr="0061053C">
        <w:rPr>
          <w:rFonts w:eastAsia="Times New Roman" w:cs="Open Sans"/>
        </w:rPr>
        <w:t xml:space="preserve"> in the context of a pandemic</w:t>
      </w:r>
      <w:r w:rsidR="00D36598" w:rsidRPr="0061053C">
        <w:rPr>
          <w:rFonts w:eastAsia="Times New Roman" w:cs="Open Sans"/>
        </w:rPr>
        <w:t>.</w:t>
      </w:r>
      <w:r w:rsidR="00E15069" w:rsidRPr="0061053C">
        <w:rPr>
          <w:rStyle w:val="EndnoteReference"/>
          <w:rFonts w:eastAsia="Times New Roman" w:cs="Open Sans"/>
        </w:rPr>
        <w:endnoteReference w:id="53"/>
      </w:r>
      <w:r w:rsidR="007F422D">
        <w:rPr>
          <w:rFonts w:eastAsia="Times New Roman" w:cs="Open Sans"/>
        </w:rPr>
        <w:t xml:space="preserve"> </w:t>
      </w:r>
    </w:p>
    <w:p w14:paraId="0B6F3279" w14:textId="77777777" w:rsidR="000D0726" w:rsidRPr="000D0726" w:rsidRDefault="0061053C" w:rsidP="000D0726">
      <w:pPr>
        <w:pStyle w:val="ListParagraph"/>
        <w:numPr>
          <w:ilvl w:val="0"/>
          <w:numId w:val="16"/>
        </w:numPr>
        <w:spacing w:before="0" w:after="60"/>
        <w:ind w:left="714" w:hanging="357"/>
        <w:contextualSpacing w:val="0"/>
        <w:rPr>
          <w:rFonts w:eastAsia="Times New Roman" w:cs="Open Sans"/>
        </w:rPr>
      </w:pPr>
      <w:r>
        <w:rPr>
          <w:rFonts w:eastAsia="Times New Roman" w:cs="Open Sans"/>
          <w:b/>
          <w:bCs/>
        </w:rPr>
        <w:t>Right to protection during times of risk</w:t>
      </w:r>
      <w:r w:rsidRPr="00D71847">
        <w:rPr>
          <w:rStyle w:val="EndnoteReference"/>
          <w:rFonts w:eastAsia="Times New Roman" w:cs="Open Sans"/>
          <w:bCs/>
        </w:rPr>
        <w:endnoteReference w:id="54"/>
      </w:r>
    </w:p>
    <w:p w14:paraId="704F841A" w14:textId="6CEB0D49" w:rsidR="0061053C" w:rsidRPr="000D0726" w:rsidRDefault="0061053C" w:rsidP="000D0726">
      <w:pPr>
        <w:pStyle w:val="ListParagraph"/>
        <w:spacing w:before="0"/>
        <w:contextualSpacing w:val="0"/>
        <w:rPr>
          <w:rFonts w:eastAsia="Times New Roman" w:cs="Open Sans"/>
        </w:rPr>
      </w:pPr>
      <w:r w:rsidRPr="000D0726">
        <w:rPr>
          <w:rFonts w:eastAsia="Times New Roman" w:cs="Open Sans"/>
        </w:rPr>
        <w:t xml:space="preserve">The government has an obligation to take measures to protect people with disability in times of risk. </w:t>
      </w:r>
      <w:r w:rsidR="00602908" w:rsidRPr="000D0726">
        <w:rPr>
          <w:rFonts w:eastAsia="Times New Roman" w:cs="Open Sans"/>
        </w:rPr>
        <w:t xml:space="preserve">These </w:t>
      </w:r>
      <w:r w:rsidRPr="000D0726">
        <w:rPr>
          <w:rFonts w:eastAsia="Times New Roman" w:cs="Open Sans"/>
        </w:rPr>
        <w:t>include armed conflict, humanitarian emergencies and natural disasters.</w:t>
      </w:r>
    </w:p>
    <w:p w14:paraId="31FE1091" w14:textId="77777777" w:rsidR="000D0726" w:rsidRPr="000D0726" w:rsidRDefault="0061053C" w:rsidP="000D0726">
      <w:pPr>
        <w:pStyle w:val="ListParagraph"/>
        <w:numPr>
          <w:ilvl w:val="0"/>
          <w:numId w:val="26"/>
        </w:numPr>
        <w:spacing w:after="60"/>
        <w:ind w:left="714" w:hanging="357"/>
        <w:contextualSpacing w:val="0"/>
        <w:rPr>
          <w:rFonts w:eastAsia="Times New Roman" w:cs="Open Sans"/>
        </w:rPr>
      </w:pPr>
      <w:r>
        <w:rPr>
          <w:rFonts w:eastAsia="Times New Roman" w:cs="Open Sans"/>
          <w:b/>
          <w:bCs/>
        </w:rPr>
        <w:t>Right to health</w:t>
      </w:r>
      <w:r w:rsidRPr="00D71847">
        <w:rPr>
          <w:rStyle w:val="EndnoteReference"/>
          <w:rFonts w:eastAsia="Times New Roman" w:cs="Open Sans"/>
          <w:bCs/>
        </w:rPr>
        <w:endnoteReference w:id="55"/>
      </w:r>
    </w:p>
    <w:p w14:paraId="05E9B4EB" w14:textId="7083B111" w:rsidR="005D6697" w:rsidRPr="000D0726" w:rsidRDefault="0061053C" w:rsidP="000D0726">
      <w:pPr>
        <w:pStyle w:val="ListParagraph"/>
        <w:spacing w:before="0"/>
        <w:contextualSpacing w:val="0"/>
        <w:rPr>
          <w:rFonts w:eastAsia="Times New Roman" w:cs="Open Sans"/>
        </w:rPr>
      </w:pPr>
      <w:r w:rsidRPr="00643BA7">
        <w:rPr>
          <w:rFonts w:eastAsia="Times New Roman" w:cs="Open Sans"/>
        </w:rPr>
        <w:t>People with disability have the right to the enjoyment of the highest attainable standard of health without discrimination.</w:t>
      </w:r>
      <w:bookmarkStart w:id="46" w:name="_Toc40101000"/>
      <w:bookmarkStart w:id="47" w:name="_Toc40102055"/>
      <w:bookmarkStart w:id="48" w:name="_Toc40134299"/>
      <w:bookmarkEnd w:id="46"/>
      <w:bookmarkEnd w:id="47"/>
      <w:bookmarkEnd w:id="48"/>
    </w:p>
    <w:p w14:paraId="4ECD5480" w14:textId="4FAF12D1" w:rsidR="0061053C" w:rsidRDefault="0061053C" w:rsidP="000D0726">
      <w:pPr>
        <w:pStyle w:val="ListParagraph"/>
        <w:numPr>
          <w:ilvl w:val="0"/>
          <w:numId w:val="16"/>
        </w:numPr>
        <w:spacing w:after="60"/>
        <w:ind w:left="714" w:hanging="357"/>
        <w:contextualSpacing w:val="0"/>
        <w:rPr>
          <w:rFonts w:eastAsia="Times New Roman" w:cs="Open Sans"/>
        </w:rPr>
      </w:pPr>
      <w:r>
        <w:rPr>
          <w:rFonts w:eastAsia="Times New Roman" w:cs="Open Sans"/>
          <w:b/>
          <w:bCs/>
        </w:rPr>
        <w:t>R</w:t>
      </w:r>
      <w:r w:rsidR="00247CAE" w:rsidRPr="000935B9">
        <w:rPr>
          <w:rFonts w:eastAsia="Times New Roman" w:cs="Open Sans"/>
          <w:b/>
          <w:bCs/>
        </w:rPr>
        <w:t>ight to life</w:t>
      </w:r>
      <w:r w:rsidRPr="00D71847">
        <w:rPr>
          <w:rStyle w:val="EndnoteReference"/>
          <w:rFonts w:eastAsia="Times New Roman" w:cs="Open Sans"/>
          <w:bCs/>
        </w:rPr>
        <w:endnoteReference w:id="56"/>
      </w:r>
    </w:p>
    <w:p w14:paraId="59C5462B" w14:textId="76349AD0" w:rsidR="0061053C" w:rsidRPr="00906BD6" w:rsidRDefault="0061053C" w:rsidP="000D0726">
      <w:pPr>
        <w:spacing w:before="0" w:after="120"/>
        <w:ind w:left="720"/>
      </w:pPr>
      <w:r>
        <w:rPr>
          <w:rFonts w:eastAsia="Times New Roman" w:cs="Open Sans"/>
        </w:rPr>
        <w:t>People with disability have a right to life.</w:t>
      </w:r>
      <w:r w:rsidR="00BA4BE3" w:rsidRPr="00660587">
        <w:rPr>
          <w:rFonts w:eastAsia="Times New Roman" w:cs="Open Sans"/>
        </w:rPr>
        <w:t xml:space="preserve"> The li</w:t>
      </w:r>
      <w:r w:rsidR="005E088B">
        <w:rPr>
          <w:rFonts w:eastAsia="Times New Roman" w:cs="Open Sans"/>
        </w:rPr>
        <w:t>fe</w:t>
      </w:r>
      <w:r w:rsidR="00BA4BE3" w:rsidRPr="00660587">
        <w:rPr>
          <w:rFonts w:eastAsia="Times New Roman" w:cs="Open Sans"/>
        </w:rPr>
        <w:t xml:space="preserve"> of </w:t>
      </w:r>
      <w:r w:rsidR="005E088B">
        <w:rPr>
          <w:rFonts w:eastAsia="Times New Roman" w:cs="Open Sans"/>
        </w:rPr>
        <w:t xml:space="preserve">a person </w:t>
      </w:r>
      <w:r w:rsidR="00E46756" w:rsidRPr="00660587">
        <w:rPr>
          <w:rFonts w:eastAsia="Times New Roman" w:cs="Open Sans"/>
        </w:rPr>
        <w:t xml:space="preserve">with disability </w:t>
      </w:r>
      <w:r w:rsidR="000062B6">
        <w:rPr>
          <w:rFonts w:eastAsia="Times New Roman" w:cs="Open Sans"/>
        </w:rPr>
        <w:t>is</w:t>
      </w:r>
      <w:r w:rsidR="00BA4BE3" w:rsidRPr="00660587">
        <w:rPr>
          <w:rFonts w:eastAsia="Times New Roman" w:cs="Open Sans"/>
        </w:rPr>
        <w:t xml:space="preserve"> of equal value to the life of any other person</w:t>
      </w:r>
      <w:r w:rsidR="00E46756" w:rsidRPr="00660587">
        <w:rPr>
          <w:rFonts w:eastAsia="Times New Roman" w:cs="Open Sans"/>
        </w:rPr>
        <w:t>.</w:t>
      </w:r>
    </w:p>
    <w:p w14:paraId="25CABE51" w14:textId="77777777" w:rsidR="000D0726" w:rsidRPr="000D0726" w:rsidRDefault="0061053C" w:rsidP="000D0726">
      <w:pPr>
        <w:pStyle w:val="ListParagraph"/>
        <w:numPr>
          <w:ilvl w:val="0"/>
          <w:numId w:val="27"/>
        </w:numPr>
        <w:spacing w:after="60"/>
        <w:ind w:left="714" w:hanging="357"/>
        <w:contextualSpacing w:val="0"/>
      </w:pPr>
      <w:r>
        <w:rPr>
          <w:rFonts w:eastAsia="Times New Roman" w:cs="Open Sans"/>
          <w:b/>
          <w:bCs/>
        </w:rPr>
        <w:t xml:space="preserve">Right to </w:t>
      </w:r>
      <w:r w:rsidRPr="000935B9">
        <w:rPr>
          <w:rFonts w:eastAsia="Times New Roman" w:cs="Open Sans"/>
          <w:b/>
          <w:bCs/>
        </w:rPr>
        <w:t>equality and non-discrimination</w:t>
      </w:r>
      <w:r w:rsidRPr="00D71847">
        <w:rPr>
          <w:rStyle w:val="EndnoteReference"/>
          <w:rFonts w:eastAsia="Times New Roman" w:cs="Open Sans"/>
          <w:bCs/>
        </w:rPr>
        <w:endnoteReference w:id="57"/>
      </w:r>
    </w:p>
    <w:p w14:paraId="71472DCA" w14:textId="6FB5C262" w:rsidR="0061053C" w:rsidRPr="00906BD6" w:rsidRDefault="0061053C" w:rsidP="000D0726">
      <w:pPr>
        <w:pStyle w:val="ListParagraph"/>
        <w:spacing w:before="0"/>
        <w:contextualSpacing w:val="0"/>
      </w:pPr>
      <w:r w:rsidRPr="00DD2117">
        <w:rPr>
          <w:rFonts w:eastAsia="Times New Roman" w:cs="Open Sans"/>
        </w:rPr>
        <w:t>Everyone is entitled to the equal protection and benefit of the law without discrimination.</w:t>
      </w:r>
      <w:r>
        <w:rPr>
          <w:rFonts w:eastAsia="Times New Roman" w:cs="Open Sans"/>
        </w:rPr>
        <w:t xml:space="preserve"> This may include the provision of reasonable accommodation for a person with disability in order to achieve substantive equality.</w:t>
      </w:r>
    </w:p>
    <w:p w14:paraId="325E67FC" w14:textId="4E6D4FC4" w:rsidR="0061053C" w:rsidRPr="000D0726" w:rsidRDefault="0061053C" w:rsidP="000D0726">
      <w:pPr>
        <w:pStyle w:val="ListParagraph"/>
        <w:numPr>
          <w:ilvl w:val="0"/>
          <w:numId w:val="16"/>
        </w:numPr>
        <w:spacing w:after="60"/>
        <w:ind w:left="714" w:hanging="357"/>
        <w:contextualSpacing w:val="0"/>
        <w:rPr>
          <w:rFonts w:eastAsia="Times New Roman" w:cs="Open Sans"/>
        </w:rPr>
      </w:pPr>
      <w:r>
        <w:rPr>
          <w:rFonts w:eastAsia="Times New Roman" w:cs="Open Sans"/>
          <w:b/>
          <w:bCs/>
        </w:rPr>
        <w:t xml:space="preserve">Right to </w:t>
      </w:r>
      <w:r w:rsidRPr="00660587">
        <w:rPr>
          <w:rFonts w:eastAsia="Times New Roman" w:cs="Open Sans"/>
          <w:b/>
          <w:bCs/>
        </w:rPr>
        <w:t>equal recognition before the law</w:t>
      </w:r>
      <w:r w:rsidRPr="00D71847">
        <w:rPr>
          <w:rStyle w:val="EndnoteReference"/>
          <w:rFonts w:eastAsia="Times New Roman" w:cs="Open Sans"/>
          <w:bCs/>
        </w:rPr>
        <w:endnoteReference w:id="58"/>
      </w:r>
    </w:p>
    <w:p w14:paraId="7E80AF2D" w14:textId="5810ED2D" w:rsidR="004C33F8" w:rsidRPr="000D0726" w:rsidRDefault="0061053C" w:rsidP="000D0726">
      <w:pPr>
        <w:pStyle w:val="ListParagraph"/>
        <w:spacing w:before="0"/>
        <w:contextualSpacing w:val="0"/>
        <w:rPr>
          <w:rFonts w:eastAsia="Times New Roman" w:cs="Open Sans"/>
        </w:rPr>
      </w:pPr>
      <w:r w:rsidRPr="00660587">
        <w:rPr>
          <w:rFonts w:eastAsia="Times New Roman" w:cs="Open Sans"/>
        </w:rPr>
        <w:t xml:space="preserve">People with disability have the right to recognition as </w:t>
      </w:r>
      <w:r w:rsidR="00602908">
        <w:rPr>
          <w:rFonts w:eastAsia="Times New Roman" w:cs="Open Sans"/>
        </w:rPr>
        <w:t>persons</w:t>
      </w:r>
      <w:r w:rsidR="00602908" w:rsidRPr="00660587">
        <w:rPr>
          <w:rFonts w:eastAsia="Times New Roman" w:cs="Open Sans"/>
        </w:rPr>
        <w:t xml:space="preserve"> </w:t>
      </w:r>
      <w:r w:rsidRPr="00660587">
        <w:rPr>
          <w:rFonts w:eastAsia="Times New Roman" w:cs="Open Sans"/>
        </w:rPr>
        <w:t xml:space="preserve">before the law. </w:t>
      </w:r>
      <w:r>
        <w:rPr>
          <w:rFonts w:eastAsia="Times New Roman" w:cs="Open Sans"/>
        </w:rPr>
        <w:t xml:space="preserve">This includes the right to make decisions </w:t>
      </w:r>
      <w:r w:rsidR="00F16110">
        <w:rPr>
          <w:rFonts w:eastAsia="Times New Roman" w:cs="Open Sans"/>
        </w:rPr>
        <w:t xml:space="preserve">about </w:t>
      </w:r>
      <w:r>
        <w:rPr>
          <w:rFonts w:eastAsia="Times New Roman" w:cs="Open Sans"/>
        </w:rPr>
        <w:t>their own health</w:t>
      </w:r>
      <w:r w:rsidR="00CB7478">
        <w:rPr>
          <w:rFonts w:eastAsia="Times New Roman" w:cs="Open Sans"/>
        </w:rPr>
        <w:t xml:space="preserve"> </w:t>
      </w:r>
      <w:r>
        <w:rPr>
          <w:rFonts w:eastAsia="Times New Roman" w:cs="Open Sans"/>
        </w:rPr>
        <w:t>care</w:t>
      </w:r>
      <w:r w:rsidR="00F16110">
        <w:rPr>
          <w:rFonts w:eastAsia="Times New Roman" w:cs="Open Sans"/>
        </w:rPr>
        <w:t xml:space="preserve">, including providing or declining consent to medical treatment. They also have the </w:t>
      </w:r>
      <w:r>
        <w:rPr>
          <w:rFonts w:eastAsia="Times New Roman" w:cs="Open Sans"/>
        </w:rPr>
        <w:t>right to access any support the</w:t>
      </w:r>
      <w:r w:rsidR="00F97B9C">
        <w:rPr>
          <w:rFonts w:eastAsia="Times New Roman" w:cs="Open Sans"/>
        </w:rPr>
        <w:t>y</w:t>
      </w:r>
      <w:r>
        <w:rPr>
          <w:rFonts w:eastAsia="Times New Roman" w:cs="Open Sans"/>
        </w:rPr>
        <w:t xml:space="preserve"> require to exercise their legal capacity.</w:t>
      </w:r>
    </w:p>
    <w:p w14:paraId="71E705C6" w14:textId="46D57B7C" w:rsidR="000D0726" w:rsidRDefault="0061053C" w:rsidP="000D0726">
      <w:pPr>
        <w:pStyle w:val="ListParagraph"/>
        <w:numPr>
          <w:ilvl w:val="0"/>
          <w:numId w:val="16"/>
        </w:numPr>
        <w:spacing w:after="60"/>
        <w:ind w:left="714" w:hanging="357"/>
        <w:contextualSpacing w:val="0"/>
        <w:rPr>
          <w:rFonts w:eastAsia="Times New Roman" w:cs="Open Sans"/>
        </w:rPr>
      </w:pPr>
      <w:r>
        <w:rPr>
          <w:rFonts w:eastAsia="Times New Roman" w:cs="Open Sans"/>
          <w:b/>
          <w:bCs/>
        </w:rPr>
        <w:t xml:space="preserve">Right to </w:t>
      </w:r>
      <w:r w:rsidR="00B469DF" w:rsidRPr="000935B9">
        <w:rPr>
          <w:rFonts w:eastAsia="Times New Roman" w:cs="Open Sans"/>
          <w:b/>
          <w:bCs/>
        </w:rPr>
        <w:t>access</w:t>
      </w:r>
      <w:r>
        <w:rPr>
          <w:rFonts w:eastAsia="Times New Roman" w:cs="Open Sans"/>
          <w:b/>
          <w:bCs/>
        </w:rPr>
        <w:t>ible</w:t>
      </w:r>
      <w:r w:rsidR="00B469DF" w:rsidRPr="000935B9">
        <w:rPr>
          <w:rFonts w:eastAsia="Times New Roman" w:cs="Open Sans"/>
          <w:b/>
          <w:bCs/>
        </w:rPr>
        <w:t xml:space="preserve"> information</w:t>
      </w:r>
      <w:r w:rsidRPr="007E58A3">
        <w:rPr>
          <w:rStyle w:val="EndnoteReference"/>
          <w:rFonts w:eastAsia="Times New Roman" w:cs="Open Sans"/>
        </w:rPr>
        <w:endnoteReference w:id="59"/>
      </w:r>
    </w:p>
    <w:p w14:paraId="7478B3AB" w14:textId="57EB1DE7" w:rsidR="00AD45B0" w:rsidRDefault="00643BA7" w:rsidP="000D0726">
      <w:pPr>
        <w:pStyle w:val="ListParagraph"/>
        <w:spacing w:before="0"/>
        <w:contextualSpacing w:val="0"/>
        <w:rPr>
          <w:rFonts w:eastAsia="Times New Roman" w:cs="Open Sans"/>
        </w:rPr>
      </w:pPr>
      <w:r w:rsidRPr="00643BA7">
        <w:rPr>
          <w:rFonts w:eastAsia="Times New Roman" w:cs="Open Sans"/>
        </w:rPr>
        <w:t>People with disability have the right to express themselves, including the freedom to give and receive information and ideas through all forms of communication, including through accessible formats and technologies, sign languages, Braille, augmentative and alternative communication, mass media and all other accessible means of communication.</w:t>
      </w:r>
    </w:p>
    <w:p w14:paraId="76FE2016" w14:textId="20F6D24B" w:rsidR="00820972" w:rsidRPr="00820972" w:rsidRDefault="00820972" w:rsidP="00820972">
      <w:pPr>
        <w:pStyle w:val="Heading1"/>
        <w:rPr>
          <w:rFonts w:cs="Open Sans"/>
        </w:rPr>
      </w:pPr>
      <w:bookmarkStart w:id="49" w:name="_Toc41281461"/>
      <w:bookmarkStart w:id="50" w:name="_Toc40273407"/>
      <w:bookmarkStart w:id="51" w:name="_Toc40273408"/>
      <w:bookmarkStart w:id="52" w:name="_Toc40101003"/>
      <w:bookmarkStart w:id="53" w:name="_Toc40102058"/>
      <w:bookmarkStart w:id="54" w:name="_Toc40134302"/>
      <w:bookmarkStart w:id="55" w:name="_Toc40273409"/>
      <w:bookmarkStart w:id="56" w:name="_Toc40273411"/>
      <w:bookmarkStart w:id="57" w:name="_Toc40273412"/>
      <w:bookmarkStart w:id="58" w:name="_Toc40273413"/>
      <w:bookmarkStart w:id="59" w:name="_Toc40273414"/>
      <w:bookmarkStart w:id="60" w:name="_Toc46679146"/>
      <w:bookmarkEnd w:id="49"/>
      <w:bookmarkEnd w:id="50"/>
      <w:bookmarkEnd w:id="51"/>
      <w:bookmarkEnd w:id="52"/>
      <w:bookmarkEnd w:id="53"/>
      <w:bookmarkEnd w:id="54"/>
      <w:bookmarkEnd w:id="55"/>
      <w:bookmarkEnd w:id="56"/>
      <w:bookmarkEnd w:id="57"/>
      <w:bookmarkEnd w:id="58"/>
      <w:bookmarkEnd w:id="59"/>
      <w:r w:rsidRPr="00820972">
        <w:rPr>
          <w:rFonts w:cs="Open Sans"/>
        </w:rPr>
        <w:lastRenderedPageBreak/>
        <w:t>Practical examples</w:t>
      </w:r>
      <w:bookmarkEnd w:id="60"/>
    </w:p>
    <w:p w14:paraId="6649F402" w14:textId="0F8B017A" w:rsidR="003360E6" w:rsidRDefault="00364DD8" w:rsidP="00364DD8">
      <w:pPr>
        <w:rPr>
          <w:rFonts w:cs="Open Sans"/>
        </w:rPr>
      </w:pPr>
      <w:r>
        <w:rPr>
          <w:rFonts w:cs="Open Sans"/>
        </w:rPr>
        <w:t>This section outline</w:t>
      </w:r>
      <w:r w:rsidR="00716D48">
        <w:rPr>
          <w:rFonts w:cs="Open Sans"/>
        </w:rPr>
        <w:t>s</w:t>
      </w:r>
      <w:r>
        <w:rPr>
          <w:rFonts w:cs="Open Sans"/>
        </w:rPr>
        <w:t xml:space="preserve"> practical examples of </w:t>
      </w:r>
      <w:r w:rsidR="007D564A">
        <w:rPr>
          <w:rFonts w:cs="Open Sans"/>
        </w:rPr>
        <w:t>the role of human</w:t>
      </w:r>
      <w:r w:rsidR="00BA4BE3">
        <w:rPr>
          <w:rFonts w:cs="Open Sans"/>
        </w:rPr>
        <w:t xml:space="preserve"> </w:t>
      </w:r>
      <w:r w:rsidR="007D564A">
        <w:rPr>
          <w:rFonts w:cs="Open Sans"/>
        </w:rPr>
        <w:t>rights in a health</w:t>
      </w:r>
      <w:r w:rsidR="00453D61">
        <w:rPr>
          <w:rFonts w:cs="Open Sans"/>
        </w:rPr>
        <w:t xml:space="preserve"> </w:t>
      </w:r>
      <w:r w:rsidR="007D564A">
        <w:rPr>
          <w:rFonts w:cs="Open Sans"/>
        </w:rPr>
        <w:t>care setting.</w:t>
      </w:r>
      <w:r w:rsidR="00234A3F">
        <w:rPr>
          <w:rStyle w:val="EndnoteReference"/>
          <w:rFonts w:cs="Open Sans"/>
        </w:rPr>
        <w:endnoteReference w:id="60"/>
      </w:r>
      <w:r w:rsidR="007D564A">
        <w:rPr>
          <w:rFonts w:cs="Open Sans"/>
        </w:rPr>
        <w:t xml:space="preserve"> </w:t>
      </w:r>
      <w:r w:rsidR="0094320B">
        <w:rPr>
          <w:rFonts w:cs="Open Sans"/>
        </w:rPr>
        <w:t>Some of the examples below outline the potentially catastrophic consequences that</w:t>
      </w:r>
      <w:r w:rsidR="00D60C14">
        <w:rPr>
          <w:rFonts w:cs="Open Sans"/>
        </w:rPr>
        <w:t xml:space="preserve"> may result if the rights of people with disability </w:t>
      </w:r>
      <w:r w:rsidR="009C7B5C">
        <w:rPr>
          <w:rFonts w:cs="Open Sans"/>
        </w:rPr>
        <w:t>are not central to health</w:t>
      </w:r>
      <w:r w:rsidR="00453D61">
        <w:rPr>
          <w:rFonts w:cs="Open Sans"/>
        </w:rPr>
        <w:t xml:space="preserve"> </w:t>
      </w:r>
      <w:r w:rsidR="009C7B5C">
        <w:rPr>
          <w:rFonts w:cs="Open Sans"/>
        </w:rPr>
        <w:t>care responses.</w:t>
      </w:r>
    </w:p>
    <w:p w14:paraId="4029037B" w14:textId="1A22014C" w:rsidR="00716D48" w:rsidRDefault="00716D48" w:rsidP="00906BD6">
      <w:pPr>
        <w:pStyle w:val="Heading2"/>
      </w:pPr>
      <w:bookmarkStart w:id="61" w:name="_Toc46679147"/>
      <w:r>
        <w:t xml:space="preserve">Access to </w:t>
      </w:r>
      <w:r w:rsidR="00EC0B96">
        <w:t>mobility aids</w:t>
      </w:r>
      <w:bookmarkEnd w:id="61"/>
    </w:p>
    <w:p w14:paraId="5606D3E7" w14:textId="56D77931" w:rsidR="00467D22" w:rsidRDefault="00FE6F68" w:rsidP="00BD5463">
      <w:pPr>
        <w:rPr>
          <w:rFonts w:cs="Open Sans"/>
        </w:rPr>
      </w:pPr>
      <w:r>
        <w:rPr>
          <w:rFonts w:cs="Open Sans"/>
        </w:rPr>
        <w:t xml:space="preserve">Riva </w:t>
      </w:r>
      <w:r w:rsidR="000D5762">
        <w:rPr>
          <w:rFonts w:cs="Open Sans"/>
        </w:rPr>
        <w:t xml:space="preserve">has presented to the emergency department of a large public hospital with symptoms of </w:t>
      </w:r>
      <w:r w:rsidR="000D5762" w:rsidDel="00C562FC">
        <w:rPr>
          <w:rFonts w:cs="Open Sans"/>
        </w:rPr>
        <w:t>COVID-19</w:t>
      </w:r>
      <w:r w:rsidR="000D5762" w:rsidRPr="251FA5EE">
        <w:rPr>
          <w:rFonts w:cs="Open Sans"/>
        </w:rPr>
        <w:t>.</w:t>
      </w:r>
      <w:r w:rsidR="000D5762">
        <w:rPr>
          <w:rFonts w:cs="Open Sans"/>
        </w:rPr>
        <w:t xml:space="preserve"> </w:t>
      </w:r>
      <w:r w:rsidR="001A2D87">
        <w:rPr>
          <w:rFonts w:cs="Open Sans"/>
        </w:rPr>
        <w:t xml:space="preserve">To minimise the spread of the virus </w:t>
      </w:r>
      <w:r w:rsidR="002C740D">
        <w:rPr>
          <w:rFonts w:cs="Open Sans"/>
        </w:rPr>
        <w:t>the hospital has strict p</w:t>
      </w:r>
      <w:r w:rsidR="008B230B">
        <w:rPr>
          <w:rFonts w:cs="Open Sans"/>
        </w:rPr>
        <w:t>hysical distancing protocols in place</w:t>
      </w:r>
      <w:r w:rsidR="00552ED1">
        <w:rPr>
          <w:rFonts w:cs="Open Sans"/>
        </w:rPr>
        <w:t>.</w:t>
      </w:r>
    </w:p>
    <w:p w14:paraId="247A9F51" w14:textId="6E05E098" w:rsidR="00552ED1" w:rsidRDefault="00552ED1" w:rsidP="00BD5463">
      <w:pPr>
        <w:rPr>
          <w:rFonts w:cs="Open Sans"/>
        </w:rPr>
      </w:pPr>
      <w:r>
        <w:rPr>
          <w:rFonts w:cs="Open Sans"/>
        </w:rPr>
        <w:t xml:space="preserve">Riva has a vision impairment and </w:t>
      </w:r>
      <w:r w:rsidR="00064084">
        <w:rPr>
          <w:rFonts w:cs="Open Sans"/>
        </w:rPr>
        <w:t>uses a cane to navigate.</w:t>
      </w:r>
    </w:p>
    <w:p w14:paraId="5C1AF4B7" w14:textId="27931ED4" w:rsidR="00541C28" w:rsidRDefault="00123D63" w:rsidP="00BD5463">
      <w:pPr>
        <w:rPr>
          <w:rFonts w:cs="Open Sans"/>
        </w:rPr>
      </w:pPr>
      <w:r>
        <w:rPr>
          <w:rFonts w:cs="Open Sans"/>
        </w:rPr>
        <w:t xml:space="preserve">The hospital has a policy </w:t>
      </w:r>
      <w:r w:rsidR="007A29F6">
        <w:rPr>
          <w:rFonts w:cs="Open Sans"/>
        </w:rPr>
        <w:t>in place that patients who are being t</w:t>
      </w:r>
      <w:r w:rsidR="003970BA">
        <w:rPr>
          <w:rFonts w:cs="Open Sans"/>
        </w:rPr>
        <w:t>e</w:t>
      </w:r>
      <w:r w:rsidR="007A29F6">
        <w:rPr>
          <w:rFonts w:cs="Open Sans"/>
        </w:rPr>
        <w:t xml:space="preserve">sted for </w:t>
      </w:r>
      <w:r w:rsidR="007A29F6" w:rsidDel="00C562FC">
        <w:rPr>
          <w:rFonts w:cs="Open Sans"/>
        </w:rPr>
        <w:t>COVID-19</w:t>
      </w:r>
      <w:r w:rsidR="007A29F6">
        <w:rPr>
          <w:rFonts w:cs="Open Sans"/>
        </w:rPr>
        <w:t xml:space="preserve"> cannot bring any items into the hospital </w:t>
      </w:r>
      <w:r w:rsidR="00000E21">
        <w:rPr>
          <w:rFonts w:cs="Open Sans"/>
        </w:rPr>
        <w:t>that the virus may have attached to. This includes mobility aids.</w:t>
      </w:r>
      <w:r w:rsidR="003970BA">
        <w:rPr>
          <w:rFonts w:cs="Open Sans"/>
        </w:rPr>
        <w:t xml:space="preserve"> </w:t>
      </w:r>
    </w:p>
    <w:p w14:paraId="0CF033F2" w14:textId="1DCFAB8D" w:rsidR="00000E21" w:rsidRDefault="003970BA" w:rsidP="00BD5463">
      <w:pPr>
        <w:rPr>
          <w:rFonts w:cs="Open Sans"/>
        </w:rPr>
      </w:pPr>
      <w:r>
        <w:rPr>
          <w:rFonts w:cs="Open Sans"/>
        </w:rPr>
        <w:t xml:space="preserve">The policy also explicitly provides </w:t>
      </w:r>
      <w:r w:rsidR="00541C28">
        <w:rPr>
          <w:rFonts w:cs="Open Sans"/>
        </w:rPr>
        <w:t>the following:</w:t>
      </w:r>
    </w:p>
    <w:p w14:paraId="42F4EF94" w14:textId="0897E4B1" w:rsidR="00541C28" w:rsidRDefault="008D249A" w:rsidP="005F3738">
      <w:pPr>
        <w:pStyle w:val="ListParagraph"/>
        <w:numPr>
          <w:ilvl w:val="0"/>
          <w:numId w:val="22"/>
        </w:numPr>
        <w:rPr>
          <w:rFonts w:cs="Open Sans"/>
        </w:rPr>
      </w:pPr>
      <w:r>
        <w:rPr>
          <w:rFonts w:cs="Open Sans"/>
        </w:rPr>
        <w:t xml:space="preserve">where a person requires a mobility aid they will be provided </w:t>
      </w:r>
      <w:r w:rsidR="00BA4BE3">
        <w:rPr>
          <w:rFonts w:cs="Open Sans"/>
        </w:rPr>
        <w:t>with an</w:t>
      </w:r>
      <w:r>
        <w:rPr>
          <w:rFonts w:cs="Open Sans"/>
        </w:rPr>
        <w:t xml:space="preserve"> aid by the hospital for use while they are in </w:t>
      </w:r>
      <w:r w:rsidR="002C35AE">
        <w:rPr>
          <w:rFonts w:cs="Open Sans"/>
        </w:rPr>
        <w:t xml:space="preserve">the emergency ward or </w:t>
      </w:r>
      <w:r w:rsidR="00040A9C">
        <w:rPr>
          <w:rFonts w:cs="Open Sans"/>
        </w:rPr>
        <w:t xml:space="preserve">when they are </w:t>
      </w:r>
      <w:r w:rsidR="002C35AE">
        <w:rPr>
          <w:rFonts w:cs="Open Sans"/>
        </w:rPr>
        <w:t>admitted</w:t>
      </w:r>
    </w:p>
    <w:p w14:paraId="367DBAB1" w14:textId="3EBEFB29" w:rsidR="002C35AE" w:rsidRPr="006F456B" w:rsidRDefault="002C35AE" w:rsidP="005F3738">
      <w:pPr>
        <w:pStyle w:val="ListParagraph"/>
        <w:numPr>
          <w:ilvl w:val="0"/>
          <w:numId w:val="22"/>
        </w:numPr>
        <w:rPr>
          <w:rFonts w:cs="Open Sans"/>
        </w:rPr>
      </w:pPr>
      <w:r>
        <w:rPr>
          <w:rFonts w:cs="Open Sans"/>
        </w:rPr>
        <w:t xml:space="preserve">if the hospital does not have the mobility aid that the person requires, the hospital </w:t>
      </w:r>
      <w:r w:rsidR="00C15F29">
        <w:rPr>
          <w:rFonts w:cs="Open Sans"/>
        </w:rPr>
        <w:t xml:space="preserve">will disinfect the person’s aid </w:t>
      </w:r>
      <w:r w:rsidR="0065736C">
        <w:rPr>
          <w:rFonts w:cs="Open Sans"/>
        </w:rPr>
        <w:t>so they are able to use it in the hospital.</w:t>
      </w:r>
    </w:p>
    <w:p w14:paraId="73747452" w14:textId="3B7A39AE" w:rsidR="0065736C" w:rsidRDefault="00B224FC" w:rsidP="00BD5463">
      <w:pPr>
        <w:rPr>
          <w:rFonts w:cs="Open Sans"/>
        </w:rPr>
      </w:pPr>
      <w:r>
        <w:rPr>
          <w:rFonts w:cs="Open Sans"/>
        </w:rPr>
        <w:t xml:space="preserve">The </w:t>
      </w:r>
      <w:r w:rsidR="00203A48">
        <w:rPr>
          <w:rFonts w:cs="Open Sans"/>
        </w:rPr>
        <w:t>t</w:t>
      </w:r>
      <w:r>
        <w:rPr>
          <w:rFonts w:cs="Open Sans"/>
        </w:rPr>
        <w:t xml:space="preserve">riage </w:t>
      </w:r>
      <w:r w:rsidR="00203A48">
        <w:rPr>
          <w:rFonts w:cs="Open Sans"/>
        </w:rPr>
        <w:t>n</w:t>
      </w:r>
      <w:r>
        <w:rPr>
          <w:rFonts w:cs="Open Sans"/>
        </w:rPr>
        <w:t xml:space="preserve">urse </w:t>
      </w:r>
      <w:r w:rsidR="0065736C">
        <w:rPr>
          <w:rFonts w:cs="Open Sans"/>
        </w:rPr>
        <w:t xml:space="preserve">notices Riva’s cane leaning against the </w:t>
      </w:r>
      <w:r w:rsidR="007C310B">
        <w:rPr>
          <w:rFonts w:cs="Open Sans"/>
        </w:rPr>
        <w:t xml:space="preserve">counter and explains the policy to her. </w:t>
      </w:r>
      <w:r w:rsidR="00E2444B">
        <w:rPr>
          <w:rFonts w:cs="Open Sans"/>
        </w:rPr>
        <w:t>Riva is happy to use a hospital cane but expla</w:t>
      </w:r>
      <w:r w:rsidR="00D746D3">
        <w:rPr>
          <w:rFonts w:cs="Open Sans"/>
        </w:rPr>
        <w:t>i</w:t>
      </w:r>
      <w:r w:rsidR="00E2444B">
        <w:rPr>
          <w:rFonts w:cs="Open Sans"/>
        </w:rPr>
        <w:t xml:space="preserve">ns that she finds it easiest to navigate with a pencil tip cane. The </w:t>
      </w:r>
      <w:r w:rsidR="001E52D2">
        <w:rPr>
          <w:rFonts w:cs="Open Sans"/>
        </w:rPr>
        <w:t>t</w:t>
      </w:r>
      <w:r w:rsidR="00E2444B">
        <w:rPr>
          <w:rFonts w:cs="Open Sans"/>
        </w:rPr>
        <w:t xml:space="preserve">riage </w:t>
      </w:r>
      <w:r w:rsidR="001E52D2">
        <w:rPr>
          <w:rFonts w:cs="Open Sans"/>
        </w:rPr>
        <w:t>n</w:t>
      </w:r>
      <w:r w:rsidR="00E2444B">
        <w:rPr>
          <w:rFonts w:cs="Open Sans"/>
        </w:rPr>
        <w:t>urse checks and the hospital does not stock these types of canes. She offers to disinfect Riva’s cane</w:t>
      </w:r>
      <w:r w:rsidR="00D746D3">
        <w:rPr>
          <w:rFonts w:cs="Open Sans"/>
        </w:rPr>
        <w:t xml:space="preserve"> so that she can continue to use a mobility aid that best suits her needs.</w:t>
      </w:r>
    </w:p>
    <w:p w14:paraId="381FAF99" w14:textId="77777777" w:rsidR="00F277FA" w:rsidRDefault="00F277FA">
      <w:pPr>
        <w:keepLines w:val="0"/>
        <w:spacing w:before="0" w:after="0"/>
        <w:rPr>
          <w:rFonts w:cs="Open Sans"/>
          <w:b/>
          <w:bCs/>
        </w:rPr>
      </w:pPr>
      <w:r>
        <w:rPr>
          <w:rFonts w:cs="Open Sans"/>
          <w:b/>
          <w:bCs/>
        </w:rPr>
        <w:br w:type="page"/>
      </w:r>
    </w:p>
    <w:p w14:paraId="41989F9B" w14:textId="6502D12E" w:rsidR="00B224FC" w:rsidRDefault="00B224FC" w:rsidP="009D36D7">
      <w:pPr>
        <w:keepNext/>
        <w:rPr>
          <w:rFonts w:cs="Open Sans"/>
          <w:b/>
          <w:bCs/>
        </w:rPr>
      </w:pPr>
      <w:r w:rsidRPr="006F456B">
        <w:rPr>
          <w:rFonts w:cs="Open Sans"/>
          <w:b/>
          <w:bCs/>
        </w:rPr>
        <w:lastRenderedPageBreak/>
        <w:t>Human rights considerations</w:t>
      </w:r>
    </w:p>
    <w:p w14:paraId="6C331437" w14:textId="7642B605" w:rsidR="0061679E" w:rsidRDefault="002F4F55" w:rsidP="002F4F55">
      <w:pPr>
        <w:rPr>
          <w:rFonts w:cs="Open Sans"/>
        </w:rPr>
      </w:pPr>
      <w:r>
        <w:rPr>
          <w:rFonts w:cs="Open Sans"/>
        </w:rPr>
        <w:t>The emergency department has put in place a process</w:t>
      </w:r>
      <w:r w:rsidR="001E2074">
        <w:rPr>
          <w:rFonts w:cs="Open Sans"/>
        </w:rPr>
        <w:t xml:space="preserve"> that address</w:t>
      </w:r>
      <w:r w:rsidR="005D2D1D">
        <w:rPr>
          <w:rFonts w:cs="Open Sans"/>
        </w:rPr>
        <w:t>es</w:t>
      </w:r>
      <w:r w:rsidR="001E2074">
        <w:rPr>
          <w:rFonts w:cs="Open Sans"/>
        </w:rPr>
        <w:t xml:space="preserve"> the risk of infection but still ensures people with disability are </w:t>
      </w:r>
      <w:r w:rsidR="0061679E">
        <w:rPr>
          <w:rFonts w:cs="Open Sans"/>
        </w:rPr>
        <w:t>able to use their mobility aids.</w:t>
      </w:r>
    </w:p>
    <w:p w14:paraId="7F69F5E2" w14:textId="3488356D" w:rsidR="00D170AD" w:rsidRDefault="00A41B38" w:rsidP="00BD5463">
      <w:pPr>
        <w:rPr>
          <w:rFonts w:cs="Open Sans"/>
        </w:rPr>
      </w:pPr>
      <w:r>
        <w:rPr>
          <w:rFonts w:cs="Open Sans"/>
        </w:rPr>
        <w:t xml:space="preserve">Riva has the right </w:t>
      </w:r>
      <w:r w:rsidR="00C9581A">
        <w:rPr>
          <w:rFonts w:cs="Open Sans"/>
        </w:rPr>
        <w:t xml:space="preserve">to be treated </w:t>
      </w:r>
      <w:r w:rsidR="00B03244">
        <w:rPr>
          <w:rFonts w:cs="Open Sans"/>
        </w:rPr>
        <w:t xml:space="preserve">without discrimination </w:t>
      </w:r>
      <w:r w:rsidR="00D31CFB">
        <w:rPr>
          <w:rFonts w:cs="Open Sans"/>
        </w:rPr>
        <w:t>based on</w:t>
      </w:r>
      <w:r w:rsidR="00B03244">
        <w:rPr>
          <w:rFonts w:cs="Open Sans"/>
        </w:rPr>
        <w:t xml:space="preserve"> her disability</w:t>
      </w:r>
      <w:r w:rsidR="00553C04">
        <w:rPr>
          <w:rFonts w:cs="Open Sans"/>
        </w:rPr>
        <w:t>,</w:t>
      </w:r>
      <w:r w:rsidR="006C7539">
        <w:rPr>
          <w:rStyle w:val="EndnoteReference"/>
          <w:rFonts w:cs="Open Sans"/>
        </w:rPr>
        <w:endnoteReference w:id="61"/>
      </w:r>
      <w:r w:rsidR="00553C04">
        <w:rPr>
          <w:rFonts w:cs="Open Sans"/>
        </w:rPr>
        <w:t xml:space="preserve"> including the right to maintain her mobility in a </w:t>
      </w:r>
      <w:r w:rsidR="0091393C">
        <w:rPr>
          <w:rFonts w:cs="Open Sans"/>
        </w:rPr>
        <w:t>manner of her choice.</w:t>
      </w:r>
      <w:r w:rsidR="0091393C">
        <w:rPr>
          <w:rStyle w:val="EndnoteReference"/>
          <w:rFonts w:cs="Open Sans"/>
        </w:rPr>
        <w:endnoteReference w:id="62"/>
      </w:r>
      <w:r w:rsidR="00EC49FB">
        <w:rPr>
          <w:rFonts w:cs="Open Sans"/>
        </w:rPr>
        <w:t xml:space="preserve"> </w:t>
      </w:r>
      <w:r w:rsidR="00127F6C">
        <w:rPr>
          <w:rFonts w:cs="Open Sans"/>
        </w:rPr>
        <w:t>A</w:t>
      </w:r>
      <w:r w:rsidR="00315A90">
        <w:rPr>
          <w:rFonts w:cs="Open Sans"/>
        </w:rPr>
        <w:t>ccess to a suitable cane</w:t>
      </w:r>
      <w:r w:rsidR="00127F6C">
        <w:rPr>
          <w:rFonts w:cs="Open Sans"/>
        </w:rPr>
        <w:t xml:space="preserve"> at the hospital</w:t>
      </w:r>
      <w:r w:rsidR="00315A90">
        <w:rPr>
          <w:rFonts w:cs="Open Sans"/>
        </w:rPr>
        <w:t xml:space="preserve"> is </w:t>
      </w:r>
      <w:r w:rsidR="00127F6C">
        <w:rPr>
          <w:rFonts w:cs="Open Sans"/>
        </w:rPr>
        <w:t>essential to</w:t>
      </w:r>
      <w:r w:rsidR="00315A90">
        <w:rPr>
          <w:rFonts w:cs="Open Sans"/>
        </w:rPr>
        <w:t xml:space="preserve"> her ability to realise her right to health.</w:t>
      </w:r>
      <w:r w:rsidR="00315A90">
        <w:rPr>
          <w:rStyle w:val="EndnoteReference"/>
          <w:rFonts w:cs="Open Sans"/>
        </w:rPr>
        <w:endnoteReference w:id="63"/>
      </w:r>
      <w:r w:rsidR="003D4841">
        <w:rPr>
          <w:rFonts w:cs="Open Sans"/>
        </w:rPr>
        <w:t xml:space="preserve"> </w:t>
      </w:r>
    </w:p>
    <w:p w14:paraId="130CBE0A" w14:textId="287173E6" w:rsidR="00AE3BD0" w:rsidRDefault="00AE3BD0" w:rsidP="00A31D2E">
      <w:pPr>
        <w:keepNext/>
        <w:rPr>
          <w:rFonts w:cs="Open Sans"/>
          <w:b/>
          <w:bCs/>
        </w:rPr>
      </w:pPr>
      <w:r>
        <w:rPr>
          <w:rFonts w:cs="Open Sans"/>
          <w:b/>
          <w:bCs/>
        </w:rPr>
        <w:t>Realising rights in practice</w:t>
      </w:r>
    </w:p>
    <w:p w14:paraId="0A75814F" w14:textId="44CFD900" w:rsidR="000613B5" w:rsidRDefault="001B6C65" w:rsidP="00BD5463">
      <w:pPr>
        <w:rPr>
          <w:rFonts w:cs="Open Sans"/>
        </w:rPr>
      </w:pPr>
      <w:r>
        <w:rPr>
          <w:rFonts w:cs="Open Sans"/>
        </w:rPr>
        <w:t xml:space="preserve">When an emergency department puts in place a policy regarding </w:t>
      </w:r>
      <w:r w:rsidR="00BD6ED8">
        <w:rPr>
          <w:rFonts w:cs="Open Sans"/>
        </w:rPr>
        <w:t xml:space="preserve">patients’ </w:t>
      </w:r>
      <w:r w:rsidR="00B80789">
        <w:rPr>
          <w:rFonts w:cs="Open Sans"/>
        </w:rPr>
        <w:t>possessions in the context of infection control</w:t>
      </w:r>
      <w:r w:rsidR="00892CB7">
        <w:rPr>
          <w:rFonts w:cs="Open Sans"/>
        </w:rPr>
        <w:t>,</w:t>
      </w:r>
      <w:r w:rsidR="00B80789">
        <w:rPr>
          <w:rFonts w:cs="Open Sans"/>
        </w:rPr>
        <w:t xml:space="preserve"> </w:t>
      </w:r>
      <w:r w:rsidR="00934B7B">
        <w:rPr>
          <w:rFonts w:cs="Open Sans"/>
        </w:rPr>
        <w:t xml:space="preserve">the </w:t>
      </w:r>
      <w:r w:rsidR="00570371">
        <w:rPr>
          <w:rFonts w:cs="Open Sans"/>
        </w:rPr>
        <w:t>following steps</w:t>
      </w:r>
      <w:r w:rsidR="00772478">
        <w:rPr>
          <w:rFonts w:cs="Open Sans"/>
        </w:rPr>
        <w:t xml:space="preserve"> </w:t>
      </w:r>
      <w:r w:rsidR="00A37C89">
        <w:rPr>
          <w:rFonts w:cs="Open Sans"/>
        </w:rPr>
        <w:t>will assist in protecting the rights o</w:t>
      </w:r>
      <w:r w:rsidR="00CC7671">
        <w:rPr>
          <w:rFonts w:cs="Open Sans"/>
        </w:rPr>
        <w:t>f</w:t>
      </w:r>
      <w:r w:rsidR="00A37C89">
        <w:rPr>
          <w:rFonts w:cs="Open Sans"/>
        </w:rPr>
        <w:t xml:space="preserve"> people with disability:</w:t>
      </w:r>
    </w:p>
    <w:p w14:paraId="3647456A" w14:textId="6F3223A4" w:rsidR="009A0C57" w:rsidRDefault="002D3D89" w:rsidP="005F3738">
      <w:pPr>
        <w:pStyle w:val="ListParagraph"/>
        <w:numPr>
          <w:ilvl w:val="0"/>
          <w:numId w:val="17"/>
        </w:numPr>
        <w:rPr>
          <w:rFonts w:cs="Open Sans"/>
        </w:rPr>
      </w:pPr>
      <w:r>
        <w:rPr>
          <w:rFonts w:cs="Open Sans"/>
        </w:rPr>
        <w:t>recognising</w:t>
      </w:r>
      <w:r w:rsidR="00117907">
        <w:rPr>
          <w:rFonts w:cs="Open Sans"/>
        </w:rPr>
        <w:t xml:space="preserve"> within triage policies that where </w:t>
      </w:r>
      <w:r w:rsidR="009A0C57">
        <w:rPr>
          <w:rFonts w:cs="Open Sans"/>
        </w:rPr>
        <w:t xml:space="preserve">a person with disability requires a </w:t>
      </w:r>
      <w:r w:rsidR="00B80789">
        <w:rPr>
          <w:rFonts w:cs="Open Sans"/>
        </w:rPr>
        <w:t xml:space="preserve">mobility aid or other support </w:t>
      </w:r>
      <w:r w:rsidR="00E54700">
        <w:rPr>
          <w:rFonts w:cs="Open Sans"/>
        </w:rPr>
        <w:t xml:space="preserve">that </w:t>
      </w:r>
      <w:r w:rsidR="009A0C57">
        <w:rPr>
          <w:rFonts w:cs="Open Sans"/>
        </w:rPr>
        <w:t>this is a key component in providing them with health care</w:t>
      </w:r>
    </w:p>
    <w:p w14:paraId="15E8F8CC" w14:textId="52373A68" w:rsidR="002C0844" w:rsidRDefault="00E54700" w:rsidP="005F3738">
      <w:pPr>
        <w:pStyle w:val="ListParagraph"/>
        <w:numPr>
          <w:ilvl w:val="0"/>
          <w:numId w:val="17"/>
        </w:numPr>
        <w:rPr>
          <w:rFonts w:cs="Open Sans"/>
        </w:rPr>
      </w:pPr>
      <w:r>
        <w:rPr>
          <w:rFonts w:cs="Open Sans"/>
        </w:rPr>
        <w:t>ensuring that the emergency department has ready access to a range of mobility aids and supports</w:t>
      </w:r>
    </w:p>
    <w:p w14:paraId="2BC89A33" w14:textId="2AA3E2B1" w:rsidR="006445D0" w:rsidRDefault="00984479" w:rsidP="005F3738">
      <w:pPr>
        <w:pStyle w:val="ListParagraph"/>
        <w:numPr>
          <w:ilvl w:val="0"/>
          <w:numId w:val="17"/>
        </w:numPr>
        <w:rPr>
          <w:rFonts w:cs="Open Sans"/>
        </w:rPr>
      </w:pPr>
      <w:r>
        <w:rPr>
          <w:rFonts w:cs="Open Sans"/>
        </w:rPr>
        <w:t>ensuring that people with disability are made aware of the policy on arrival</w:t>
      </w:r>
    </w:p>
    <w:p w14:paraId="6C3C5EDD" w14:textId="479B552E" w:rsidR="004876AD" w:rsidRPr="006F456B" w:rsidRDefault="004876AD" w:rsidP="005F3738">
      <w:pPr>
        <w:pStyle w:val="ListParagraph"/>
        <w:numPr>
          <w:ilvl w:val="0"/>
          <w:numId w:val="17"/>
        </w:numPr>
        <w:rPr>
          <w:rFonts w:cs="Open Sans"/>
        </w:rPr>
      </w:pPr>
      <w:r>
        <w:rPr>
          <w:rFonts w:cs="Open Sans"/>
        </w:rPr>
        <w:t>educating staff about different types of mobility aids.</w:t>
      </w:r>
    </w:p>
    <w:p w14:paraId="2B8CA6E3" w14:textId="718E2F5B" w:rsidR="00097012" w:rsidRDefault="00716D48" w:rsidP="006F456B">
      <w:pPr>
        <w:pStyle w:val="Heading2"/>
      </w:pPr>
      <w:bookmarkStart w:id="62" w:name="_Toc39043195"/>
      <w:bookmarkStart w:id="63" w:name="_Toc46679148"/>
      <w:bookmarkEnd w:id="62"/>
      <w:r>
        <w:t xml:space="preserve">Accessible </w:t>
      </w:r>
      <w:r w:rsidR="00B22A87">
        <w:t>c</w:t>
      </w:r>
      <w:r>
        <w:t>ommunication</w:t>
      </w:r>
      <w:bookmarkEnd w:id="63"/>
    </w:p>
    <w:p w14:paraId="563AA7D7" w14:textId="18CF953A" w:rsidR="001D4A5A" w:rsidRDefault="00097012" w:rsidP="001D1277">
      <w:pPr>
        <w:rPr>
          <w:rFonts w:cs="Open Sans"/>
        </w:rPr>
      </w:pPr>
      <w:r>
        <w:rPr>
          <w:rFonts w:cs="Open Sans"/>
        </w:rPr>
        <w:t xml:space="preserve">Sebastian </w:t>
      </w:r>
      <w:r w:rsidR="000D71DE">
        <w:rPr>
          <w:rFonts w:cs="Open Sans"/>
        </w:rPr>
        <w:t xml:space="preserve">has been admitted to hospital with COVID-19. </w:t>
      </w:r>
      <w:r w:rsidR="00082C20">
        <w:rPr>
          <w:rFonts w:cs="Open Sans"/>
        </w:rPr>
        <w:t xml:space="preserve">Sebastian is </w:t>
      </w:r>
      <w:r w:rsidR="138CE26E" w:rsidRPr="687D7077">
        <w:rPr>
          <w:rFonts w:cs="Open Sans"/>
        </w:rPr>
        <w:t>d</w:t>
      </w:r>
      <w:r w:rsidR="00082C20">
        <w:rPr>
          <w:rFonts w:cs="Open Sans"/>
        </w:rPr>
        <w:t xml:space="preserve">eaf and </w:t>
      </w:r>
      <w:r w:rsidR="00B60834">
        <w:rPr>
          <w:rFonts w:cs="Open Sans"/>
        </w:rPr>
        <w:t xml:space="preserve">uses </w:t>
      </w:r>
      <w:proofErr w:type="spellStart"/>
      <w:r w:rsidR="00B60834">
        <w:rPr>
          <w:rFonts w:cs="Open Sans"/>
        </w:rPr>
        <w:t>Auslan</w:t>
      </w:r>
      <w:proofErr w:type="spellEnd"/>
      <w:r w:rsidR="00B60834">
        <w:rPr>
          <w:rFonts w:cs="Open Sans"/>
        </w:rPr>
        <w:t xml:space="preserve"> to communicate.</w:t>
      </w:r>
      <w:r w:rsidR="001D1277">
        <w:rPr>
          <w:rFonts w:cs="Open Sans"/>
        </w:rPr>
        <w:t xml:space="preserve"> Sebastian has been on the ward for </w:t>
      </w:r>
      <w:r w:rsidR="001C3493">
        <w:rPr>
          <w:rFonts w:cs="Open Sans"/>
        </w:rPr>
        <w:t xml:space="preserve">three days and has not had access to an </w:t>
      </w:r>
      <w:proofErr w:type="spellStart"/>
      <w:r w:rsidR="001C3493">
        <w:rPr>
          <w:rFonts w:cs="Open Sans"/>
        </w:rPr>
        <w:t>Auslan</w:t>
      </w:r>
      <w:proofErr w:type="spellEnd"/>
      <w:r w:rsidR="001C3493">
        <w:rPr>
          <w:rFonts w:cs="Open Sans"/>
        </w:rPr>
        <w:t xml:space="preserve"> interpreter. </w:t>
      </w:r>
      <w:r w:rsidR="00F65AE1">
        <w:rPr>
          <w:rFonts w:cs="Open Sans"/>
        </w:rPr>
        <w:t xml:space="preserve">He </w:t>
      </w:r>
      <w:r w:rsidR="001D4A5A">
        <w:rPr>
          <w:rFonts w:cs="Open Sans"/>
        </w:rPr>
        <w:t>understand</w:t>
      </w:r>
      <w:r w:rsidR="00B862CF">
        <w:rPr>
          <w:rFonts w:cs="Open Sans"/>
        </w:rPr>
        <w:t>s</w:t>
      </w:r>
      <w:r w:rsidR="001D4A5A">
        <w:rPr>
          <w:rFonts w:cs="Open Sans"/>
        </w:rPr>
        <w:t xml:space="preserve"> that these are unique times and has been muddling </w:t>
      </w:r>
      <w:r w:rsidR="00B94FC7">
        <w:rPr>
          <w:rFonts w:cs="Open Sans"/>
        </w:rPr>
        <w:t xml:space="preserve">by in </w:t>
      </w:r>
      <w:r w:rsidR="001D4A5A">
        <w:rPr>
          <w:rFonts w:cs="Open Sans"/>
        </w:rPr>
        <w:t>communicating with the ward nurses</w:t>
      </w:r>
      <w:r w:rsidR="00B94FC7">
        <w:rPr>
          <w:rFonts w:cs="Open Sans"/>
        </w:rPr>
        <w:t>. He</w:t>
      </w:r>
      <w:r w:rsidR="00FD3257">
        <w:rPr>
          <w:rFonts w:cs="Open Sans"/>
        </w:rPr>
        <w:t xml:space="preserve"> has raised his need for an interpreter multiple</w:t>
      </w:r>
      <w:r w:rsidR="00AE20D7">
        <w:rPr>
          <w:rFonts w:cs="Open Sans"/>
        </w:rPr>
        <w:t xml:space="preserve"> </w:t>
      </w:r>
      <w:r w:rsidR="00FD3257">
        <w:rPr>
          <w:rFonts w:cs="Open Sans"/>
        </w:rPr>
        <w:t>times.</w:t>
      </w:r>
    </w:p>
    <w:p w14:paraId="1A5E47EE" w14:textId="725B5B6C" w:rsidR="00B862CF" w:rsidRDefault="009928FB" w:rsidP="001D1277">
      <w:pPr>
        <w:rPr>
          <w:rFonts w:cs="Open Sans"/>
        </w:rPr>
      </w:pPr>
      <w:r>
        <w:rPr>
          <w:rFonts w:cs="Open Sans"/>
        </w:rPr>
        <w:t xml:space="preserve">The doctor visited Sebastian this morning and explained that he will require two negative swab tests before he </w:t>
      </w:r>
      <w:r w:rsidR="00464A95">
        <w:rPr>
          <w:rFonts w:cs="Open Sans"/>
        </w:rPr>
        <w:t>can leave</w:t>
      </w:r>
      <w:r>
        <w:rPr>
          <w:rFonts w:cs="Open Sans"/>
        </w:rPr>
        <w:t xml:space="preserve"> hospital. </w:t>
      </w:r>
      <w:r w:rsidR="008254D5">
        <w:rPr>
          <w:rFonts w:cs="Open Sans"/>
        </w:rPr>
        <w:t xml:space="preserve">Without an </w:t>
      </w:r>
      <w:proofErr w:type="spellStart"/>
      <w:r w:rsidR="008254D5">
        <w:rPr>
          <w:rFonts w:cs="Open Sans"/>
        </w:rPr>
        <w:t>Auslan</w:t>
      </w:r>
      <w:proofErr w:type="spellEnd"/>
      <w:r w:rsidR="008254D5">
        <w:rPr>
          <w:rFonts w:cs="Open Sans"/>
        </w:rPr>
        <w:t xml:space="preserve"> interpreter Sebastian </w:t>
      </w:r>
      <w:r w:rsidR="00834ED1">
        <w:rPr>
          <w:rFonts w:cs="Open Sans"/>
        </w:rPr>
        <w:t>is not aware that he has been told this and does not know the requirements for his discharge.</w:t>
      </w:r>
      <w:r w:rsidR="00D8729A">
        <w:rPr>
          <w:rFonts w:cs="Open Sans"/>
        </w:rPr>
        <w:t xml:space="preserve"> Based on the time he has been on the ward and the fact that the nurses have understood his care reques</w:t>
      </w:r>
      <w:r w:rsidR="005E34C4">
        <w:rPr>
          <w:rFonts w:cs="Open Sans"/>
        </w:rPr>
        <w:t>ts, made through hand gestures and other means, the nurses have assumed that Sebastian</w:t>
      </w:r>
      <w:r w:rsidR="00212094">
        <w:rPr>
          <w:rFonts w:cs="Open Sans"/>
        </w:rPr>
        <w:t xml:space="preserve"> can lipread.</w:t>
      </w:r>
    </w:p>
    <w:p w14:paraId="4742F86C" w14:textId="4A92F567" w:rsidR="00844D62" w:rsidRDefault="00E63469" w:rsidP="00922208">
      <w:pPr>
        <w:keepNext/>
        <w:rPr>
          <w:rFonts w:cs="Open Sans"/>
          <w:b/>
          <w:bCs/>
        </w:rPr>
      </w:pPr>
      <w:r>
        <w:rPr>
          <w:rFonts w:cs="Open Sans"/>
          <w:b/>
          <w:bCs/>
        </w:rPr>
        <w:lastRenderedPageBreak/>
        <w:t>Human rights considerations</w:t>
      </w:r>
    </w:p>
    <w:p w14:paraId="325F00B9" w14:textId="784DD71F" w:rsidR="00AD100A" w:rsidRDefault="00212094" w:rsidP="00906BD6">
      <w:pPr>
        <w:rPr>
          <w:rFonts w:cs="Open Sans"/>
        </w:rPr>
      </w:pPr>
      <w:r>
        <w:rPr>
          <w:rFonts w:cs="Open Sans"/>
        </w:rPr>
        <w:t xml:space="preserve">The ward nurses’ assumption that Sebastian can lipread has resulted in his </w:t>
      </w:r>
      <w:r w:rsidR="00AD100A">
        <w:rPr>
          <w:rFonts w:cs="Open Sans"/>
        </w:rPr>
        <w:t>communication needs not being met.</w:t>
      </w:r>
    </w:p>
    <w:p w14:paraId="0C4B1A58" w14:textId="35CF2CD4" w:rsidR="00421540" w:rsidRDefault="00421540" w:rsidP="00906BD6">
      <w:pPr>
        <w:rPr>
          <w:rFonts w:cs="Open Sans"/>
        </w:rPr>
      </w:pPr>
      <w:r>
        <w:rPr>
          <w:rFonts w:cs="Open Sans"/>
        </w:rPr>
        <w:t xml:space="preserve">Sebastian has a right to be treated without discrimination </w:t>
      </w:r>
      <w:r w:rsidR="00D25E94">
        <w:rPr>
          <w:rFonts w:cs="Open Sans"/>
        </w:rPr>
        <w:t>based on</w:t>
      </w:r>
      <w:r>
        <w:rPr>
          <w:rFonts w:cs="Open Sans"/>
        </w:rPr>
        <w:t xml:space="preserve"> his disability</w:t>
      </w:r>
      <w:r w:rsidR="00B46C62">
        <w:rPr>
          <w:rFonts w:cs="Open Sans"/>
        </w:rPr>
        <w:t>.</w:t>
      </w:r>
      <w:r w:rsidR="00B46C62">
        <w:rPr>
          <w:rStyle w:val="EndnoteReference"/>
          <w:rFonts w:cs="Open Sans"/>
        </w:rPr>
        <w:endnoteReference w:id="64"/>
      </w:r>
      <w:r w:rsidR="006E1F8B">
        <w:rPr>
          <w:rFonts w:cs="Open Sans"/>
        </w:rPr>
        <w:t xml:space="preserve"> This right includes the provision of reasonable adjustments,</w:t>
      </w:r>
      <w:r w:rsidR="006E1F8B">
        <w:rPr>
          <w:rStyle w:val="EndnoteReference"/>
          <w:rFonts w:cs="Open Sans"/>
        </w:rPr>
        <w:endnoteReference w:id="65"/>
      </w:r>
      <w:r w:rsidR="006E1F8B">
        <w:rPr>
          <w:rFonts w:cs="Open Sans"/>
        </w:rPr>
        <w:t xml:space="preserve"> such as access to an </w:t>
      </w:r>
      <w:proofErr w:type="spellStart"/>
      <w:r w:rsidR="006E1F8B">
        <w:rPr>
          <w:rFonts w:cs="Open Sans"/>
        </w:rPr>
        <w:t>Auslan</w:t>
      </w:r>
      <w:proofErr w:type="spellEnd"/>
      <w:r w:rsidR="006E1F8B">
        <w:rPr>
          <w:rFonts w:cs="Open Sans"/>
        </w:rPr>
        <w:t xml:space="preserve"> interpreter. </w:t>
      </w:r>
      <w:r w:rsidR="006B1EAF">
        <w:rPr>
          <w:rFonts w:cs="Open Sans"/>
        </w:rPr>
        <w:t>Sebastian also has a right to be provided with accessible information</w:t>
      </w:r>
      <w:r w:rsidR="0019393B">
        <w:rPr>
          <w:rFonts w:cs="Open Sans"/>
        </w:rPr>
        <w:t xml:space="preserve"> about his </w:t>
      </w:r>
      <w:r w:rsidR="006B1EAF">
        <w:rPr>
          <w:rFonts w:cs="Open Sans"/>
        </w:rPr>
        <w:t xml:space="preserve">medical </w:t>
      </w:r>
      <w:r w:rsidR="0019393B">
        <w:rPr>
          <w:rFonts w:cs="Open Sans"/>
        </w:rPr>
        <w:t>needs</w:t>
      </w:r>
      <w:r w:rsidR="006B1EAF">
        <w:rPr>
          <w:rFonts w:cs="Open Sans"/>
        </w:rPr>
        <w:t>.</w:t>
      </w:r>
      <w:r w:rsidR="006B1EAF">
        <w:rPr>
          <w:rStyle w:val="EndnoteReference"/>
          <w:rFonts w:cs="Open Sans"/>
        </w:rPr>
        <w:endnoteReference w:id="66"/>
      </w:r>
      <w:r w:rsidR="006B1EAF">
        <w:rPr>
          <w:rFonts w:cs="Open Sans"/>
        </w:rPr>
        <w:t xml:space="preserve"> </w:t>
      </w:r>
      <w:r w:rsidR="006E1F8B">
        <w:rPr>
          <w:rFonts w:cs="Open Sans"/>
        </w:rPr>
        <w:t xml:space="preserve">Providing </w:t>
      </w:r>
      <w:r w:rsidR="00715AAB">
        <w:rPr>
          <w:rFonts w:cs="Open Sans"/>
        </w:rPr>
        <w:t>reasonable adjustments</w:t>
      </w:r>
      <w:r w:rsidR="006B1EAF">
        <w:rPr>
          <w:rFonts w:cs="Open Sans"/>
        </w:rPr>
        <w:t xml:space="preserve"> and information in an accessible form</w:t>
      </w:r>
      <w:r w:rsidR="00715AAB">
        <w:rPr>
          <w:rFonts w:cs="Open Sans"/>
        </w:rPr>
        <w:t xml:space="preserve"> </w:t>
      </w:r>
      <w:r w:rsidR="006B1EAF">
        <w:rPr>
          <w:rFonts w:cs="Open Sans"/>
        </w:rPr>
        <w:t>are essential to</w:t>
      </w:r>
      <w:r w:rsidR="00715AAB">
        <w:rPr>
          <w:rFonts w:cs="Open Sans"/>
        </w:rPr>
        <w:t xml:space="preserve"> Sebastian’s ability to fully realise his right to health.</w:t>
      </w:r>
      <w:r w:rsidR="00715AAB">
        <w:rPr>
          <w:rStyle w:val="EndnoteReference"/>
          <w:rFonts w:cs="Open Sans"/>
        </w:rPr>
        <w:endnoteReference w:id="67"/>
      </w:r>
      <w:r w:rsidR="00892CB7">
        <w:rPr>
          <w:rFonts w:cs="Open Sans"/>
        </w:rPr>
        <w:t xml:space="preserve"> </w:t>
      </w:r>
    </w:p>
    <w:p w14:paraId="4AEBC219" w14:textId="1F4BAAF7" w:rsidR="00E63469" w:rsidRDefault="00AA06F9" w:rsidP="0037261A">
      <w:pPr>
        <w:keepNext/>
        <w:rPr>
          <w:rFonts w:cs="Open Sans"/>
          <w:b/>
          <w:bCs/>
        </w:rPr>
      </w:pPr>
      <w:r>
        <w:rPr>
          <w:rFonts w:cs="Open Sans"/>
          <w:b/>
          <w:bCs/>
        </w:rPr>
        <w:t xml:space="preserve">Realising rights in practice </w:t>
      </w:r>
    </w:p>
    <w:p w14:paraId="23E0C317" w14:textId="45ADA440" w:rsidR="002F4F55" w:rsidRDefault="002F4F55" w:rsidP="002F4F55">
      <w:pPr>
        <w:rPr>
          <w:rFonts w:cs="Open Sans"/>
        </w:rPr>
      </w:pPr>
      <w:r>
        <w:rPr>
          <w:rFonts w:cs="Open Sans"/>
        </w:rPr>
        <w:t xml:space="preserve">When a person </w:t>
      </w:r>
      <w:r w:rsidR="00AB1330">
        <w:rPr>
          <w:rFonts w:cs="Open Sans"/>
        </w:rPr>
        <w:t xml:space="preserve">who needs </w:t>
      </w:r>
      <w:r w:rsidR="00570371">
        <w:rPr>
          <w:rFonts w:cs="Open Sans"/>
        </w:rPr>
        <w:t>accessible communication is admitted to hospital</w:t>
      </w:r>
      <w:r w:rsidR="00892CB7">
        <w:rPr>
          <w:rFonts w:cs="Open Sans"/>
        </w:rPr>
        <w:t>,</w:t>
      </w:r>
      <w:r w:rsidR="00570371">
        <w:rPr>
          <w:rFonts w:cs="Open Sans"/>
        </w:rPr>
        <w:t xml:space="preserve"> </w:t>
      </w:r>
      <w:r w:rsidR="00EF0EFF">
        <w:rPr>
          <w:rFonts w:cs="Open Sans"/>
        </w:rPr>
        <w:t xml:space="preserve">the following </w:t>
      </w:r>
      <w:r w:rsidR="00570371">
        <w:rPr>
          <w:rFonts w:cs="Open Sans"/>
        </w:rPr>
        <w:t xml:space="preserve">steps </w:t>
      </w:r>
      <w:r w:rsidR="00A37C89">
        <w:rPr>
          <w:rFonts w:cs="Open Sans"/>
        </w:rPr>
        <w:t>will assist in protecting the</w:t>
      </w:r>
      <w:r w:rsidR="00570DFC">
        <w:rPr>
          <w:rFonts w:cs="Open Sans"/>
        </w:rPr>
        <w:t>ir rights</w:t>
      </w:r>
      <w:r>
        <w:rPr>
          <w:rFonts w:cs="Open Sans"/>
        </w:rPr>
        <w:t>:</w:t>
      </w:r>
    </w:p>
    <w:p w14:paraId="4234FCBB" w14:textId="6DE229CD" w:rsidR="00A37C89" w:rsidRDefault="00A37C89" w:rsidP="005F3738">
      <w:pPr>
        <w:pStyle w:val="ListParagraph"/>
        <w:numPr>
          <w:ilvl w:val="0"/>
          <w:numId w:val="18"/>
        </w:numPr>
        <w:rPr>
          <w:rFonts w:cs="Open Sans"/>
        </w:rPr>
      </w:pPr>
      <w:r>
        <w:rPr>
          <w:rFonts w:cs="Open Sans"/>
        </w:rPr>
        <w:t xml:space="preserve">asking </w:t>
      </w:r>
      <w:r w:rsidR="00570DFC">
        <w:rPr>
          <w:rFonts w:cs="Open Sans"/>
        </w:rPr>
        <w:t>the person</w:t>
      </w:r>
      <w:r>
        <w:rPr>
          <w:rFonts w:cs="Open Sans"/>
        </w:rPr>
        <w:t xml:space="preserve"> at the point of admission </w:t>
      </w:r>
      <w:r w:rsidR="005075BA">
        <w:rPr>
          <w:rFonts w:cs="Open Sans"/>
        </w:rPr>
        <w:t>if they have any accessibility requirements in relation to communication</w:t>
      </w:r>
    </w:p>
    <w:p w14:paraId="66AAAFCA" w14:textId="1BE19005" w:rsidR="005075BA" w:rsidRDefault="005075BA" w:rsidP="005F3738">
      <w:pPr>
        <w:pStyle w:val="ListParagraph"/>
        <w:numPr>
          <w:ilvl w:val="0"/>
          <w:numId w:val="18"/>
        </w:numPr>
        <w:rPr>
          <w:rFonts w:cs="Open Sans"/>
        </w:rPr>
      </w:pPr>
      <w:r w:rsidRPr="2AB08CD1">
        <w:rPr>
          <w:rFonts w:cs="Open Sans"/>
        </w:rPr>
        <w:t>putting in place a process that ensures the information gathered at the point of admission is</w:t>
      </w:r>
      <w:r w:rsidR="00EA5359">
        <w:rPr>
          <w:rFonts w:cs="Open Sans"/>
        </w:rPr>
        <w:t xml:space="preserve"> provided to </w:t>
      </w:r>
      <w:r w:rsidR="00C4322A">
        <w:rPr>
          <w:rFonts w:cs="Open Sans"/>
        </w:rPr>
        <w:t xml:space="preserve">the hospital staff who will be treating the person and </w:t>
      </w:r>
      <w:r w:rsidR="002E6DDC">
        <w:rPr>
          <w:rFonts w:cs="Open Sans"/>
        </w:rPr>
        <w:t xml:space="preserve">any hospital administrators who have responsibility for supporting the communication needs of patients </w:t>
      </w:r>
    </w:p>
    <w:p w14:paraId="2A6B1A41" w14:textId="03B89A24" w:rsidR="001905D9" w:rsidRDefault="00682640" w:rsidP="005F3738">
      <w:pPr>
        <w:pStyle w:val="ListParagraph"/>
        <w:numPr>
          <w:ilvl w:val="0"/>
          <w:numId w:val="18"/>
        </w:numPr>
        <w:rPr>
          <w:rFonts w:cs="Open Sans"/>
        </w:rPr>
      </w:pPr>
      <w:r>
        <w:rPr>
          <w:rFonts w:cs="Open Sans"/>
        </w:rPr>
        <w:t>providing each hospital ward with a list of key contacts for accessible communication needs (for example, internal hospital contacts and external contacts such as the National Relay Service)</w:t>
      </w:r>
    </w:p>
    <w:p w14:paraId="5BFE07DB" w14:textId="21920E82" w:rsidR="00E20890" w:rsidRPr="006F456B" w:rsidRDefault="00FD6483" w:rsidP="005F3738">
      <w:pPr>
        <w:pStyle w:val="ListParagraph"/>
        <w:numPr>
          <w:ilvl w:val="0"/>
          <w:numId w:val="18"/>
        </w:numPr>
        <w:rPr>
          <w:rFonts w:cs="Open Sans"/>
        </w:rPr>
      </w:pPr>
      <w:r>
        <w:rPr>
          <w:rFonts w:cs="Open Sans"/>
        </w:rPr>
        <w:t xml:space="preserve">ensuring that hospital staff </w:t>
      </w:r>
      <w:r w:rsidR="001177A3">
        <w:rPr>
          <w:rFonts w:cs="Open Sans"/>
        </w:rPr>
        <w:t xml:space="preserve">are aware if a person </w:t>
      </w:r>
      <w:r w:rsidR="003C6942">
        <w:rPr>
          <w:rFonts w:cs="Open Sans"/>
        </w:rPr>
        <w:t>uses</w:t>
      </w:r>
      <w:r>
        <w:rPr>
          <w:rFonts w:cs="Open Sans"/>
        </w:rPr>
        <w:t xml:space="preserve"> non-verbal cues</w:t>
      </w:r>
      <w:r w:rsidR="003C6942">
        <w:rPr>
          <w:rFonts w:cs="Open Sans"/>
        </w:rPr>
        <w:t xml:space="preserve"> to communicate</w:t>
      </w:r>
      <w:r>
        <w:rPr>
          <w:rFonts w:cs="Open Sans"/>
        </w:rPr>
        <w:t xml:space="preserve"> (like head banging or wakefulness</w:t>
      </w:r>
      <w:r w:rsidR="001177A3">
        <w:rPr>
          <w:rFonts w:cs="Open Sans"/>
        </w:rPr>
        <w:t xml:space="preserve"> to indicate pain levels</w:t>
      </w:r>
      <w:r>
        <w:rPr>
          <w:rFonts w:cs="Open Sans"/>
        </w:rPr>
        <w:t>).</w:t>
      </w:r>
    </w:p>
    <w:p w14:paraId="26817543" w14:textId="4C3A061A" w:rsidR="00716D48" w:rsidRPr="00A67A4F" w:rsidRDefault="00716D48" w:rsidP="00906BD6">
      <w:pPr>
        <w:pStyle w:val="Heading2"/>
        <w:rPr>
          <w:rFonts w:cs="Arial"/>
        </w:rPr>
      </w:pPr>
      <w:bookmarkStart w:id="64" w:name="_Toc39043197"/>
      <w:bookmarkStart w:id="65" w:name="_Toc39043198"/>
      <w:bookmarkStart w:id="66" w:name="_Toc46679149"/>
      <w:bookmarkEnd w:id="64"/>
      <w:bookmarkEnd w:id="65"/>
      <w:r w:rsidRPr="00906BD6">
        <w:rPr>
          <w:rFonts w:cs="Arial"/>
        </w:rPr>
        <w:t xml:space="preserve">Access to </w:t>
      </w:r>
      <w:r w:rsidR="00CD013A">
        <w:rPr>
          <w:rFonts w:cs="Arial"/>
        </w:rPr>
        <w:t>v</w:t>
      </w:r>
      <w:r w:rsidRPr="00906BD6">
        <w:rPr>
          <w:rFonts w:cs="Arial"/>
        </w:rPr>
        <w:t xml:space="preserve">isitors and </w:t>
      </w:r>
      <w:r w:rsidR="00CD013A">
        <w:rPr>
          <w:rFonts w:cs="Arial"/>
        </w:rPr>
        <w:t>f</w:t>
      </w:r>
      <w:r w:rsidRPr="00906BD6">
        <w:rPr>
          <w:rFonts w:cs="Arial"/>
        </w:rPr>
        <w:t>amily</w:t>
      </w:r>
      <w:bookmarkEnd w:id="66"/>
    </w:p>
    <w:p w14:paraId="46223651" w14:textId="60FFA46B" w:rsidR="008E6C28" w:rsidRDefault="006330DB" w:rsidP="00906BD6">
      <w:pPr>
        <w:rPr>
          <w:rFonts w:cs="Open Sans"/>
        </w:rPr>
      </w:pPr>
      <w:r>
        <w:rPr>
          <w:rFonts w:cs="Open Sans"/>
        </w:rPr>
        <w:t>Lucia</w:t>
      </w:r>
      <w:r w:rsidR="00EE2192">
        <w:rPr>
          <w:rFonts w:cs="Open Sans"/>
        </w:rPr>
        <w:t xml:space="preserve">, age 17, has not been able to attend school due to the home learning policy in place </w:t>
      </w:r>
      <w:r w:rsidR="00AE20D7">
        <w:rPr>
          <w:rFonts w:cs="Open Sans"/>
        </w:rPr>
        <w:t>as a result of</w:t>
      </w:r>
      <w:r w:rsidR="00EE2192">
        <w:rPr>
          <w:rFonts w:cs="Open Sans"/>
        </w:rPr>
        <w:t xml:space="preserve"> COVID-19. She has woken with a fever</w:t>
      </w:r>
      <w:r w:rsidR="008932B8">
        <w:rPr>
          <w:rFonts w:cs="Open Sans"/>
        </w:rPr>
        <w:t xml:space="preserve">. </w:t>
      </w:r>
      <w:r w:rsidR="00C82F6B">
        <w:rPr>
          <w:rFonts w:cs="Open Sans"/>
        </w:rPr>
        <w:t xml:space="preserve">Her </w:t>
      </w:r>
      <w:r w:rsidR="00EE2192">
        <w:rPr>
          <w:rFonts w:cs="Open Sans"/>
        </w:rPr>
        <w:t>mother</w:t>
      </w:r>
      <w:r w:rsidR="00CB589F">
        <w:rPr>
          <w:rFonts w:cs="Open Sans"/>
        </w:rPr>
        <w:t>, Angela</w:t>
      </w:r>
      <w:r w:rsidR="00C82F6B">
        <w:rPr>
          <w:rFonts w:cs="Open Sans"/>
        </w:rPr>
        <w:t xml:space="preserve">, </w:t>
      </w:r>
      <w:r w:rsidR="00BF74C8">
        <w:rPr>
          <w:rFonts w:cs="Open Sans"/>
        </w:rPr>
        <w:t xml:space="preserve">with </w:t>
      </w:r>
      <w:r w:rsidR="00C82F6B">
        <w:rPr>
          <w:rFonts w:cs="Open Sans"/>
        </w:rPr>
        <w:t>who</w:t>
      </w:r>
      <w:r w:rsidR="00BF74C8">
        <w:rPr>
          <w:rFonts w:cs="Open Sans"/>
        </w:rPr>
        <w:t>m</w:t>
      </w:r>
      <w:r w:rsidR="00C82F6B">
        <w:rPr>
          <w:rFonts w:cs="Open Sans"/>
        </w:rPr>
        <w:t xml:space="preserve"> she lives, </w:t>
      </w:r>
      <w:r w:rsidR="003B3FFA">
        <w:rPr>
          <w:rFonts w:cs="Open Sans"/>
        </w:rPr>
        <w:t xml:space="preserve">calls </w:t>
      </w:r>
      <w:r w:rsidR="00C82F6B">
        <w:rPr>
          <w:rFonts w:cs="Open Sans"/>
        </w:rPr>
        <w:t xml:space="preserve">the nearest medical centre that is offering </w:t>
      </w:r>
      <w:r w:rsidR="00C82F6B" w:rsidDel="008E2D37">
        <w:rPr>
          <w:rFonts w:cs="Open Sans"/>
        </w:rPr>
        <w:t>COVID-19</w:t>
      </w:r>
      <w:r w:rsidR="00C82F6B">
        <w:rPr>
          <w:rFonts w:cs="Open Sans"/>
        </w:rPr>
        <w:t xml:space="preserve"> testing</w:t>
      </w:r>
      <w:r w:rsidR="003B3FFA">
        <w:rPr>
          <w:rFonts w:cs="Open Sans"/>
        </w:rPr>
        <w:t xml:space="preserve"> to make an appointment</w:t>
      </w:r>
      <w:r w:rsidR="00C82F6B">
        <w:rPr>
          <w:rFonts w:cs="Open Sans"/>
        </w:rPr>
        <w:t xml:space="preserve">. </w:t>
      </w:r>
    </w:p>
    <w:p w14:paraId="4ADE3A21" w14:textId="03EEBCE4" w:rsidR="00CB589F" w:rsidRDefault="00C82F6B" w:rsidP="00906BD6">
      <w:pPr>
        <w:rPr>
          <w:rFonts w:cs="Open Sans"/>
        </w:rPr>
      </w:pPr>
      <w:r>
        <w:rPr>
          <w:rFonts w:cs="Open Sans"/>
        </w:rPr>
        <w:t xml:space="preserve">Lucia </w:t>
      </w:r>
      <w:r w:rsidR="00214CA6">
        <w:rPr>
          <w:rFonts w:cs="Open Sans"/>
        </w:rPr>
        <w:t xml:space="preserve">has </w:t>
      </w:r>
      <w:r w:rsidR="00EE2192">
        <w:rPr>
          <w:rFonts w:cs="Open Sans"/>
        </w:rPr>
        <w:t>A</w:t>
      </w:r>
      <w:r w:rsidR="00214CA6">
        <w:rPr>
          <w:rFonts w:cs="Open Sans"/>
        </w:rPr>
        <w:t>utism</w:t>
      </w:r>
      <w:r>
        <w:rPr>
          <w:rFonts w:cs="Open Sans"/>
        </w:rPr>
        <w:t xml:space="preserve"> </w:t>
      </w:r>
      <w:r w:rsidR="00EE2192">
        <w:rPr>
          <w:rFonts w:cs="Open Sans"/>
        </w:rPr>
        <w:t xml:space="preserve">and is already distressed as she is out of her normal school routine. Being in </w:t>
      </w:r>
      <w:r w:rsidR="00951DCE">
        <w:rPr>
          <w:rFonts w:cs="Open Sans"/>
        </w:rPr>
        <w:t>unfamiliar surround</w:t>
      </w:r>
      <w:r w:rsidR="00BF74C8">
        <w:rPr>
          <w:rFonts w:cs="Open Sans"/>
        </w:rPr>
        <w:t>ing</w:t>
      </w:r>
      <w:r w:rsidR="00951DCE">
        <w:rPr>
          <w:rFonts w:cs="Open Sans"/>
        </w:rPr>
        <w:t>s</w:t>
      </w:r>
      <w:r w:rsidR="00B35A98">
        <w:rPr>
          <w:rFonts w:cs="Open Sans"/>
        </w:rPr>
        <w:t xml:space="preserve"> </w:t>
      </w:r>
      <w:r w:rsidR="00EE2192">
        <w:rPr>
          <w:rFonts w:cs="Open Sans"/>
        </w:rPr>
        <w:t xml:space="preserve">and near </w:t>
      </w:r>
      <w:r w:rsidR="00CB589F">
        <w:rPr>
          <w:rFonts w:cs="Open Sans"/>
        </w:rPr>
        <w:t>people she does</w:t>
      </w:r>
      <w:r w:rsidR="00186CF4">
        <w:rPr>
          <w:rFonts w:cs="Open Sans"/>
        </w:rPr>
        <w:t xml:space="preserve"> not</w:t>
      </w:r>
      <w:r w:rsidR="00CB589F">
        <w:rPr>
          <w:rFonts w:cs="Open Sans"/>
        </w:rPr>
        <w:t xml:space="preserve"> know</w:t>
      </w:r>
      <w:r w:rsidR="00EE2192">
        <w:rPr>
          <w:rFonts w:cs="Open Sans"/>
        </w:rPr>
        <w:t xml:space="preserve"> is likely to </w:t>
      </w:r>
      <w:r w:rsidR="00BF74C8">
        <w:rPr>
          <w:rFonts w:cs="Open Sans"/>
        </w:rPr>
        <w:t xml:space="preserve">increase </w:t>
      </w:r>
      <w:r w:rsidR="00EE2192">
        <w:rPr>
          <w:rFonts w:cs="Open Sans"/>
        </w:rPr>
        <w:t xml:space="preserve">her distress. Her paediatrician has been able to provide her with regular appointments via </w:t>
      </w:r>
      <w:r w:rsidR="00B37AE8">
        <w:rPr>
          <w:rFonts w:cs="Open Sans"/>
        </w:rPr>
        <w:t>t</w:t>
      </w:r>
      <w:r w:rsidR="00EE2192">
        <w:rPr>
          <w:rFonts w:cs="Open Sans"/>
        </w:rPr>
        <w:t>elehealth during this time of increased stress, and has increased her anti-anxiety medication dose, which has helped her to be more settled at home.</w:t>
      </w:r>
    </w:p>
    <w:p w14:paraId="32A8AFFC" w14:textId="18E2D8E0" w:rsidR="00CB589F" w:rsidRDefault="009F2B7F" w:rsidP="00906BD6">
      <w:pPr>
        <w:rPr>
          <w:rFonts w:cs="Open Sans"/>
        </w:rPr>
      </w:pPr>
      <w:r>
        <w:rPr>
          <w:rFonts w:cs="Open Sans"/>
        </w:rPr>
        <w:lastRenderedPageBreak/>
        <w:t xml:space="preserve">In her call to the medical centre, </w:t>
      </w:r>
      <w:r w:rsidR="005E18FD">
        <w:rPr>
          <w:rFonts w:cs="Open Sans"/>
        </w:rPr>
        <w:t xml:space="preserve">Angela explains that </w:t>
      </w:r>
      <w:r w:rsidR="00B37AE8">
        <w:rPr>
          <w:rFonts w:cs="Open Sans"/>
        </w:rPr>
        <w:t>she is</w:t>
      </w:r>
      <w:r w:rsidR="005E18FD">
        <w:rPr>
          <w:rFonts w:cs="Open Sans"/>
        </w:rPr>
        <w:t xml:space="preserve"> concerned that Lucia may have </w:t>
      </w:r>
      <w:r w:rsidR="005E18FD" w:rsidDel="008E2D37">
        <w:rPr>
          <w:rFonts w:cs="Open Sans"/>
        </w:rPr>
        <w:t>COVID-19</w:t>
      </w:r>
      <w:r w:rsidR="0064062B" w:rsidRPr="251FA5EE">
        <w:rPr>
          <w:rFonts w:cs="Open Sans"/>
        </w:rPr>
        <w:t>.</w:t>
      </w:r>
      <w:r w:rsidR="0064062B">
        <w:rPr>
          <w:rFonts w:cs="Open Sans"/>
        </w:rPr>
        <w:t xml:space="preserve"> She also explains Lucia’s </w:t>
      </w:r>
      <w:r w:rsidR="008D43AE">
        <w:rPr>
          <w:rFonts w:cs="Open Sans"/>
        </w:rPr>
        <w:t xml:space="preserve">care </w:t>
      </w:r>
      <w:r w:rsidR="0064062B">
        <w:rPr>
          <w:rFonts w:cs="Open Sans"/>
        </w:rPr>
        <w:t>needs</w:t>
      </w:r>
      <w:r w:rsidR="008D43AE">
        <w:rPr>
          <w:rFonts w:cs="Open Sans"/>
        </w:rPr>
        <w:t>,</w:t>
      </w:r>
      <w:r w:rsidR="0064062B">
        <w:rPr>
          <w:rFonts w:cs="Open Sans"/>
        </w:rPr>
        <w:t xml:space="preserve"> that she will </w:t>
      </w:r>
      <w:r w:rsidR="008D43AE">
        <w:rPr>
          <w:rFonts w:cs="Open Sans"/>
        </w:rPr>
        <w:t>need to stay close to her as a</w:t>
      </w:r>
      <w:r w:rsidR="0064062B">
        <w:rPr>
          <w:rFonts w:cs="Open Sans"/>
        </w:rPr>
        <w:t xml:space="preserve"> support person</w:t>
      </w:r>
      <w:r w:rsidR="008D43AE">
        <w:rPr>
          <w:rFonts w:cs="Open Sans"/>
        </w:rPr>
        <w:t xml:space="preserve">, and that </w:t>
      </w:r>
      <w:r w:rsidR="001D2884">
        <w:rPr>
          <w:rFonts w:cs="Open Sans"/>
        </w:rPr>
        <w:t xml:space="preserve">Lucia </w:t>
      </w:r>
      <w:r w:rsidR="008D43AE">
        <w:rPr>
          <w:rFonts w:cs="Open Sans"/>
        </w:rPr>
        <w:t>is on medication to help manage her anxiety.</w:t>
      </w:r>
    </w:p>
    <w:p w14:paraId="578CC0E9" w14:textId="09B89660" w:rsidR="006A04CF" w:rsidRDefault="006A04CF" w:rsidP="00906BD6">
      <w:pPr>
        <w:rPr>
          <w:rFonts w:cs="Open Sans"/>
        </w:rPr>
      </w:pPr>
      <w:r>
        <w:rPr>
          <w:rFonts w:cs="Open Sans"/>
        </w:rPr>
        <w:t xml:space="preserve">When they arrive at the medical centre </w:t>
      </w:r>
      <w:r w:rsidR="007E510B">
        <w:rPr>
          <w:rFonts w:cs="Open Sans"/>
        </w:rPr>
        <w:t xml:space="preserve">they </w:t>
      </w:r>
      <w:r w:rsidR="00281C40">
        <w:rPr>
          <w:rFonts w:cs="Open Sans"/>
        </w:rPr>
        <w:t>speak with the receptionist</w:t>
      </w:r>
      <w:r w:rsidR="007E510B">
        <w:rPr>
          <w:rFonts w:cs="Open Sans"/>
        </w:rPr>
        <w:t>.</w:t>
      </w:r>
      <w:r w:rsidR="00474F3B">
        <w:rPr>
          <w:rFonts w:cs="Open Sans"/>
        </w:rPr>
        <w:t xml:space="preserve"> </w:t>
      </w:r>
      <w:r w:rsidR="006028CA">
        <w:rPr>
          <w:rFonts w:cs="Open Sans"/>
        </w:rPr>
        <w:t xml:space="preserve">She explains that </w:t>
      </w:r>
      <w:r w:rsidR="006D5699">
        <w:rPr>
          <w:rFonts w:cs="Open Sans"/>
        </w:rPr>
        <w:t xml:space="preserve">it is the medical centre’s policy that suspected </w:t>
      </w:r>
      <w:r w:rsidR="006D5699" w:rsidDel="00892886">
        <w:rPr>
          <w:rFonts w:cs="Open Sans"/>
        </w:rPr>
        <w:t>COVID-19</w:t>
      </w:r>
      <w:r w:rsidR="006D5699">
        <w:rPr>
          <w:rFonts w:cs="Open Sans"/>
        </w:rPr>
        <w:t xml:space="preserve"> patients must wait in a separate </w:t>
      </w:r>
      <w:r w:rsidR="003032DB">
        <w:rPr>
          <w:rFonts w:cs="Open Sans"/>
        </w:rPr>
        <w:t xml:space="preserve">waiting area </w:t>
      </w:r>
      <w:r w:rsidR="00250695">
        <w:rPr>
          <w:rFonts w:cs="Open Sans"/>
        </w:rPr>
        <w:t>and that</w:t>
      </w:r>
      <w:r w:rsidR="00D25641">
        <w:rPr>
          <w:rFonts w:cs="Open Sans"/>
        </w:rPr>
        <w:t>,</w:t>
      </w:r>
      <w:r w:rsidR="00250695">
        <w:rPr>
          <w:rFonts w:cs="Open Sans"/>
        </w:rPr>
        <w:t xml:space="preserve"> </w:t>
      </w:r>
      <w:r w:rsidR="00D25641">
        <w:rPr>
          <w:rFonts w:cs="Open Sans"/>
        </w:rPr>
        <w:t xml:space="preserve">as an infection control measure, </w:t>
      </w:r>
      <w:r w:rsidR="00250695">
        <w:rPr>
          <w:rFonts w:cs="Open Sans"/>
        </w:rPr>
        <w:t>family are not permitted to wait with them</w:t>
      </w:r>
      <w:r w:rsidR="003C2A3F">
        <w:rPr>
          <w:rFonts w:cs="Open Sans"/>
        </w:rPr>
        <w:t xml:space="preserve">. </w:t>
      </w:r>
      <w:r w:rsidR="00E3262F">
        <w:rPr>
          <w:rFonts w:cs="Open Sans"/>
        </w:rPr>
        <w:t>However, based on Angela’s earlier call</w:t>
      </w:r>
      <w:r w:rsidR="008D43AE">
        <w:rPr>
          <w:rFonts w:cs="Open Sans"/>
        </w:rPr>
        <w:t>, and information provided to the medical centre by Lucia’s paediatrician,</w:t>
      </w:r>
      <w:r w:rsidR="00E3262F">
        <w:rPr>
          <w:rFonts w:cs="Open Sans"/>
        </w:rPr>
        <w:t xml:space="preserve"> she has found a spare office </w:t>
      </w:r>
      <w:r w:rsidR="00A478AD">
        <w:rPr>
          <w:rFonts w:cs="Open Sans"/>
        </w:rPr>
        <w:t>for them to wait in that is away from the busy waiting room</w:t>
      </w:r>
      <w:r w:rsidR="008D43AE">
        <w:rPr>
          <w:rFonts w:cs="Open Sans"/>
        </w:rPr>
        <w:t>. The receptionist has</w:t>
      </w:r>
      <w:r w:rsidR="00A24375">
        <w:rPr>
          <w:rFonts w:cs="Open Sans"/>
        </w:rPr>
        <w:t xml:space="preserve"> spoken to the </w:t>
      </w:r>
      <w:r w:rsidR="008D43AE">
        <w:rPr>
          <w:rFonts w:cs="Open Sans"/>
        </w:rPr>
        <w:t>general practitioner who will be seeing Lucia</w:t>
      </w:r>
      <w:r w:rsidR="00A24375">
        <w:rPr>
          <w:rFonts w:cs="Open Sans"/>
        </w:rPr>
        <w:t xml:space="preserve"> and </w:t>
      </w:r>
      <w:r w:rsidR="00A43915">
        <w:rPr>
          <w:rFonts w:cs="Open Sans"/>
        </w:rPr>
        <w:t>s</w:t>
      </w:r>
      <w:r w:rsidR="00A24375">
        <w:rPr>
          <w:rFonts w:cs="Open Sans"/>
        </w:rPr>
        <w:t xml:space="preserve">he </w:t>
      </w:r>
      <w:r w:rsidR="00A43915">
        <w:rPr>
          <w:rFonts w:cs="Open Sans"/>
        </w:rPr>
        <w:t xml:space="preserve">has confirmed that she </w:t>
      </w:r>
      <w:r w:rsidR="00A24375">
        <w:rPr>
          <w:rFonts w:cs="Open Sans"/>
        </w:rPr>
        <w:t xml:space="preserve">is happy for Angela </w:t>
      </w:r>
      <w:r w:rsidR="00E7685F">
        <w:rPr>
          <w:rFonts w:cs="Open Sans"/>
        </w:rPr>
        <w:t>to stay with Lucia during the consultation</w:t>
      </w:r>
      <w:r w:rsidR="00A43915">
        <w:rPr>
          <w:rFonts w:cs="Open Sans"/>
        </w:rPr>
        <w:t xml:space="preserve">, and </w:t>
      </w:r>
      <w:r w:rsidR="00BF74C8">
        <w:rPr>
          <w:rFonts w:cs="Open Sans"/>
        </w:rPr>
        <w:t xml:space="preserve">practise </w:t>
      </w:r>
      <w:r w:rsidR="00A43915">
        <w:rPr>
          <w:rFonts w:cs="Open Sans"/>
        </w:rPr>
        <w:t>the calming strategies that have been developed by Lucia’s care team</w:t>
      </w:r>
      <w:r w:rsidR="00E7685F">
        <w:rPr>
          <w:rFonts w:cs="Open Sans"/>
        </w:rPr>
        <w:t>.</w:t>
      </w:r>
      <w:r w:rsidR="00281C40">
        <w:rPr>
          <w:rFonts w:cs="Open Sans"/>
        </w:rPr>
        <w:t xml:space="preserve"> All of the infection control measures that are maintained in relation to the patients waiting in the waiting room are also maintained in relation to the spare office.</w:t>
      </w:r>
    </w:p>
    <w:p w14:paraId="34C4851D" w14:textId="096D9DA5" w:rsidR="00A43915" w:rsidRDefault="00A43915" w:rsidP="00906BD6">
      <w:pPr>
        <w:rPr>
          <w:rFonts w:cs="Open Sans"/>
        </w:rPr>
      </w:pPr>
      <w:r>
        <w:rPr>
          <w:rFonts w:cs="Open Sans"/>
        </w:rPr>
        <w:t>The receptionist makes sure that Angela is able to make a follow</w:t>
      </w:r>
      <w:r w:rsidR="00BF74C8">
        <w:rPr>
          <w:rFonts w:cs="Open Sans"/>
        </w:rPr>
        <w:t>-</w:t>
      </w:r>
      <w:r>
        <w:rPr>
          <w:rFonts w:cs="Open Sans"/>
        </w:rPr>
        <w:t>up appointment with Lucia’s paediatrician to review her progress. Angela makes a telehealth appointment to ensure that Lucia remains in isolation until her test results are available.</w:t>
      </w:r>
    </w:p>
    <w:p w14:paraId="65211523" w14:textId="1E188DE6" w:rsidR="00F604FD" w:rsidRDefault="00F604FD" w:rsidP="002E6DDC">
      <w:pPr>
        <w:keepNext/>
        <w:rPr>
          <w:rFonts w:cs="Open Sans"/>
          <w:b/>
          <w:bCs/>
        </w:rPr>
      </w:pPr>
      <w:r>
        <w:rPr>
          <w:rFonts w:cs="Open Sans"/>
          <w:b/>
          <w:bCs/>
        </w:rPr>
        <w:t>Human rights considerations</w:t>
      </w:r>
    </w:p>
    <w:p w14:paraId="32D63E1E" w14:textId="1BCE569D" w:rsidR="009E7BC4" w:rsidRDefault="001B1FA1" w:rsidP="001B1FA1">
      <w:pPr>
        <w:rPr>
          <w:rFonts w:cs="Open Sans"/>
        </w:rPr>
      </w:pPr>
      <w:r>
        <w:rPr>
          <w:rFonts w:cs="Open Sans"/>
        </w:rPr>
        <w:t xml:space="preserve">The </w:t>
      </w:r>
      <w:r w:rsidR="00426416">
        <w:rPr>
          <w:rFonts w:cs="Open Sans"/>
        </w:rPr>
        <w:t>medical centre</w:t>
      </w:r>
      <w:r>
        <w:rPr>
          <w:rFonts w:cs="Open Sans"/>
        </w:rPr>
        <w:t xml:space="preserve"> has put in place a p</w:t>
      </w:r>
      <w:r w:rsidR="00426416">
        <w:rPr>
          <w:rFonts w:cs="Open Sans"/>
        </w:rPr>
        <w:t>olicy</w:t>
      </w:r>
      <w:r>
        <w:rPr>
          <w:rFonts w:cs="Open Sans"/>
        </w:rPr>
        <w:t xml:space="preserve"> to maintain the safety of patients</w:t>
      </w:r>
      <w:r w:rsidR="00B37AE8">
        <w:rPr>
          <w:rFonts w:cs="Open Sans"/>
        </w:rPr>
        <w:t xml:space="preserve"> and staff</w:t>
      </w:r>
      <w:r>
        <w:rPr>
          <w:rFonts w:cs="Open Sans"/>
        </w:rPr>
        <w:t xml:space="preserve">. </w:t>
      </w:r>
      <w:r w:rsidR="008766C5">
        <w:rPr>
          <w:rFonts w:cs="Open Sans"/>
        </w:rPr>
        <w:t>The receptionist</w:t>
      </w:r>
      <w:r w:rsidR="00EF1BE3">
        <w:rPr>
          <w:rFonts w:cs="Open Sans"/>
        </w:rPr>
        <w:t>’</w:t>
      </w:r>
      <w:r w:rsidR="008766C5">
        <w:rPr>
          <w:rFonts w:cs="Open Sans"/>
        </w:rPr>
        <w:t xml:space="preserve">s initiative and </w:t>
      </w:r>
      <w:r w:rsidR="00A43915">
        <w:rPr>
          <w:rFonts w:cs="Open Sans"/>
        </w:rPr>
        <w:t xml:space="preserve">good communication between the care team members </w:t>
      </w:r>
      <w:r w:rsidR="00FE2E1C">
        <w:rPr>
          <w:rFonts w:cs="Open Sans"/>
        </w:rPr>
        <w:t xml:space="preserve">has </w:t>
      </w:r>
      <w:r w:rsidR="008766C5">
        <w:rPr>
          <w:rFonts w:cs="Open Sans"/>
        </w:rPr>
        <w:t xml:space="preserve">resulted in Lucia having her </w:t>
      </w:r>
      <w:r w:rsidR="009865CD">
        <w:rPr>
          <w:rFonts w:cs="Open Sans"/>
        </w:rPr>
        <w:t xml:space="preserve">needs met in this case. </w:t>
      </w:r>
    </w:p>
    <w:p w14:paraId="27400EB9" w14:textId="55DD9488" w:rsidR="00DC6578" w:rsidRDefault="00997834" w:rsidP="001B1FA1">
      <w:pPr>
        <w:rPr>
          <w:rFonts w:cs="Open Sans"/>
        </w:rPr>
      </w:pPr>
      <w:r>
        <w:rPr>
          <w:rFonts w:cs="Open Sans"/>
        </w:rPr>
        <w:t>Lucia</w:t>
      </w:r>
      <w:r w:rsidR="00DC6578">
        <w:rPr>
          <w:rFonts w:cs="Open Sans"/>
        </w:rPr>
        <w:t xml:space="preserve"> has the right to be treated without discrimination </w:t>
      </w:r>
      <w:r w:rsidR="00D25E94">
        <w:rPr>
          <w:rFonts w:cs="Open Sans"/>
        </w:rPr>
        <w:t>based on</w:t>
      </w:r>
      <w:r w:rsidR="00DC6578">
        <w:rPr>
          <w:rFonts w:cs="Open Sans"/>
        </w:rPr>
        <w:t xml:space="preserve"> her disability.</w:t>
      </w:r>
      <w:r w:rsidR="00DC6578">
        <w:rPr>
          <w:rStyle w:val="EndnoteReference"/>
          <w:rFonts w:cs="Open Sans"/>
        </w:rPr>
        <w:endnoteReference w:id="68"/>
      </w:r>
      <w:r w:rsidR="00DC6578">
        <w:rPr>
          <w:rFonts w:cs="Open Sans"/>
        </w:rPr>
        <w:t xml:space="preserve"> This right includes the provision of reasonable adjustments</w:t>
      </w:r>
      <w:r w:rsidR="0041607E">
        <w:rPr>
          <w:rFonts w:cs="Open Sans"/>
        </w:rPr>
        <w:t xml:space="preserve"> that take into account her particular needs arising from her disability</w:t>
      </w:r>
      <w:r w:rsidR="00DC6578">
        <w:rPr>
          <w:rFonts w:cs="Open Sans"/>
        </w:rPr>
        <w:t>,</w:t>
      </w:r>
      <w:r w:rsidR="00DC6578">
        <w:rPr>
          <w:rStyle w:val="EndnoteReference"/>
          <w:rFonts w:cs="Open Sans"/>
        </w:rPr>
        <w:endnoteReference w:id="69"/>
      </w:r>
      <w:r w:rsidR="00DC6578">
        <w:rPr>
          <w:rFonts w:cs="Open Sans"/>
        </w:rPr>
        <w:t xml:space="preserve"> such as access to a </w:t>
      </w:r>
      <w:r>
        <w:rPr>
          <w:rFonts w:cs="Open Sans"/>
        </w:rPr>
        <w:t>family</w:t>
      </w:r>
      <w:r w:rsidR="009865CD">
        <w:rPr>
          <w:rFonts w:cs="Open Sans"/>
        </w:rPr>
        <w:t xml:space="preserve"> member and being able to wait in a quiet area</w:t>
      </w:r>
      <w:r w:rsidR="00DC6578">
        <w:rPr>
          <w:rFonts w:cs="Open Sans"/>
        </w:rPr>
        <w:t xml:space="preserve">. Providing reasonable adjustments is </w:t>
      </w:r>
      <w:r w:rsidR="00FC623F">
        <w:rPr>
          <w:rFonts w:cs="Open Sans"/>
        </w:rPr>
        <w:t>essential to</w:t>
      </w:r>
      <w:r w:rsidR="00DC6578">
        <w:rPr>
          <w:rFonts w:cs="Open Sans"/>
        </w:rPr>
        <w:t xml:space="preserve"> </w:t>
      </w:r>
      <w:r w:rsidR="00EF1BE3">
        <w:rPr>
          <w:rFonts w:cs="Open Sans"/>
        </w:rPr>
        <w:t>Lucia</w:t>
      </w:r>
      <w:r w:rsidR="00DC6578">
        <w:rPr>
          <w:rFonts w:cs="Open Sans"/>
        </w:rPr>
        <w:t>’s ability to fully realise her right</w:t>
      </w:r>
      <w:r w:rsidR="00EC72E1">
        <w:rPr>
          <w:rFonts w:cs="Open Sans"/>
        </w:rPr>
        <w:t>s</w:t>
      </w:r>
      <w:r w:rsidR="007B3C84">
        <w:rPr>
          <w:rFonts w:cs="Open Sans"/>
        </w:rPr>
        <w:t>.</w:t>
      </w:r>
    </w:p>
    <w:p w14:paraId="33B338FA" w14:textId="4D458255" w:rsidR="001B1FA1" w:rsidRDefault="00426416" w:rsidP="001B1FA1">
      <w:pPr>
        <w:rPr>
          <w:rFonts w:cs="Open Sans"/>
        </w:rPr>
      </w:pPr>
      <w:r>
        <w:rPr>
          <w:rFonts w:cs="Open Sans"/>
        </w:rPr>
        <w:t xml:space="preserve">While the receptionist </w:t>
      </w:r>
      <w:r w:rsidR="00AE7CCF">
        <w:rPr>
          <w:rFonts w:cs="Open Sans"/>
        </w:rPr>
        <w:t>understood the need to</w:t>
      </w:r>
      <w:r>
        <w:rPr>
          <w:rFonts w:cs="Open Sans"/>
        </w:rPr>
        <w:t xml:space="preserve"> </w:t>
      </w:r>
      <w:r w:rsidR="00634590">
        <w:rPr>
          <w:rFonts w:cs="Open Sans"/>
        </w:rPr>
        <w:t>take Lucia’s disability in</w:t>
      </w:r>
      <w:r w:rsidR="00A941CD">
        <w:rPr>
          <w:rFonts w:cs="Open Sans"/>
        </w:rPr>
        <w:t>to</w:t>
      </w:r>
      <w:r w:rsidR="00634590">
        <w:rPr>
          <w:rFonts w:cs="Open Sans"/>
        </w:rPr>
        <w:t xml:space="preserve"> account when implementing the policy</w:t>
      </w:r>
      <w:r w:rsidR="00EB3114">
        <w:rPr>
          <w:rFonts w:cs="Open Sans"/>
        </w:rPr>
        <w:t>,</w:t>
      </w:r>
      <w:r w:rsidR="00634590">
        <w:rPr>
          <w:rFonts w:cs="Open Sans"/>
        </w:rPr>
        <w:t xml:space="preserve"> </w:t>
      </w:r>
      <w:r w:rsidR="00AE7CCF">
        <w:rPr>
          <w:rFonts w:cs="Open Sans"/>
        </w:rPr>
        <w:t>the fact that</w:t>
      </w:r>
      <w:r w:rsidR="00A941CD">
        <w:rPr>
          <w:rFonts w:cs="Open Sans"/>
        </w:rPr>
        <w:t xml:space="preserve"> </w:t>
      </w:r>
      <w:r w:rsidR="00A12BEA">
        <w:rPr>
          <w:rFonts w:cs="Open Sans"/>
        </w:rPr>
        <w:t xml:space="preserve">allowing Angela to stay with Lucia </w:t>
      </w:r>
      <w:r w:rsidR="00A941CD">
        <w:rPr>
          <w:rFonts w:cs="Open Sans"/>
        </w:rPr>
        <w:t xml:space="preserve">was an ‘ad hoc’ decision rather than a core part of the policy </w:t>
      </w:r>
      <w:r w:rsidR="00F50C3E">
        <w:rPr>
          <w:rFonts w:cs="Open Sans"/>
        </w:rPr>
        <w:t>could have</w:t>
      </w:r>
      <w:r w:rsidR="00DC6578">
        <w:rPr>
          <w:rFonts w:cs="Open Sans"/>
        </w:rPr>
        <w:t xml:space="preserve"> </w:t>
      </w:r>
      <w:r w:rsidR="00BF74C8">
        <w:rPr>
          <w:rFonts w:cs="Open Sans"/>
        </w:rPr>
        <w:t>affected</w:t>
      </w:r>
      <w:r w:rsidR="00DC6578">
        <w:rPr>
          <w:rFonts w:cs="Open Sans"/>
        </w:rPr>
        <w:t xml:space="preserve"> Lucia’s ability to seek medical attention and realise her right to health.</w:t>
      </w:r>
      <w:r w:rsidR="00DC6578">
        <w:rPr>
          <w:rStyle w:val="EndnoteReference"/>
          <w:rFonts w:cs="Open Sans"/>
        </w:rPr>
        <w:endnoteReference w:id="70"/>
      </w:r>
    </w:p>
    <w:p w14:paraId="1D85C15B" w14:textId="09D76D1E" w:rsidR="006D3E02" w:rsidRDefault="0093607C" w:rsidP="00F06D83">
      <w:pPr>
        <w:keepNext/>
        <w:rPr>
          <w:rFonts w:cs="Open Sans"/>
          <w:b/>
          <w:bCs/>
        </w:rPr>
      </w:pPr>
      <w:r>
        <w:rPr>
          <w:rFonts w:cs="Open Sans"/>
          <w:b/>
          <w:bCs/>
        </w:rPr>
        <w:lastRenderedPageBreak/>
        <w:t>Realising rights in practice</w:t>
      </w:r>
    </w:p>
    <w:p w14:paraId="142B16CD" w14:textId="0351CE20" w:rsidR="00452A3C" w:rsidRPr="006F456B" w:rsidRDefault="0093607C" w:rsidP="006F456B">
      <w:pPr>
        <w:rPr>
          <w:rFonts w:cs="Open Sans"/>
        </w:rPr>
      </w:pPr>
      <w:r>
        <w:rPr>
          <w:rFonts w:cs="Open Sans"/>
        </w:rPr>
        <w:t xml:space="preserve">When a person </w:t>
      </w:r>
      <w:r w:rsidR="00EF0EFF">
        <w:rPr>
          <w:rFonts w:cs="Open Sans"/>
        </w:rPr>
        <w:t xml:space="preserve">who requires </w:t>
      </w:r>
      <w:r w:rsidR="002100ED">
        <w:rPr>
          <w:rFonts w:cs="Open Sans"/>
        </w:rPr>
        <w:t>a</w:t>
      </w:r>
      <w:r w:rsidR="00EF0EFF">
        <w:rPr>
          <w:rFonts w:cs="Open Sans"/>
        </w:rPr>
        <w:t xml:space="preserve"> support </w:t>
      </w:r>
      <w:r w:rsidR="002100ED">
        <w:rPr>
          <w:rFonts w:cs="Open Sans"/>
        </w:rPr>
        <w:t xml:space="preserve">person </w:t>
      </w:r>
      <w:r w:rsidR="00EF0EFF">
        <w:rPr>
          <w:rFonts w:cs="Open Sans"/>
        </w:rPr>
        <w:t xml:space="preserve">attends a medical centre </w:t>
      </w:r>
      <w:r w:rsidR="002E30C4">
        <w:rPr>
          <w:rFonts w:cs="Open Sans"/>
        </w:rPr>
        <w:t xml:space="preserve">for medical attention </w:t>
      </w:r>
      <w:r w:rsidR="002E7792">
        <w:rPr>
          <w:rFonts w:cs="Open Sans"/>
        </w:rPr>
        <w:t>in the</w:t>
      </w:r>
      <w:r w:rsidR="002E30C4">
        <w:rPr>
          <w:rFonts w:cs="Open Sans"/>
        </w:rPr>
        <w:t xml:space="preserve"> context of a</w:t>
      </w:r>
      <w:r w:rsidR="002E7792">
        <w:rPr>
          <w:rFonts w:cs="Open Sans"/>
        </w:rPr>
        <w:t xml:space="preserve"> pandemic</w:t>
      </w:r>
      <w:r w:rsidR="00A2562F">
        <w:rPr>
          <w:rFonts w:cs="Open Sans"/>
        </w:rPr>
        <w:t>,</w:t>
      </w:r>
      <w:r w:rsidR="002E7792">
        <w:rPr>
          <w:rFonts w:cs="Open Sans"/>
        </w:rPr>
        <w:t xml:space="preserve"> </w:t>
      </w:r>
      <w:r w:rsidR="002E30C4">
        <w:rPr>
          <w:rFonts w:cs="Open Sans"/>
        </w:rPr>
        <w:t>the following steps</w:t>
      </w:r>
      <w:r w:rsidR="002E7792">
        <w:rPr>
          <w:rFonts w:cs="Open Sans"/>
        </w:rPr>
        <w:t xml:space="preserve"> will assist in protecting the</w:t>
      </w:r>
      <w:r w:rsidR="00865728">
        <w:rPr>
          <w:rFonts w:cs="Open Sans"/>
        </w:rPr>
        <w:t>ir</w:t>
      </w:r>
      <w:r w:rsidR="002E7792">
        <w:rPr>
          <w:rFonts w:cs="Open Sans"/>
        </w:rPr>
        <w:t xml:space="preserve"> rights:</w:t>
      </w:r>
    </w:p>
    <w:p w14:paraId="2881CF92" w14:textId="2647AF12" w:rsidR="0093607C" w:rsidRPr="007E58A3" w:rsidRDefault="002E7792" w:rsidP="007E58A3">
      <w:pPr>
        <w:pStyle w:val="ListParagraph"/>
        <w:numPr>
          <w:ilvl w:val="0"/>
          <w:numId w:val="18"/>
        </w:numPr>
        <w:rPr>
          <w:rFonts w:cs="Open Sans"/>
        </w:rPr>
      </w:pPr>
      <w:r w:rsidRPr="007E58A3">
        <w:rPr>
          <w:rFonts w:cs="Open Sans"/>
        </w:rPr>
        <w:t xml:space="preserve">providing a separate waiting area </w:t>
      </w:r>
      <w:r w:rsidR="002B2F78" w:rsidRPr="007E58A3">
        <w:rPr>
          <w:rFonts w:cs="Open Sans"/>
        </w:rPr>
        <w:t xml:space="preserve">where the person who may have </w:t>
      </w:r>
      <w:r w:rsidR="002B2F78" w:rsidRPr="007E58A3" w:rsidDel="00892886">
        <w:rPr>
          <w:rFonts w:cs="Open Sans"/>
        </w:rPr>
        <w:t>COVID-19</w:t>
      </w:r>
      <w:r w:rsidR="002B2F78" w:rsidRPr="007E58A3">
        <w:rPr>
          <w:rFonts w:cs="Open Sans"/>
        </w:rPr>
        <w:t xml:space="preserve"> can wait with family members</w:t>
      </w:r>
      <w:r w:rsidR="002100ED" w:rsidRPr="007E58A3">
        <w:rPr>
          <w:rFonts w:cs="Open Sans"/>
        </w:rPr>
        <w:t xml:space="preserve"> or other support person</w:t>
      </w:r>
      <w:r w:rsidR="002B2F78" w:rsidRPr="007E58A3">
        <w:rPr>
          <w:rFonts w:cs="Open Sans"/>
        </w:rPr>
        <w:t xml:space="preserve">, away from other patients </w:t>
      </w:r>
    </w:p>
    <w:p w14:paraId="1BB7EDDA" w14:textId="5318EB67" w:rsidR="002B2F78" w:rsidRPr="007E58A3" w:rsidRDefault="00DF69F4" w:rsidP="007E58A3">
      <w:pPr>
        <w:pStyle w:val="ListParagraph"/>
        <w:numPr>
          <w:ilvl w:val="0"/>
          <w:numId w:val="18"/>
        </w:numPr>
        <w:rPr>
          <w:rFonts w:cs="Open Sans"/>
        </w:rPr>
      </w:pPr>
      <w:r w:rsidRPr="007E58A3">
        <w:rPr>
          <w:rFonts w:cs="Open Sans"/>
        </w:rPr>
        <w:t xml:space="preserve">allowing the person </w:t>
      </w:r>
      <w:r w:rsidR="0067093F" w:rsidRPr="007E58A3">
        <w:rPr>
          <w:rFonts w:cs="Open Sans"/>
        </w:rPr>
        <w:t>to wait away from the medical centre (for example, in their car) and contacting them or their support person when the doctor is ready to see them</w:t>
      </w:r>
    </w:p>
    <w:p w14:paraId="7E0BAB8D" w14:textId="27141856" w:rsidR="0067093F" w:rsidRPr="007E58A3" w:rsidRDefault="00EB3D07" w:rsidP="007E58A3">
      <w:pPr>
        <w:pStyle w:val="ListParagraph"/>
        <w:numPr>
          <w:ilvl w:val="0"/>
          <w:numId w:val="18"/>
        </w:numPr>
        <w:rPr>
          <w:rFonts w:cs="Open Sans"/>
        </w:rPr>
      </w:pPr>
      <w:r w:rsidRPr="007E58A3">
        <w:rPr>
          <w:rFonts w:cs="Open Sans"/>
        </w:rPr>
        <w:t xml:space="preserve">ensuring any policy developed by the medical centre specifically refers to the requirement to make reasonable adjustments for people with disability and </w:t>
      </w:r>
      <w:r w:rsidR="000D72CD" w:rsidRPr="007E58A3">
        <w:rPr>
          <w:rFonts w:cs="Open Sans"/>
        </w:rPr>
        <w:t xml:space="preserve">provides practical guidance on how </w:t>
      </w:r>
      <w:r w:rsidR="00AA1810" w:rsidRPr="007E58A3">
        <w:rPr>
          <w:rFonts w:cs="Open Sans"/>
        </w:rPr>
        <w:t>this can be achieved</w:t>
      </w:r>
    </w:p>
    <w:p w14:paraId="22E0E635" w14:textId="4F763A9F" w:rsidR="00A43915" w:rsidRDefault="00A43915" w:rsidP="007E58A3">
      <w:pPr>
        <w:pStyle w:val="ListParagraph"/>
        <w:numPr>
          <w:ilvl w:val="0"/>
          <w:numId w:val="18"/>
        </w:numPr>
        <w:rPr>
          <w:rFonts w:cs="Open Sans"/>
        </w:rPr>
      </w:pPr>
      <w:r w:rsidRPr="007E58A3">
        <w:rPr>
          <w:rFonts w:cs="Open Sans"/>
        </w:rPr>
        <w:t>ensuring the individual with a disability is able to access appropriate and ongoing specialist medical and development</w:t>
      </w:r>
      <w:r w:rsidR="00471F5B" w:rsidRPr="007E58A3">
        <w:rPr>
          <w:rFonts w:cs="Open Sans"/>
        </w:rPr>
        <w:t>al</w:t>
      </w:r>
      <w:r w:rsidRPr="007E58A3">
        <w:rPr>
          <w:rFonts w:cs="Open Sans"/>
        </w:rPr>
        <w:t xml:space="preserve"> care even when physical distancing and isolation measures need to be in place (for example, via telehealth).</w:t>
      </w:r>
    </w:p>
    <w:p w14:paraId="7DC73A6A" w14:textId="04D2D80F" w:rsidR="00277237" w:rsidRDefault="004C26DA" w:rsidP="00906BD6">
      <w:pPr>
        <w:pStyle w:val="Heading2"/>
      </w:pPr>
      <w:bookmarkStart w:id="67" w:name="_Toc46679150"/>
      <w:r>
        <w:t xml:space="preserve">Involuntary hospital </w:t>
      </w:r>
      <w:r w:rsidR="008E7141">
        <w:t>discharges</w:t>
      </w:r>
      <w:bookmarkEnd w:id="67"/>
    </w:p>
    <w:p w14:paraId="6D931C48" w14:textId="304FEB50" w:rsidR="000509AB" w:rsidRDefault="00420859" w:rsidP="00277237">
      <w:pPr>
        <w:rPr>
          <w:rFonts w:cs="Open Sans"/>
        </w:rPr>
      </w:pPr>
      <w:r>
        <w:rPr>
          <w:rFonts w:cs="Open Sans"/>
        </w:rPr>
        <w:t xml:space="preserve">Genevieve </w:t>
      </w:r>
      <w:r w:rsidR="00914350">
        <w:rPr>
          <w:rFonts w:cs="Open Sans"/>
        </w:rPr>
        <w:t xml:space="preserve">was </w:t>
      </w:r>
      <w:r>
        <w:rPr>
          <w:rFonts w:cs="Open Sans"/>
        </w:rPr>
        <w:t>recently admitted to hospital</w:t>
      </w:r>
      <w:r w:rsidR="00914350">
        <w:rPr>
          <w:rFonts w:cs="Open Sans"/>
        </w:rPr>
        <w:t xml:space="preserve"> after a change of medication caused </w:t>
      </w:r>
      <w:r w:rsidR="00865AC6">
        <w:rPr>
          <w:rFonts w:cs="Open Sans"/>
        </w:rPr>
        <w:t xml:space="preserve">serious side effects. </w:t>
      </w:r>
      <w:r w:rsidR="000509AB">
        <w:rPr>
          <w:rFonts w:cs="Open Sans"/>
        </w:rPr>
        <w:t xml:space="preserve">Genevieve has </w:t>
      </w:r>
      <w:r w:rsidR="00CC378B">
        <w:rPr>
          <w:rFonts w:cs="Open Sans"/>
        </w:rPr>
        <w:t>b</w:t>
      </w:r>
      <w:r w:rsidR="000509AB">
        <w:rPr>
          <w:rFonts w:cs="Open Sans"/>
        </w:rPr>
        <w:t xml:space="preserve">ipolar </w:t>
      </w:r>
      <w:r w:rsidR="00CC378B">
        <w:rPr>
          <w:rFonts w:cs="Open Sans"/>
        </w:rPr>
        <w:t>d</w:t>
      </w:r>
      <w:r w:rsidR="000509AB">
        <w:rPr>
          <w:rFonts w:cs="Open Sans"/>
        </w:rPr>
        <w:t>isorder.</w:t>
      </w:r>
    </w:p>
    <w:p w14:paraId="6325F437" w14:textId="48C3BDEE" w:rsidR="009F4D41" w:rsidRDefault="00CC378B" w:rsidP="00277237">
      <w:pPr>
        <w:rPr>
          <w:rFonts w:cs="Open Sans"/>
        </w:rPr>
      </w:pPr>
      <w:r>
        <w:rPr>
          <w:rFonts w:cs="Open Sans"/>
        </w:rPr>
        <w:t>T</w:t>
      </w:r>
      <w:r w:rsidR="005753EF">
        <w:rPr>
          <w:rFonts w:cs="Open Sans"/>
        </w:rPr>
        <w:t>o taper</w:t>
      </w:r>
      <w:r w:rsidR="00A2562F">
        <w:rPr>
          <w:rFonts w:cs="Open Sans"/>
        </w:rPr>
        <w:t xml:space="preserve"> off</w:t>
      </w:r>
      <w:r w:rsidR="005753EF">
        <w:rPr>
          <w:rFonts w:cs="Open Sans"/>
        </w:rPr>
        <w:t xml:space="preserve"> the medication </w:t>
      </w:r>
      <w:r w:rsidR="00A2562F">
        <w:rPr>
          <w:rFonts w:cs="Open Sans"/>
        </w:rPr>
        <w:t xml:space="preserve">fully </w:t>
      </w:r>
      <w:r w:rsidR="005753EF">
        <w:rPr>
          <w:rFonts w:cs="Open Sans"/>
        </w:rPr>
        <w:t xml:space="preserve">and begin </w:t>
      </w:r>
      <w:r w:rsidR="004D6D13">
        <w:rPr>
          <w:rFonts w:cs="Open Sans"/>
        </w:rPr>
        <w:t>a new regime</w:t>
      </w:r>
      <w:r w:rsidR="000509AB">
        <w:rPr>
          <w:rFonts w:cs="Open Sans"/>
        </w:rPr>
        <w:t>n</w:t>
      </w:r>
      <w:r w:rsidR="004D6D13">
        <w:rPr>
          <w:rFonts w:cs="Open Sans"/>
        </w:rPr>
        <w:t xml:space="preserve"> under supervision, G</w:t>
      </w:r>
      <w:r w:rsidR="00F4784E">
        <w:rPr>
          <w:rFonts w:cs="Open Sans"/>
        </w:rPr>
        <w:t xml:space="preserve">enevieve’s psychiatrist suggested she </w:t>
      </w:r>
      <w:r w:rsidR="004D6D13">
        <w:rPr>
          <w:rFonts w:cs="Open Sans"/>
        </w:rPr>
        <w:t xml:space="preserve">stay in hospital for </w:t>
      </w:r>
      <w:r w:rsidR="009C0FAC">
        <w:rPr>
          <w:rFonts w:cs="Open Sans"/>
        </w:rPr>
        <w:t xml:space="preserve">another </w:t>
      </w:r>
      <w:r w:rsidR="004D6D13">
        <w:rPr>
          <w:rFonts w:cs="Open Sans"/>
        </w:rPr>
        <w:t>four weeks</w:t>
      </w:r>
      <w:r w:rsidR="00F4784E">
        <w:rPr>
          <w:rFonts w:cs="Open Sans"/>
        </w:rPr>
        <w:t xml:space="preserve">. </w:t>
      </w:r>
      <w:r w:rsidR="00AF2625">
        <w:rPr>
          <w:rFonts w:cs="Open Sans"/>
        </w:rPr>
        <w:t xml:space="preserve">Although Genevieve </w:t>
      </w:r>
      <w:r w:rsidR="00A9402A">
        <w:rPr>
          <w:rFonts w:cs="Open Sans"/>
        </w:rPr>
        <w:t xml:space="preserve">was </w:t>
      </w:r>
      <w:r w:rsidR="00AF2625">
        <w:rPr>
          <w:rFonts w:cs="Open Sans"/>
        </w:rPr>
        <w:t xml:space="preserve">feeling much better </w:t>
      </w:r>
      <w:r w:rsidR="007B06FB">
        <w:rPr>
          <w:rFonts w:cs="Open Sans"/>
        </w:rPr>
        <w:t>and doing well, she</w:t>
      </w:r>
      <w:r w:rsidR="00F4784E">
        <w:rPr>
          <w:rFonts w:cs="Open Sans"/>
        </w:rPr>
        <w:t xml:space="preserve"> </w:t>
      </w:r>
      <w:r w:rsidR="009F4D41">
        <w:rPr>
          <w:rFonts w:cs="Open Sans"/>
        </w:rPr>
        <w:t>agree</w:t>
      </w:r>
      <w:r w:rsidR="00A9402A">
        <w:rPr>
          <w:rFonts w:cs="Open Sans"/>
        </w:rPr>
        <w:t>d</w:t>
      </w:r>
      <w:r w:rsidR="009F4D41">
        <w:rPr>
          <w:rFonts w:cs="Open Sans"/>
        </w:rPr>
        <w:t xml:space="preserve"> with this approach </w:t>
      </w:r>
      <w:r>
        <w:rPr>
          <w:rFonts w:cs="Open Sans"/>
        </w:rPr>
        <w:t xml:space="preserve">as </w:t>
      </w:r>
      <w:r w:rsidR="009F4D41">
        <w:rPr>
          <w:rFonts w:cs="Open Sans"/>
        </w:rPr>
        <w:t>she ha</w:t>
      </w:r>
      <w:r w:rsidR="00A9402A">
        <w:rPr>
          <w:rFonts w:cs="Open Sans"/>
        </w:rPr>
        <w:t>d</w:t>
      </w:r>
      <w:r w:rsidR="009F4D41">
        <w:rPr>
          <w:rFonts w:cs="Open Sans"/>
        </w:rPr>
        <w:t xml:space="preserve"> been traumatised by her recent experience.</w:t>
      </w:r>
    </w:p>
    <w:p w14:paraId="4845BCAE" w14:textId="6E043097" w:rsidR="009F4D41" w:rsidRDefault="009F4D41" w:rsidP="00277237">
      <w:pPr>
        <w:rPr>
          <w:rFonts w:cs="Open Sans"/>
        </w:rPr>
      </w:pPr>
      <w:r>
        <w:rPr>
          <w:rFonts w:cs="Open Sans"/>
        </w:rPr>
        <w:t xml:space="preserve">In </w:t>
      </w:r>
      <w:r w:rsidR="009C0FAC">
        <w:rPr>
          <w:rFonts w:cs="Open Sans"/>
        </w:rPr>
        <w:t>the third week of her hospital stay Genevieve was</w:t>
      </w:r>
      <w:r w:rsidR="00765DCC">
        <w:rPr>
          <w:rFonts w:cs="Open Sans"/>
        </w:rPr>
        <w:t xml:space="preserve"> </w:t>
      </w:r>
      <w:r w:rsidR="00626C8D">
        <w:rPr>
          <w:rFonts w:cs="Open Sans"/>
        </w:rPr>
        <w:t xml:space="preserve">provided with voluntary discharge forms by the nurse unit manager. Genevieve explained that </w:t>
      </w:r>
      <w:r w:rsidR="0033758F">
        <w:rPr>
          <w:rFonts w:cs="Open Sans"/>
        </w:rPr>
        <w:t>the original advice was tha</w:t>
      </w:r>
      <w:r w:rsidR="008C1876">
        <w:rPr>
          <w:rFonts w:cs="Open Sans"/>
        </w:rPr>
        <w:t xml:space="preserve">t she should stay </w:t>
      </w:r>
      <w:r w:rsidR="00CC378B">
        <w:rPr>
          <w:rFonts w:cs="Open Sans"/>
        </w:rPr>
        <w:t xml:space="preserve">under </w:t>
      </w:r>
      <w:r w:rsidR="008C1876">
        <w:rPr>
          <w:rFonts w:cs="Open Sans"/>
        </w:rPr>
        <w:t xml:space="preserve">supervision for four weeks. The nurse unit manager explained that </w:t>
      </w:r>
      <w:r w:rsidR="00175768">
        <w:rPr>
          <w:rFonts w:cs="Open Sans"/>
        </w:rPr>
        <w:t xml:space="preserve">the hospital’s triage policy had been revised to ensure that physical distancing </w:t>
      </w:r>
      <w:r w:rsidR="009B2BC6">
        <w:rPr>
          <w:rFonts w:cs="Open Sans"/>
        </w:rPr>
        <w:t>c</w:t>
      </w:r>
      <w:r w:rsidR="00471F5B">
        <w:rPr>
          <w:rFonts w:cs="Open Sans"/>
        </w:rPr>
        <w:t>ould</w:t>
      </w:r>
      <w:r w:rsidR="009B2BC6">
        <w:rPr>
          <w:rFonts w:cs="Open Sans"/>
        </w:rPr>
        <w:t xml:space="preserve"> be maintained. Part of this policy revision included discharging patients who may find it difficult to comply with </w:t>
      </w:r>
      <w:r w:rsidR="00CE08DC">
        <w:rPr>
          <w:rFonts w:cs="Open Sans"/>
        </w:rPr>
        <w:t>these protocols due to ‘behavioural challenges</w:t>
      </w:r>
      <w:r w:rsidR="002E1A34">
        <w:rPr>
          <w:rFonts w:cs="Open Sans"/>
        </w:rPr>
        <w:t>’</w:t>
      </w:r>
      <w:r w:rsidR="00CE08DC">
        <w:rPr>
          <w:rFonts w:cs="Open Sans"/>
        </w:rPr>
        <w:t>.</w:t>
      </w:r>
    </w:p>
    <w:p w14:paraId="2309299E" w14:textId="77777777" w:rsidR="00702011" w:rsidRDefault="00702011">
      <w:pPr>
        <w:keepLines w:val="0"/>
        <w:spacing w:before="0" w:after="0"/>
        <w:rPr>
          <w:rFonts w:cs="Open Sans"/>
          <w:b/>
          <w:bCs/>
        </w:rPr>
      </w:pPr>
      <w:r>
        <w:rPr>
          <w:rFonts w:cs="Open Sans"/>
          <w:b/>
          <w:bCs/>
        </w:rPr>
        <w:br w:type="page"/>
      </w:r>
    </w:p>
    <w:p w14:paraId="00006977" w14:textId="5629F782" w:rsidR="00CE08DC" w:rsidRDefault="00CE08DC" w:rsidP="008B0EFC">
      <w:pPr>
        <w:keepNext/>
        <w:rPr>
          <w:rFonts w:cs="Open Sans"/>
          <w:b/>
          <w:bCs/>
        </w:rPr>
      </w:pPr>
      <w:r>
        <w:rPr>
          <w:rFonts w:cs="Open Sans"/>
          <w:b/>
          <w:bCs/>
        </w:rPr>
        <w:lastRenderedPageBreak/>
        <w:t>Human rights considerations</w:t>
      </w:r>
    </w:p>
    <w:p w14:paraId="38C774CB" w14:textId="77777777" w:rsidR="00F37CC4" w:rsidRDefault="00F37CC4" w:rsidP="00F37CC4">
      <w:pPr>
        <w:rPr>
          <w:rFonts w:cs="Open Sans"/>
        </w:rPr>
      </w:pPr>
      <w:r>
        <w:rPr>
          <w:rFonts w:cs="Open Sans"/>
        </w:rPr>
        <w:t>The hospital appears to have made assumptions about Genevieve’s ability to adhere to physical distancing protocols on the basis of her disability.</w:t>
      </w:r>
    </w:p>
    <w:p w14:paraId="3D73DDB5" w14:textId="317A6FF2" w:rsidR="002969EB" w:rsidRDefault="002969EB" w:rsidP="00277237">
      <w:pPr>
        <w:rPr>
          <w:rFonts w:cs="Open Sans"/>
        </w:rPr>
      </w:pPr>
      <w:r w:rsidRPr="006F456B">
        <w:rPr>
          <w:rFonts w:cs="Open Sans"/>
        </w:rPr>
        <w:t xml:space="preserve">Genevieve has the right to be </w:t>
      </w:r>
      <w:r>
        <w:rPr>
          <w:rFonts w:cs="Open Sans"/>
        </w:rPr>
        <w:t xml:space="preserve">treated without discrimination </w:t>
      </w:r>
      <w:r w:rsidR="006B642F">
        <w:rPr>
          <w:rFonts w:cs="Open Sans"/>
        </w:rPr>
        <w:t>based on</w:t>
      </w:r>
      <w:r>
        <w:rPr>
          <w:rFonts w:cs="Open Sans"/>
        </w:rPr>
        <w:t xml:space="preserve"> her disability.</w:t>
      </w:r>
      <w:r w:rsidR="00C60F7B">
        <w:rPr>
          <w:rStyle w:val="EndnoteReference"/>
          <w:rFonts w:cs="Open Sans"/>
        </w:rPr>
        <w:endnoteReference w:id="71"/>
      </w:r>
      <w:r w:rsidR="007C3F1F">
        <w:rPr>
          <w:rFonts w:cs="Open Sans"/>
        </w:rPr>
        <w:t xml:space="preserve"> </w:t>
      </w:r>
      <w:r w:rsidR="001A7457">
        <w:rPr>
          <w:rFonts w:cs="Open Sans"/>
        </w:rPr>
        <w:t>Genevieve has a right to</w:t>
      </w:r>
      <w:r w:rsidR="00816A28">
        <w:rPr>
          <w:rFonts w:cs="Open Sans"/>
        </w:rPr>
        <w:t xml:space="preserve"> the</w:t>
      </w:r>
      <w:r w:rsidR="001A7457">
        <w:rPr>
          <w:rFonts w:cs="Open Sans"/>
        </w:rPr>
        <w:t xml:space="preserve"> highest attainable standard of health.</w:t>
      </w:r>
      <w:r w:rsidR="004C5957">
        <w:rPr>
          <w:rStyle w:val="EndnoteReference"/>
          <w:rFonts w:cs="Open Sans"/>
        </w:rPr>
        <w:endnoteReference w:id="72"/>
      </w:r>
      <w:r w:rsidR="001A3542">
        <w:rPr>
          <w:rFonts w:cs="Open Sans"/>
        </w:rPr>
        <w:t xml:space="preserve"> This includes ‘health-related rehabilitation’ and </w:t>
      </w:r>
      <w:r w:rsidR="0088503D">
        <w:rPr>
          <w:rFonts w:cs="Open Sans"/>
        </w:rPr>
        <w:t>health services designed to ‘mi</w:t>
      </w:r>
      <w:r w:rsidR="00150A2C">
        <w:rPr>
          <w:rFonts w:cs="Open Sans"/>
        </w:rPr>
        <w:t>nimize and prevent further disabilities</w:t>
      </w:r>
      <w:r w:rsidR="00A95F6A">
        <w:rPr>
          <w:rFonts w:cs="Open Sans"/>
        </w:rPr>
        <w:t>’</w:t>
      </w:r>
      <w:r w:rsidR="00150A2C">
        <w:rPr>
          <w:rFonts w:cs="Open Sans"/>
        </w:rPr>
        <w:t>.</w:t>
      </w:r>
      <w:r w:rsidR="00150A2C">
        <w:rPr>
          <w:rStyle w:val="EndnoteReference"/>
          <w:rFonts w:cs="Open Sans"/>
        </w:rPr>
        <w:endnoteReference w:id="73"/>
      </w:r>
      <w:r w:rsidR="00AF2625">
        <w:rPr>
          <w:rFonts w:cs="Open Sans"/>
        </w:rPr>
        <w:t xml:space="preserve"> </w:t>
      </w:r>
    </w:p>
    <w:p w14:paraId="43805D65" w14:textId="0DDA359D" w:rsidR="00F37CC4" w:rsidRDefault="002D2098" w:rsidP="008B0EFC">
      <w:pPr>
        <w:keepNext/>
        <w:rPr>
          <w:rFonts w:cs="Open Sans"/>
          <w:b/>
          <w:bCs/>
        </w:rPr>
      </w:pPr>
      <w:r w:rsidRPr="006F456B">
        <w:rPr>
          <w:rFonts w:cs="Open Sans"/>
          <w:b/>
          <w:bCs/>
        </w:rPr>
        <w:t>Realising rights in practice</w:t>
      </w:r>
    </w:p>
    <w:p w14:paraId="07479058" w14:textId="40CC2B0C" w:rsidR="002D2098" w:rsidRDefault="00CC7671" w:rsidP="00277237">
      <w:pPr>
        <w:rPr>
          <w:rFonts w:cs="Open Sans"/>
        </w:rPr>
      </w:pPr>
      <w:r>
        <w:rPr>
          <w:rFonts w:cs="Open Sans"/>
        </w:rPr>
        <w:t xml:space="preserve">When a hospital puts in place </w:t>
      </w:r>
      <w:r w:rsidR="00493350">
        <w:rPr>
          <w:rFonts w:cs="Open Sans"/>
        </w:rPr>
        <w:t xml:space="preserve">a </w:t>
      </w:r>
      <w:r w:rsidR="002B400B">
        <w:rPr>
          <w:rFonts w:cs="Open Sans"/>
        </w:rPr>
        <w:t xml:space="preserve">discharge policy designed to minimise in-hospital </w:t>
      </w:r>
      <w:r w:rsidR="00967E6C">
        <w:rPr>
          <w:rFonts w:cs="Open Sans"/>
        </w:rPr>
        <w:t>disease transmission</w:t>
      </w:r>
      <w:r w:rsidR="00A2562F">
        <w:rPr>
          <w:rFonts w:cs="Open Sans"/>
        </w:rPr>
        <w:t>,</w:t>
      </w:r>
      <w:r w:rsidR="00967E6C">
        <w:rPr>
          <w:rFonts w:cs="Open Sans"/>
        </w:rPr>
        <w:t xml:space="preserve"> the following steps </w:t>
      </w:r>
      <w:r w:rsidR="00A726E3">
        <w:rPr>
          <w:rFonts w:cs="Open Sans"/>
        </w:rPr>
        <w:t xml:space="preserve">may </w:t>
      </w:r>
      <w:r w:rsidR="00967E6C">
        <w:rPr>
          <w:rFonts w:cs="Open Sans"/>
        </w:rPr>
        <w:t xml:space="preserve">assist in </w:t>
      </w:r>
      <w:r w:rsidR="002133C1">
        <w:rPr>
          <w:rFonts w:cs="Open Sans"/>
        </w:rPr>
        <w:t>ensuring the rights of people with disability are protected:</w:t>
      </w:r>
    </w:p>
    <w:p w14:paraId="7DC2CFEB" w14:textId="4098FE75" w:rsidR="002133C1" w:rsidRDefault="003E3818" w:rsidP="005F3738">
      <w:pPr>
        <w:pStyle w:val="ListParagraph"/>
        <w:numPr>
          <w:ilvl w:val="0"/>
          <w:numId w:val="20"/>
        </w:numPr>
        <w:rPr>
          <w:rFonts w:cs="Open Sans"/>
        </w:rPr>
      </w:pPr>
      <w:r>
        <w:rPr>
          <w:rFonts w:cs="Open Sans"/>
        </w:rPr>
        <w:t xml:space="preserve">clearly articulating </w:t>
      </w:r>
      <w:r w:rsidR="00E44F6C">
        <w:rPr>
          <w:rFonts w:cs="Open Sans"/>
        </w:rPr>
        <w:t xml:space="preserve">within the policy </w:t>
      </w:r>
      <w:r>
        <w:rPr>
          <w:rFonts w:cs="Open Sans"/>
        </w:rPr>
        <w:t xml:space="preserve">that </w:t>
      </w:r>
      <w:r w:rsidR="00922E93">
        <w:rPr>
          <w:rFonts w:cs="Open Sans"/>
        </w:rPr>
        <w:t>the decision to discharge should</w:t>
      </w:r>
      <w:r w:rsidR="00E44F6C">
        <w:rPr>
          <w:rFonts w:cs="Open Sans"/>
        </w:rPr>
        <w:t>:</w:t>
      </w:r>
    </w:p>
    <w:p w14:paraId="05990004" w14:textId="3129A8B6" w:rsidR="00E44F6C" w:rsidRDefault="00772D61" w:rsidP="005F3738">
      <w:pPr>
        <w:pStyle w:val="ListParagraph"/>
        <w:numPr>
          <w:ilvl w:val="1"/>
          <w:numId w:val="20"/>
        </w:numPr>
        <w:rPr>
          <w:rFonts w:cs="Open Sans"/>
        </w:rPr>
      </w:pPr>
      <w:r>
        <w:rPr>
          <w:rFonts w:cs="Open Sans"/>
        </w:rPr>
        <w:t xml:space="preserve">be </w:t>
      </w:r>
      <w:r w:rsidR="00E44F6C">
        <w:rPr>
          <w:rFonts w:cs="Open Sans"/>
        </w:rPr>
        <w:t>clinically based</w:t>
      </w:r>
    </w:p>
    <w:p w14:paraId="7FB3B6E2" w14:textId="1C31926F" w:rsidR="00E44F6C" w:rsidRDefault="00784E39" w:rsidP="005F3738">
      <w:pPr>
        <w:pStyle w:val="ListParagraph"/>
        <w:numPr>
          <w:ilvl w:val="1"/>
          <w:numId w:val="20"/>
        </w:numPr>
        <w:rPr>
          <w:rFonts w:cs="Open Sans"/>
        </w:rPr>
      </w:pPr>
      <w:r>
        <w:rPr>
          <w:rFonts w:cs="Open Sans"/>
        </w:rPr>
        <w:t xml:space="preserve">include an assessment of </w:t>
      </w:r>
      <w:r w:rsidR="005B5947">
        <w:rPr>
          <w:rFonts w:cs="Open Sans"/>
        </w:rPr>
        <w:t xml:space="preserve">the </w:t>
      </w:r>
      <w:r>
        <w:rPr>
          <w:rFonts w:cs="Open Sans"/>
        </w:rPr>
        <w:t>physical and mental health</w:t>
      </w:r>
      <w:r w:rsidR="005B5947">
        <w:rPr>
          <w:rFonts w:cs="Open Sans"/>
        </w:rPr>
        <w:t xml:space="preserve"> of the individual patient</w:t>
      </w:r>
    </w:p>
    <w:p w14:paraId="3FEA3CF6" w14:textId="4F50337C" w:rsidR="00784E39" w:rsidRDefault="0066292A" w:rsidP="005F3738">
      <w:pPr>
        <w:pStyle w:val="ListParagraph"/>
        <w:numPr>
          <w:ilvl w:val="1"/>
          <w:numId w:val="20"/>
        </w:numPr>
        <w:rPr>
          <w:rFonts w:cs="Open Sans"/>
        </w:rPr>
      </w:pPr>
      <w:r>
        <w:rPr>
          <w:rFonts w:cs="Open Sans"/>
        </w:rPr>
        <w:t xml:space="preserve">require </w:t>
      </w:r>
      <w:r w:rsidR="00A00B60">
        <w:rPr>
          <w:rFonts w:cs="Open Sans"/>
        </w:rPr>
        <w:t>dual sign-off</w:t>
      </w:r>
      <w:r w:rsidR="000B7D77">
        <w:rPr>
          <w:rFonts w:cs="Open Sans"/>
        </w:rPr>
        <w:t>,</w:t>
      </w:r>
      <w:r w:rsidR="00A00B60">
        <w:rPr>
          <w:rFonts w:cs="Open Sans"/>
        </w:rPr>
        <w:t xml:space="preserve"> by two senior doctors</w:t>
      </w:r>
    </w:p>
    <w:p w14:paraId="26BC3DB1" w14:textId="05C92A6E" w:rsidR="005B5947" w:rsidRPr="00AB6AF0" w:rsidRDefault="005B5947" w:rsidP="005F3738">
      <w:pPr>
        <w:pStyle w:val="ListParagraph"/>
        <w:numPr>
          <w:ilvl w:val="0"/>
          <w:numId w:val="20"/>
        </w:numPr>
        <w:rPr>
          <w:rFonts w:cs="Open Sans"/>
        </w:rPr>
      </w:pPr>
      <w:r>
        <w:rPr>
          <w:rFonts w:cs="Open Sans"/>
        </w:rPr>
        <w:t>where a decision is reached to discharge</w:t>
      </w:r>
      <w:r w:rsidR="00290C44">
        <w:rPr>
          <w:rFonts w:cs="Open Sans"/>
        </w:rPr>
        <w:t xml:space="preserve"> a person with disability, the </w:t>
      </w:r>
      <w:r w:rsidR="000B7966">
        <w:rPr>
          <w:rFonts w:cs="Open Sans"/>
        </w:rPr>
        <w:t>discharge process should include confirmation of at</w:t>
      </w:r>
      <w:r w:rsidR="001579A2">
        <w:rPr>
          <w:rFonts w:cs="Open Sans"/>
        </w:rPr>
        <w:t>-</w:t>
      </w:r>
      <w:r w:rsidR="000B7966">
        <w:rPr>
          <w:rFonts w:cs="Open Sans"/>
        </w:rPr>
        <w:t>home supports and a follow-up plan.</w:t>
      </w:r>
      <w:r w:rsidR="007D6C49">
        <w:rPr>
          <w:rFonts w:cs="Open Sans"/>
        </w:rPr>
        <w:t xml:space="preserve"> Where consent is provided this should include </w:t>
      </w:r>
      <w:r w:rsidR="00D51233">
        <w:rPr>
          <w:rFonts w:cs="Open Sans"/>
        </w:rPr>
        <w:t xml:space="preserve">direct </w:t>
      </w:r>
      <w:r w:rsidR="002166F5">
        <w:rPr>
          <w:rFonts w:cs="Open Sans"/>
        </w:rPr>
        <w:t>communication</w:t>
      </w:r>
      <w:r w:rsidR="00D51233">
        <w:rPr>
          <w:rFonts w:cs="Open Sans"/>
        </w:rPr>
        <w:t xml:space="preserve"> </w:t>
      </w:r>
      <w:r w:rsidR="00232170">
        <w:rPr>
          <w:rFonts w:cs="Open Sans"/>
        </w:rPr>
        <w:t>between the hospital and</w:t>
      </w:r>
      <w:r w:rsidR="00D51233">
        <w:rPr>
          <w:rFonts w:cs="Open Sans"/>
        </w:rPr>
        <w:t xml:space="preserve"> support </w:t>
      </w:r>
      <w:r w:rsidR="00471923">
        <w:rPr>
          <w:rFonts w:cs="Open Sans"/>
        </w:rPr>
        <w:t>persons</w:t>
      </w:r>
      <w:r w:rsidR="00D51233">
        <w:rPr>
          <w:rFonts w:cs="Open Sans"/>
        </w:rPr>
        <w:t>.</w:t>
      </w:r>
    </w:p>
    <w:p w14:paraId="5E51E331" w14:textId="0AF042AF" w:rsidR="00716D48" w:rsidRPr="00A67A4F" w:rsidRDefault="00716D48" w:rsidP="00906BD6">
      <w:pPr>
        <w:pStyle w:val="Heading2"/>
      </w:pPr>
      <w:bookmarkStart w:id="68" w:name="_Toc46679151"/>
      <w:r>
        <w:t xml:space="preserve">Limited </w:t>
      </w:r>
      <w:r w:rsidR="00CD013A">
        <w:t>r</w:t>
      </w:r>
      <w:r>
        <w:t>esources</w:t>
      </w:r>
      <w:bookmarkEnd w:id="68"/>
    </w:p>
    <w:p w14:paraId="30854DD7" w14:textId="116D6DEB" w:rsidR="001106D3" w:rsidRDefault="00D67E10" w:rsidP="00D444D0">
      <w:pPr>
        <w:rPr>
          <w:rFonts w:cs="Open Sans"/>
        </w:rPr>
      </w:pPr>
      <w:r>
        <w:rPr>
          <w:rFonts w:cs="Open Sans"/>
        </w:rPr>
        <w:t>Ken</w:t>
      </w:r>
      <w:r w:rsidR="00970633">
        <w:rPr>
          <w:rFonts w:cs="Open Sans"/>
        </w:rPr>
        <w:t>ji</w:t>
      </w:r>
      <w:r w:rsidR="00BE7403">
        <w:rPr>
          <w:rFonts w:cs="Open Sans"/>
        </w:rPr>
        <w:t xml:space="preserve"> has </w:t>
      </w:r>
      <w:r w:rsidR="00D12AEE">
        <w:rPr>
          <w:rFonts w:cs="Open Sans"/>
        </w:rPr>
        <w:t>COVID-19 and has been in hospital</w:t>
      </w:r>
      <w:r w:rsidR="00C601B2">
        <w:rPr>
          <w:rFonts w:cs="Open Sans"/>
        </w:rPr>
        <w:t xml:space="preserve"> in r</w:t>
      </w:r>
      <w:r w:rsidR="00255FD3">
        <w:rPr>
          <w:rFonts w:cs="Open Sans"/>
        </w:rPr>
        <w:t>egional</w:t>
      </w:r>
      <w:r w:rsidR="00C601B2">
        <w:rPr>
          <w:rFonts w:cs="Open Sans"/>
        </w:rPr>
        <w:t xml:space="preserve"> Australia</w:t>
      </w:r>
      <w:r w:rsidR="00D12AEE">
        <w:rPr>
          <w:rFonts w:cs="Open Sans"/>
        </w:rPr>
        <w:t xml:space="preserve"> for ten days. Overnight </w:t>
      </w:r>
      <w:r w:rsidR="005918F5">
        <w:rPr>
          <w:rFonts w:cs="Open Sans"/>
        </w:rPr>
        <w:t>h</w:t>
      </w:r>
      <w:r w:rsidR="00AC3A9C">
        <w:rPr>
          <w:rFonts w:cs="Open Sans"/>
        </w:rPr>
        <w:t xml:space="preserve">is condition </w:t>
      </w:r>
      <w:r w:rsidR="00406D9B">
        <w:rPr>
          <w:rFonts w:cs="Open Sans"/>
        </w:rPr>
        <w:t xml:space="preserve">has </w:t>
      </w:r>
      <w:r w:rsidR="00AC3A9C">
        <w:rPr>
          <w:rFonts w:cs="Open Sans"/>
        </w:rPr>
        <w:t>worsened</w:t>
      </w:r>
      <w:r w:rsidR="00CE3C34">
        <w:rPr>
          <w:rFonts w:cs="Open Sans"/>
        </w:rPr>
        <w:t xml:space="preserve"> and he has been moved into one</w:t>
      </w:r>
      <w:r w:rsidR="00970633">
        <w:rPr>
          <w:rFonts w:cs="Open Sans"/>
        </w:rPr>
        <w:t xml:space="preserve"> of the</w:t>
      </w:r>
      <w:r w:rsidR="00125932">
        <w:rPr>
          <w:rFonts w:cs="Open Sans"/>
        </w:rPr>
        <w:t xml:space="preserve"> hospital’s</w:t>
      </w:r>
      <w:r w:rsidR="00970633">
        <w:rPr>
          <w:rFonts w:cs="Open Sans"/>
        </w:rPr>
        <w:t xml:space="preserve"> ten intensive care beds</w:t>
      </w:r>
      <w:r w:rsidR="00AC3A9C">
        <w:rPr>
          <w:rFonts w:cs="Open Sans"/>
        </w:rPr>
        <w:t xml:space="preserve">. </w:t>
      </w:r>
      <w:r w:rsidR="00970633">
        <w:rPr>
          <w:rFonts w:cs="Open Sans"/>
        </w:rPr>
        <w:t>Kenji</w:t>
      </w:r>
      <w:r w:rsidR="00AC3A9C">
        <w:rPr>
          <w:rFonts w:cs="Open Sans"/>
        </w:rPr>
        <w:t xml:space="preserve"> is 12 years old and has Down </w:t>
      </w:r>
      <w:r w:rsidR="00406D9B">
        <w:rPr>
          <w:rFonts w:cs="Open Sans"/>
        </w:rPr>
        <w:t>s</w:t>
      </w:r>
      <w:r w:rsidR="00AC3A9C">
        <w:rPr>
          <w:rFonts w:cs="Open Sans"/>
        </w:rPr>
        <w:t xml:space="preserve">yndrome. </w:t>
      </w:r>
    </w:p>
    <w:p w14:paraId="6717BCFD" w14:textId="4C4E5040" w:rsidR="00C326FF" w:rsidRDefault="00E531C8" w:rsidP="00D444D0">
      <w:pPr>
        <w:rPr>
          <w:rFonts w:cs="Open Sans"/>
        </w:rPr>
      </w:pPr>
      <w:r>
        <w:rPr>
          <w:rFonts w:cs="Open Sans"/>
        </w:rPr>
        <w:t xml:space="preserve">After two days in </w:t>
      </w:r>
      <w:r w:rsidR="000851F3">
        <w:rPr>
          <w:rFonts w:cs="Open Sans"/>
        </w:rPr>
        <w:t xml:space="preserve">the intensive care unit </w:t>
      </w:r>
      <w:r w:rsidR="001B1324">
        <w:rPr>
          <w:rFonts w:cs="Open Sans"/>
        </w:rPr>
        <w:t>(ICU)</w:t>
      </w:r>
      <w:r w:rsidR="00A2562F">
        <w:rPr>
          <w:rFonts w:cs="Open Sans"/>
        </w:rPr>
        <w:t>,</w:t>
      </w:r>
      <w:r w:rsidR="00654F7A">
        <w:rPr>
          <w:rFonts w:cs="Open Sans"/>
        </w:rPr>
        <w:t xml:space="preserve"> </w:t>
      </w:r>
      <w:r w:rsidR="000851F3">
        <w:rPr>
          <w:rFonts w:cs="Open Sans"/>
        </w:rPr>
        <w:t>Kenji</w:t>
      </w:r>
      <w:r w:rsidR="00665ED7">
        <w:rPr>
          <w:rFonts w:cs="Open Sans"/>
        </w:rPr>
        <w:t>’s condition</w:t>
      </w:r>
      <w:r w:rsidR="000851F3">
        <w:rPr>
          <w:rFonts w:cs="Open Sans"/>
        </w:rPr>
        <w:t xml:space="preserve"> has continued to decline</w:t>
      </w:r>
      <w:r w:rsidR="00665ED7">
        <w:rPr>
          <w:rFonts w:cs="Open Sans"/>
        </w:rPr>
        <w:t xml:space="preserve"> and it is likely he will require </w:t>
      </w:r>
      <w:r w:rsidR="006C5870">
        <w:rPr>
          <w:rFonts w:cs="Open Sans"/>
        </w:rPr>
        <w:t>ventilation</w:t>
      </w:r>
      <w:r w:rsidR="000851F3">
        <w:rPr>
          <w:rFonts w:cs="Open Sans"/>
        </w:rPr>
        <w:t>. The hospital has three ventilators</w:t>
      </w:r>
      <w:r w:rsidR="006C5870">
        <w:rPr>
          <w:rFonts w:cs="Open Sans"/>
        </w:rPr>
        <w:t xml:space="preserve">, with two already in use. </w:t>
      </w:r>
      <w:r w:rsidR="00E375EF">
        <w:rPr>
          <w:rFonts w:cs="Open Sans"/>
        </w:rPr>
        <w:t>In addition to Kenji</w:t>
      </w:r>
      <w:r w:rsidR="00A2562F">
        <w:rPr>
          <w:rFonts w:cs="Open Sans"/>
        </w:rPr>
        <w:t>,</w:t>
      </w:r>
      <w:r w:rsidR="00E375EF">
        <w:rPr>
          <w:rFonts w:cs="Open Sans"/>
        </w:rPr>
        <w:t xml:space="preserve"> </w:t>
      </w:r>
      <w:r w:rsidR="001B1324">
        <w:rPr>
          <w:rFonts w:cs="Open Sans"/>
        </w:rPr>
        <w:t xml:space="preserve">there are two other children </w:t>
      </w:r>
      <w:r w:rsidR="00A31A7A">
        <w:rPr>
          <w:rFonts w:cs="Open Sans"/>
        </w:rPr>
        <w:t xml:space="preserve">in ICU who are also likely to require ventilation if they deteriorate any further. </w:t>
      </w:r>
    </w:p>
    <w:p w14:paraId="7B44E22B" w14:textId="4E4B39BB" w:rsidR="00CC41A5" w:rsidRDefault="00CC41A5" w:rsidP="00D444D0">
      <w:pPr>
        <w:rPr>
          <w:rFonts w:cs="Open Sans"/>
        </w:rPr>
      </w:pPr>
      <w:r w:rsidRPr="007309C2">
        <w:rPr>
          <w:rFonts w:cs="Open Sans"/>
        </w:rPr>
        <w:t xml:space="preserve">In anticipation of </w:t>
      </w:r>
      <w:r w:rsidR="00EC2BB9" w:rsidRPr="007309C2">
        <w:rPr>
          <w:rFonts w:cs="Open Sans"/>
        </w:rPr>
        <w:t xml:space="preserve">having to allocate the last ventilator the hospital’s two most senior </w:t>
      </w:r>
      <w:r w:rsidR="004321CB" w:rsidRPr="007309C2">
        <w:rPr>
          <w:rFonts w:cs="Open Sans"/>
        </w:rPr>
        <w:t xml:space="preserve">intensive care specialists </w:t>
      </w:r>
      <w:r w:rsidR="00EC2BB9" w:rsidRPr="007309C2">
        <w:rPr>
          <w:rFonts w:cs="Open Sans"/>
        </w:rPr>
        <w:t xml:space="preserve">meet to discuss </w:t>
      </w:r>
      <w:r w:rsidR="00260A2F" w:rsidRPr="007309C2">
        <w:rPr>
          <w:rFonts w:cs="Open Sans"/>
        </w:rPr>
        <w:t xml:space="preserve">prioritisation. </w:t>
      </w:r>
      <w:r w:rsidR="00566C70" w:rsidRPr="007309C2">
        <w:rPr>
          <w:rFonts w:cs="Open Sans"/>
        </w:rPr>
        <w:t xml:space="preserve">All patients are </w:t>
      </w:r>
      <w:r w:rsidR="00564C0F" w:rsidRPr="007309C2">
        <w:rPr>
          <w:rFonts w:cs="Open Sans"/>
        </w:rPr>
        <w:t>a similar age</w:t>
      </w:r>
      <w:r w:rsidR="00566C70" w:rsidRPr="007309C2">
        <w:rPr>
          <w:rFonts w:cs="Open Sans"/>
        </w:rPr>
        <w:t>.</w:t>
      </w:r>
      <w:r w:rsidR="007412B9" w:rsidRPr="007309C2">
        <w:rPr>
          <w:rFonts w:cs="Open Sans"/>
        </w:rPr>
        <w:t xml:space="preserve"> </w:t>
      </w:r>
      <w:r w:rsidR="00A63FA0" w:rsidRPr="007309C2">
        <w:rPr>
          <w:rFonts w:cs="Open Sans"/>
        </w:rPr>
        <w:t>Kenji receives a lower priorit</w:t>
      </w:r>
      <w:r w:rsidR="00406D9B" w:rsidRPr="007309C2">
        <w:rPr>
          <w:rFonts w:cs="Open Sans"/>
        </w:rPr>
        <w:t>y</w:t>
      </w:r>
      <w:r w:rsidR="00D70F88" w:rsidRPr="007309C2">
        <w:rPr>
          <w:rFonts w:cs="Open Sans"/>
        </w:rPr>
        <w:t xml:space="preserve"> </w:t>
      </w:r>
      <w:r w:rsidR="00471F5B">
        <w:rPr>
          <w:rFonts w:cs="Open Sans"/>
        </w:rPr>
        <w:t xml:space="preserve">than the other two patients </w:t>
      </w:r>
      <w:r w:rsidR="00D70F88" w:rsidRPr="007309C2">
        <w:rPr>
          <w:rFonts w:cs="Open Sans"/>
        </w:rPr>
        <w:t>in relation to access to a ventilator</w:t>
      </w:r>
      <w:r w:rsidR="001916CE" w:rsidRPr="007309C2">
        <w:rPr>
          <w:rFonts w:cs="Open Sans"/>
        </w:rPr>
        <w:t>.</w:t>
      </w:r>
    </w:p>
    <w:p w14:paraId="6F533B5D" w14:textId="3A0B6E24" w:rsidR="001916CE" w:rsidRDefault="001916CE" w:rsidP="00E26C0E">
      <w:pPr>
        <w:keepNext/>
        <w:rPr>
          <w:rFonts w:cs="Open Sans"/>
          <w:b/>
          <w:bCs/>
        </w:rPr>
      </w:pPr>
      <w:r>
        <w:rPr>
          <w:rFonts w:cs="Open Sans"/>
          <w:b/>
          <w:bCs/>
        </w:rPr>
        <w:lastRenderedPageBreak/>
        <w:t>Human right</w:t>
      </w:r>
      <w:r w:rsidR="00F46025">
        <w:rPr>
          <w:rFonts w:cs="Open Sans"/>
          <w:b/>
          <w:bCs/>
        </w:rPr>
        <w:t>s</w:t>
      </w:r>
      <w:r>
        <w:rPr>
          <w:rFonts w:cs="Open Sans"/>
          <w:b/>
          <w:bCs/>
        </w:rPr>
        <w:t xml:space="preserve"> considerations</w:t>
      </w:r>
    </w:p>
    <w:p w14:paraId="0CE1D9F3" w14:textId="254686E1" w:rsidR="00CA07AA" w:rsidRDefault="007309C2" w:rsidP="00D444D0">
      <w:pPr>
        <w:rPr>
          <w:rFonts w:cs="Open Sans"/>
        </w:rPr>
      </w:pPr>
      <w:r>
        <w:rPr>
          <w:rFonts w:cs="Open Sans"/>
        </w:rPr>
        <w:t>Kenji’s family are concerned that the specialists have made an assumption</w:t>
      </w:r>
      <w:r w:rsidR="00CA07AA">
        <w:rPr>
          <w:rFonts w:cs="Open Sans"/>
        </w:rPr>
        <w:t xml:space="preserve"> about </w:t>
      </w:r>
      <w:r w:rsidR="00B4078B">
        <w:rPr>
          <w:rFonts w:cs="Open Sans"/>
        </w:rPr>
        <w:t xml:space="preserve">Kenji’s </w:t>
      </w:r>
      <w:r w:rsidR="00016283">
        <w:rPr>
          <w:rFonts w:cs="Open Sans"/>
        </w:rPr>
        <w:t xml:space="preserve">likelihood of </w:t>
      </w:r>
      <w:r w:rsidR="007E6C38">
        <w:rPr>
          <w:rFonts w:cs="Open Sans"/>
        </w:rPr>
        <w:t xml:space="preserve">surviving </w:t>
      </w:r>
      <w:r w:rsidR="0054424E">
        <w:rPr>
          <w:rFonts w:cs="Open Sans"/>
        </w:rPr>
        <w:t xml:space="preserve">ventilation based on </w:t>
      </w:r>
      <w:r w:rsidR="00883B57">
        <w:rPr>
          <w:rFonts w:cs="Open Sans"/>
        </w:rPr>
        <w:t xml:space="preserve">his Down </w:t>
      </w:r>
      <w:r w:rsidR="009C4E8C">
        <w:rPr>
          <w:rFonts w:cs="Open Sans"/>
        </w:rPr>
        <w:t>s</w:t>
      </w:r>
      <w:r w:rsidR="00883B57">
        <w:rPr>
          <w:rFonts w:cs="Open Sans"/>
        </w:rPr>
        <w:t>yndrome diagnosis.</w:t>
      </w:r>
    </w:p>
    <w:p w14:paraId="11F580B1" w14:textId="4027049B" w:rsidR="003F242E" w:rsidRDefault="003F242E" w:rsidP="00D444D0">
      <w:pPr>
        <w:rPr>
          <w:rFonts w:cs="Open Sans"/>
        </w:rPr>
      </w:pPr>
      <w:r>
        <w:rPr>
          <w:rFonts w:cs="Open Sans"/>
        </w:rPr>
        <w:t xml:space="preserve">Kenji has the right to be treated without discrimination </w:t>
      </w:r>
      <w:r w:rsidR="006B642F">
        <w:rPr>
          <w:rFonts w:cs="Open Sans"/>
        </w:rPr>
        <w:t>based on</w:t>
      </w:r>
      <w:r>
        <w:rPr>
          <w:rFonts w:cs="Open Sans"/>
        </w:rPr>
        <w:t xml:space="preserve"> his disability.</w:t>
      </w:r>
      <w:r>
        <w:rPr>
          <w:rStyle w:val="EndnoteReference"/>
          <w:rFonts w:cs="Open Sans"/>
        </w:rPr>
        <w:endnoteReference w:id="74"/>
      </w:r>
      <w:r w:rsidR="00FA3BA8">
        <w:rPr>
          <w:rFonts w:cs="Open Sans"/>
        </w:rPr>
        <w:t xml:space="preserve"> </w:t>
      </w:r>
      <w:r w:rsidR="004E5132">
        <w:rPr>
          <w:rFonts w:cs="Open Sans"/>
        </w:rPr>
        <w:t>Kenji also has the right to the highest attainable standard of health</w:t>
      </w:r>
      <w:r w:rsidR="009A67EF">
        <w:rPr>
          <w:rFonts w:cs="Open Sans"/>
        </w:rPr>
        <w:t>,</w:t>
      </w:r>
      <w:r w:rsidR="004E5132">
        <w:rPr>
          <w:rStyle w:val="EndnoteReference"/>
          <w:rFonts w:cs="Open Sans"/>
        </w:rPr>
        <w:endnoteReference w:id="75"/>
      </w:r>
      <w:r w:rsidR="004E5132">
        <w:rPr>
          <w:rFonts w:cs="Open Sans"/>
        </w:rPr>
        <w:t xml:space="preserve"> and most importantly the right to life.</w:t>
      </w:r>
      <w:r w:rsidR="009A67EF">
        <w:rPr>
          <w:rStyle w:val="EndnoteReference"/>
          <w:rFonts w:cs="Open Sans"/>
        </w:rPr>
        <w:endnoteReference w:id="76"/>
      </w:r>
      <w:r w:rsidR="00A21C29">
        <w:rPr>
          <w:rFonts w:cs="Open Sans"/>
        </w:rPr>
        <w:t xml:space="preserve"> Kenji has a right</w:t>
      </w:r>
      <w:r w:rsidR="0089124B">
        <w:rPr>
          <w:rFonts w:cs="Open Sans"/>
        </w:rPr>
        <w:t xml:space="preserve"> to the effective enjoyment of life ‘on an equal basis with others</w:t>
      </w:r>
      <w:r w:rsidR="0019099A">
        <w:rPr>
          <w:rFonts w:cs="Open Sans"/>
        </w:rPr>
        <w:t>’</w:t>
      </w:r>
      <w:r w:rsidR="0089124B">
        <w:rPr>
          <w:rFonts w:cs="Open Sans"/>
        </w:rPr>
        <w:t>.</w:t>
      </w:r>
      <w:r w:rsidR="0089124B">
        <w:rPr>
          <w:rStyle w:val="EndnoteReference"/>
          <w:rFonts w:cs="Open Sans"/>
        </w:rPr>
        <w:endnoteReference w:id="77"/>
      </w:r>
      <w:r w:rsidR="0089124B">
        <w:rPr>
          <w:rFonts w:cs="Open Sans"/>
        </w:rPr>
        <w:t xml:space="preserve"> </w:t>
      </w:r>
      <w:r w:rsidR="00F93C98">
        <w:rPr>
          <w:rFonts w:cs="Open Sans"/>
        </w:rPr>
        <w:t xml:space="preserve">In addition, as a child, Kenji has a specific right to enjoy all of his human rights, including the right to life, on </w:t>
      </w:r>
      <w:r w:rsidR="008138CC">
        <w:rPr>
          <w:rFonts w:cs="Open Sans"/>
        </w:rPr>
        <w:t>‘an equal basis with other children’.</w:t>
      </w:r>
      <w:r w:rsidR="008138CC">
        <w:rPr>
          <w:rStyle w:val="EndnoteReference"/>
          <w:rFonts w:cs="Open Sans"/>
        </w:rPr>
        <w:endnoteReference w:id="78"/>
      </w:r>
    </w:p>
    <w:p w14:paraId="4A8A2386" w14:textId="0905BE3F" w:rsidR="00883B57" w:rsidRDefault="00883B57" w:rsidP="008524A4">
      <w:pPr>
        <w:keepNext/>
        <w:rPr>
          <w:rFonts w:cs="Open Sans"/>
          <w:b/>
          <w:bCs/>
        </w:rPr>
      </w:pPr>
      <w:r>
        <w:rPr>
          <w:rFonts w:cs="Open Sans"/>
          <w:b/>
          <w:bCs/>
        </w:rPr>
        <w:t>Realising rights in practice</w:t>
      </w:r>
    </w:p>
    <w:p w14:paraId="66297961" w14:textId="28A455C1" w:rsidR="00883B57" w:rsidRDefault="009A5F77" w:rsidP="00D444D0">
      <w:pPr>
        <w:rPr>
          <w:rFonts w:cs="Open Sans"/>
        </w:rPr>
      </w:pPr>
      <w:r>
        <w:rPr>
          <w:rFonts w:cs="Open Sans"/>
        </w:rPr>
        <w:t xml:space="preserve">When a hospital and its </w:t>
      </w:r>
      <w:r w:rsidR="00B13B12">
        <w:rPr>
          <w:rFonts w:cs="Open Sans"/>
        </w:rPr>
        <w:t>senior intensive care specialists</w:t>
      </w:r>
      <w:r>
        <w:rPr>
          <w:rFonts w:cs="Open Sans"/>
        </w:rPr>
        <w:t xml:space="preserve"> </w:t>
      </w:r>
      <w:r w:rsidR="001A42E9">
        <w:rPr>
          <w:rFonts w:cs="Open Sans"/>
        </w:rPr>
        <w:t>prioritise the provision of limited life</w:t>
      </w:r>
      <w:r w:rsidR="00B13B12">
        <w:rPr>
          <w:rFonts w:cs="Open Sans"/>
        </w:rPr>
        <w:t>-</w:t>
      </w:r>
      <w:r w:rsidR="001A42E9">
        <w:rPr>
          <w:rFonts w:cs="Open Sans"/>
        </w:rPr>
        <w:t xml:space="preserve">saving resources, like ventilators, the following steps </w:t>
      </w:r>
      <w:r w:rsidR="00AE72D2">
        <w:rPr>
          <w:rFonts w:cs="Open Sans"/>
        </w:rPr>
        <w:t>may</w:t>
      </w:r>
      <w:r w:rsidR="001A42E9">
        <w:rPr>
          <w:rFonts w:cs="Open Sans"/>
        </w:rPr>
        <w:t xml:space="preserve"> assist in ensuring the rights of people with disability are protected:</w:t>
      </w:r>
    </w:p>
    <w:p w14:paraId="23CB79DF" w14:textId="30EBA719" w:rsidR="00990B75" w:rsidRDefault="00AE72D2" w:rsidP="005F3738">
      <w:pPr>
        <w:pStyle w:val="ListParagraph"/>
        <w:numPr>
          <w:ilvl w:val="0"/>
          <w:numId w:val="21"/>
        </w:numPr>
        <w:rPr>
          <w:rFonts w:cs="Open Sans"/>
        </w:rPr>
      </w:pPr>
      <w:r>
        <w:rPr>
          <w:rFonts w:cs="Open Sans"/>
        </w:rPr>
        <w:t>c</w:t>
      </w:r>
      <w:r w:rsidR="00DB3DB9">
        <w:rPr>
          <w:rFonts w:cs="Open Sans"/>
        </w:rPr>
        <w:t xml:space="preserve">learly articulating within </w:t>
      </w:r>
      <w:r w:rsidR="073B51D2" w:rsidRPr="604CE693">
        <w:rPr>
          <w:rFonts w:cs="Open Sans"/>
        </w:rPr>
        <w:t>any applicable</w:t>
      </w:r>
      <w:r w:rsidR="00B1515D">
        <w:rPr>
          <w:rFonts w:cs="Open Sans"/>
        </w:rPr>
        <w:t xml:space="preserve"> policy </w:t>
      </w:r>
      <w:r w:rsidR="35EA20FD" w:rsidRPr="604CE693">
        <w:rPr>
          <w:rFonts w:cs="Open Sans"/>
        </w:rPr>
        <w:t xml:space="preserve">(including one derived from the ANZICS General Principles) </w:t>
      </w:r>
      <w:r w:rsidR="00B1515D">
        <w:rPr>
          <w:rFonts w:cs="Open Sans"/>
        </w:rPr>
        <w:t>that all decisions must</w:t>
      </w:r>
      <w:r w:rsidR="00990B75">
        <w:rPr>
          <w:rFonts w:cs="Open Sans"/>
        </w:rPr>
        <w:t>:</w:t>
      </w:r>
    </w:p>
    <w:p w14:paraId="0E7C8976" w14:textId="03A4C9C3" w:rsidR="001A42E9" w:rsidRDefault="00B1515D" w:rsidP="005F3738">
      <w:pPr>
        <w:pStyle w:val="ListParagraph"/>
        <w:numPr>
          <w:ilvl w:val="1"/>
          <w:numId w:val="21"/>
        </w:numPr>
        <w:rPr>
          <w:rFonts w:cs="Open Sans"/>
        </w:rPr>
      </w:pPr>
      <w:r>
        <w:rPr>
          <w:rFonts w:cs="Open Sans"/>
        </w:rPr>
        <w:t>be clinically based</w:t>
      </w:r>
    </w:p>
    <w:p w14:paraId="17EC8F40" w14:textId="286136C5" w:rsidR="00BA179F" w:rsidRDefault="00C97D6A" w:rsidP="005F3738">
      <w:pPr>
        <w:pStyle w:val="ListParagraph"/>
        <w:numPr>
          <w:ilvl w:val="1"/>
          <w:numId w:val="21"/>
        </w:numPr>
        <w:rPr>
          <w:rFonts w:cs="Open Sans"/>
        </w:rPr>
      </w:pPr>
      <w:r>
        <w:rPr>
          <w:rFonts w:cs="Open Sans"/>
        </w:rPr>
        <w:t>i</w:t>
      </w:r>
      <w:r w:rsidR="00BA179F">
        <w:rPr>
          <w:rFonts w:cs="Open Sans"/>
        </w:rPr>
        <w:t xml:space="preserve">nclude a medical assessment of the </w:t>
      </w:r>
      <w:r w:rsidR="00375CE7">
        <w:rPr>
          <w:rFonts w:cs="Open Sans"/>
        </w:rPr>
        <w:t>individual patient</w:t>
      </w:r>
    </w:p>
    <w:p w14:paraId="6D644736" w14:textId="437A9B0A" w:rsidR="33700C5E" w:rsidRDefault="33700C5E" w:rsidP="005F3738">
      <w:pPr>
        <w:pStyle w:val="ListParagraph"/>
        <w:numPr>
          <w:ilvl w:val="1"/>
          <w:numId w:val="21"/>
        </w:numPr>
      </w:pPr>
      <w:r w:rsidRPr="604CE693">
        <w:rPr>
          <w:rFonts w:cs="Open Sans"/>
        </w:rPr>
        <w:t xml:space="preserve">not be </w:t>
      </w:r>
      <w:r w:rsidR="0006113D">
        <w:rPr>
          <w:rFonts w:cs="Open Sans"/>
        </w:rPr>
        <w:t xml:space="preserve">based </w:t>
      </w:r>
      <w:r w:rsidRPr="604CE693">
        <w:rPr>
          <w:rFonts w:cs="Open Sans"/>
        </w:rPr>
        <w:t xml:space="preserve">on assumptions </w:t>
      </w:r>
      <w:r w:rsidR="00061F96">
        <w:rPr>
          <w:rFonts w:cs="Open Sans"/>
        </w:rPr>
        <w:t xml:space="preserve">about </w:t>
      </w:r>
      <w:r w:rsidRPr="604CE693">
        <w:rPr>
          <w:rFonts w:cs="Open Sans"/>
        </w:rPr>
        <w:t xml:space="preserve">the quality of a person’s life </w:t>
      </w:r>
      <w:r w:rsidR="00F52AA5">
        <w:rPr>
          <w:rFonts w:cs="Open Sans"/>
        </w:rPr>
        <w:t>after</w:t>
      </w:r>
      <w:r w:rsidRPr="604CE693">
        <w:rPr>
          <w:rFonts w:cs="Open Sans"/>
        </w:rPr>
        <w:t xml:space="preserve"> treatment</w:t>
      </w:r>
      <w:r w:rsidR="00B13B12">
        <w:rPr>
          <w:rFonts w:cs="Open Sans"/>
        </w:rPr>
        <w:t xml:space="preserve"> because of their disability </w:t>
      </w:r>
    </w:p>
    <w:p w14:paraId="77952EEB" w14:textId="7FF76DEB" w:rsidR="00E25EBE" w:rsidRDefault="00016317" w:rsidP="005F3738">
      <w:pPr>
        <w:pStyle w:val="ListParagraph"/>
        <w:numPr>
          <w:ilvl w:val="0"/>
          <w:numId w:val="21"/>
        </w:numPr>
        <w:rPr>
          <w:rFonts w:cs="Open Sans"/>
        </w:rPr>
      </w:pPr>
      <w:r>
        <w:rPr>
          <w:rFonts w:cs="Open Sans"/>
        </w:rPr>
        <w:t xml:space="preserve">providing for an independent review of </w:t>
      </w:r>
      <w:r w:rsidR="00061F96">
        <w:rPr>
          <w:rFonts w:cs="Open Sans"/>
        </w:rPr>
        <w:t xml:space="preserve">any </w:t>
      </w:r>
      <w:r w:rsidR="005E0D45">
        <w:rPr>
          <w:rFonts w:cs="Open Sans"/>
        </w:rPr>
        <w:t xml:space="preserve">decision </w:t>
      </w:r>
      <w:r w:rsidR="00061F96">
        <w:rPr>
          <w:rFonts w:cs="Open Sans"/>
        </w:rPr>
        <w:t xml:space="preserve">not </w:t>
      </w:r>
      <w:r w:rsidR="001E2345">
        <w:rPr>
          <w:rFonts w:cs="Open Sans"/>
        </w:rPr>
        <w:t xml:space="preserve">to allocate </w:t>
      </w:r>
      <w:r w:rsidR="004B785D">
        <w:rPr>
          <w:rFonts w:cs="Open Sans"/>
        </w:rPr>
        <w:t>lifesaving</w:t>
      </w:r>
      <w:r w:rsidR="001E2345">
        <w:rPr>
          <w:rFonts w:cs="Open Sans"/>
        </w:rPr>
        <w:t xml:space="preserve"> resources to a person with </w:t>
      </w:r>
      <w:r w:rsidR="00331BC4">
        <w:rPr>
          <w:rFonts w:cs="Open Sans"/>
        </w:rPr>
        <w:t>disability</w:t>
      </w:r>
      <w:r w:rsidR="00993DE6">
        <w:rPr>
          <w:rFonts w:cs="Open Sans"/>
        </w:rPr>
        <w:t xml:space="preserve"> or otherwise</w:t>
      </w:r>
    </w:p>
    <w:p w14:paraId="4FA24A48" w14:textId="323D2259" w:rsidR="00A726E3" w:rsidRPr="00AB6AF0" w:rsidRDefault="00E25EBE" w:rsidP="005F3738">
      <w:pPr>
        <w:pStyle w:val="ListParagraph"/>
        <w:numPr>
          <w:ilvl w:val="0"/>
          <w:numId w:val="21"/>
        </w:numPr>
        <w:rPr>
          <w:rFonts w:cs="Open Sans"/>
        </w:rPr>
      </w:pPr>
      <w:r>
        <w:rPr>
          <w:rFonts w:cs="Open Sans"/>
        </w:rPr>
        <w:t xml:space="preserve">providing </w:t>
      </w:r>
      <w:r w:rsidR="00F01ABC">
        <w:rPr>
          <w:rFonts w:cs="Open Sans"/>
        </w:rPr>
        <w:t xml:space="preserve">patients with </w:t>
      </w:r>
      <w:r>
        <w:rPr>
          <w:rFonts w:cs="Open Sans"/>
        </w:rPr>
        <w:t>access to an independent health advocate</w:t>
      </w:r>
      <w:r w:rsidR="00331BC4">
        <w:rPr>
          <w:rFonts w:cs="Open Sans"/>
        </w:rPr>
        <w:t>.</w:t>
      </w:r>
    </w:p>
    <w:p w14:paraId="136BA8EC" w14:textId="0B65589D" w:rsidR="00716D48" w:rsidRPr="00A67A4F" w:rsidRDefault="00801CA2" w:rsidP="00906BD6">
      <w:pPr>
        <w:pStyle w:val="Heading2"/>
      </w:pPr>
      <w:bookmarkStart w:id="69" w:name="_Toc41281468"/>
      <w:bookmarkStart w:id="70" w:name="_Toc39043201"/>
      <w:bookmarkStart w:id="71" w:name="_Toc39043202"/>
      <w:bookmarkStart w:id="72" w:name="_Toc39043203"/>
      <w:bookmarkStart w:id="73" w:name="_Toc46679152"/>
      <w:bookmarkEnd w:id="69"/>
      <w:bookmarkEnd w:id="70"/>
      <w:bookmarkEnd w:id="71"/>
      <w:bookmarkEnd w:id="72"/>
      <w:r>
        <w:t>‘</w:t>
      </w:r>
      <w:r w:rsidR="00716D48">
        <w:t xml:space="preserve">Do </w:t>
      </w:r>
      <w:r>
        <w:t>n</w:t>
      </w:r>
      <w:r w:rsidR="00716D48">
        <w:t xml:space="preserve">ot </w:t>
      </w:r>
      <w:r>
        <w:t>r</w:t>
      </w:r>
      <w:r w:rsidR="00716D48">
        <w:t>esuscitate</w:t>
      </w:r>
      <w:r>
        <w:t>’</w:t>
      </w:r>
      <w:r w:rsidR="00716D48">
        <w:t xml:space="preserve"> directions</w:t>
      </w:r>
      <w:bookmarkEnd w:id="73"/>
    </w:p>
    <w:p w14:paraId="71EC900E" w14:textId="07DF35FA" w:rsidR="00136B8E" w:rsidRDefault="00705C0B" w:rsidP="00906BD6">
      <w:pPr>
        <w:rPr>
          <w:rFonts w:cs="Open Sans"/>
        </w:rPr>
      </w:pPr>
      <w:r>
        <w:rPr>
          <w:rFonts w:cs="Open Sans"/>
        </w:rPr>
        <w:t>Sean lives in an aged care facility</w:t>
      </w:r>
      <w:r w:rsidR="00F91BAC">
        <w:rPr>
          <w:rFonts w:cs="Open Sans"/>
        </w:rPr>
        <w:t xml:space="preserve">. There has recently been an outbreak of COVID-19 </w:t>
      </w:r>
      <w:r w:rsidR="007B160B">
        <w:rPr>
          <w:rFonts w:cs="Open Sans"/>
        </w:rPr>
        <w:t xml:space="preserve">in another </w:t>
      </w:r>
      <w:r w:rsidR="0085642C">
        <w:rPr>
          <w:rFonts w:cs="Open Sans"/>
        </w:rPr>
        <w:t xml:space="preserve">facility owned by the same operator. The operator </w:t>
      </w:r>
      <w:r w:rsidR="001E2397">
        <w:rPr>
          <w:rFonts w:cs="Open Sans"/>
        </w:rPr>
        <w:t xml:space="preserve">has </w:t>
      </w:r>
      <w:r w:rsidR="00E65D6F">
        <w:rPr>
          <w:rFonts w:cs="Open Sans"/>
        </w:rPr>
        <w:t>asked</w:t>
      </w:r>
      <w:r w:rsidR="001E2397">
        <w:rPr>
          <w:rFonts w:cs="Open Sans"/>
        </w:rPr>
        <w:t xml:space="preserve"> all its facilities to support residents to ‘get their affairs in order’ including </w:t>
      </w:r>
      <w:r w:rsidR="00621D9D">
        <w:rPr>
          <w:rFonts w:cs="Open Sans"/>
        </w:rPr>
        <w:t xml:space="preserve">providing template </w:t>
      </w:r>
      <w:r w:rsidR="00CD1E08">
        <w:rPr>
          <w:rFonts w:cs="Open Sans"/>
        </w:rPr>
        <w:t>advance care directives which include ‘do not resuscitate’ directions</w:t>
      </w:r>
      <w:r w:rsidR="00A3658C">
        <w:rPr>
          <w:rFonts w:cs="Open Sans"/>
        </w:rPr>
        <w:t xml:space="preserve"> in the event of a COVID-19 outbreak at the facility</w:t>
      </w:r>
      <w:r w:rsidR="00CD1E08">
        <w:rPr>
          <w:rFonts w:cs="Open Sans"/>
        </w:rPr>
        <w:t>.</w:t>
      </w:r>
    </w:p>
    <w:p w14:paraId="7ABF2473" w14:textId="47A2F3EE" w:rsidR="00EA147B" w:rsidRDefault="00EA147B" w:rsidP="00906BD6">
      <w:pPr>
        <w:rPr>
          <w:rFonts w:cs="Open Sans"/>
        </w:rPr>
      </w:pPr>
      <w:r>
        <w:rPr>
          <w:rFonts w:cs="Open Sans"/>
        </w:rPr>
        <w:t xml:space="preserve">The operator has taken this step on the basis that most of </w:t>
      </w:r>
      <w:r w:rsidR="00A2562F">
        <w:rPr>
          <w:rFonts w:cs="Open Sans"/>
        </w:rPr>
        <w:t xml:space="preserve">the facility’s </w:t>
      </w:r>
      <w:r>
        <w:rPr>
          <w:rFonts w:cs="Open Sans"/>
        </w:rPr>
        <w:t xml:space="preserve">residents are near the end of their life and </w:t>
      </w:r>
      <w:r w:rsidR="007A32CB">
        <w:rPr>
          <w:rFonts w:cs="Open Sans"/>
        </w:rPr>
        <w:t xml:space="preserve">having a ‘do not resuscitate’ direction in place </w:t>
      </w:r>
      <w:r w:rsidR="00751410">
        <w:rPr>
          <w:rFonts w:cs="Open Sans"/>
        </w:rPr>
        <w:t xml:space="preserve">will </w:t>
      </w:r>
      <w:r w:rsidR="007A32CB">
        <w:rPr>
          <w:rFonts w:cs="Open Sans"/>
        </w:rPr>
        <w:t>allow them to avoid</w:t>
      </w:r>
      <w:r w:rsidR="000746AB">
        <w:rPr>
          <w:rFonts w:cs="Open Sans"/>
        </w:rPr>
        <w:t xml:space="preserve"> a traumatic medical intervention.</w:t>
      </w:r>
    </w:p>
    <w:p w14:paraId="2AF55FCA" w14:textId="56F30B8D" w:rsidR="0085642C" w:rsidRDefault="0085642C" w:rsidP="00906BD6">
      <w:pPr>
        <w:rPr>
          <w:rFonts w:cs="Open Sans"/>
        </w:rPr>
      </w:pPr>
      <w:r>
        <w:rPr>
          <w:rFonts w:cs="Open Sans"/>
        </w:rPr>
        <w:t xml:space="preserve">Sean </w:t>
      </w:r>
      <w:r w:rsidR="00715F1D">
        <w:rPr>
          <w:rFonts w:cs="Open Sans"/>
        </w:rPr>
        <w:t xml:space="preserve">has cerebral palsy and uses a wheelchair. </w:t>
      </w:r>
      <w:r w:rsidR="00342807">
        <w:rPr>
          <w:rFonts w:cs="Open Sans"/>
        </w:rPr>
        <w:t>He</w:t>
      </w:r>
      <w:r w:rsidR="009B3F0C">
        <w:rPr>
          <w:rFonts w:cs="Open Sans"/>
        </w:rPr>
        <w:t xml:space="preserve"> is </w:t>
      </w:r>
      <w:r w:rsidR="0008125C">
        <w:rPr>
          <w:rFonts w:cs="Open Sans"/>
        </w:rPr>
        <w:t>55</w:t>
      </w:r>
      <w:r w:rsidR="009B3F0C">
        <w:rPr>
          <w:rFonts w:cs="Open Sans"/>
        </w:rPr>
        <w:t xml:space="preserve"> years old.</w:t>
      </w:r>
    </w:p>
    <w:p w14:paraId="1C61F4DF" w14:textId="50D5BCFD" w:rsidR="00945B57" w:rsidRDefault="00945B57" w:rsidP="00906BD6">
      <w:pPr>
        <w:rPr>
          <w:rFonts w:cs="Open Sans"/>
        </w:rPr>
      </w:pPr>
      <w:r>
        <w:rPr>
          <w:rFonts w:cs="Open Sans"/>
        </w:rPr>
        <w:lastRenderedPageBreak/>
        <w:t xml:space="preserve">The manager of Sean’s facility has followed up with him </w:t>
      </w:r>
      <w:r w:rsidR="00A3658C">
        <w:rPr>
          <w:rFonts w:cs="Open Sans"/>
        </w:rPr>
        <w:t xml:space="preserve">twice to collect the signed form. Sean does not want to sign </w:t>
      </w:r>
      <w:r w:rsidR="009B3F0C">
        <w:rPr>
          <w:rFonts w:cs="Open Sans"/>
        </w:rPr>
        <w:t xml:space="preserve">the form and has </w:t>
      </w:r>
      <w:r w:rsidR="004D5C01">
        <w:rPr>
          <w:rFonts w:cs="Open Sans"/>
        </w:rPr>
        <w:t xml:space="preserve">made this clear to </w:t>
      </w:r>
      <w:r w:rsidR="00907A23">
        <w:rPr>
          <w:rFonts w:cs="Open Sans"/>
        </w:rPr>
        <w:t>the manager, but the manager continues to insist.</w:t>
      </w:r>
    </w:p>
    <w:p w14:paraId="759EA21C" w14:textId="736A645F" w:rsidR="004D5C01" w:rsidRPr="006F456B" w:rsidRDefault="004D5C01" w:rsidP="006B4D50">
      <w:pPr>
        <w:keepNext/>
        <w:rPr>
          <w:rFonts w:cs="Open Sans"/>
          <w:b/>
          <w:bCs/>
        </w:rPr>
      </w:pPr>
      <w:r w:rsidRPr="006F456B">
        <w:rPr>
          <w:rFonts w:cs="Open Sans"/>
          <w:b/>
          <w:bCs/>
        </w:rPr>
        <w:t>Human rights considerations</w:t>
      </w:r>
    </w:p>
    <w:p w14:paraId="2D4E328D" w14:textId="185A2775" w:rsidR="00A12F11" w:rsidRDefault="002537C9" w:rsidP="00906BD6">
      <w:pPr>
        <w:rPr>
          <w:rFonts w:cs="Open Sans"/>
        </w:rPr>
      </w:pPr>
      <w:r>
        <w:rPr>
          <w:rFonts w:cs="Open Sans"/>
        </w:rPr>
        <w:t xml:space="preserve">The </w:t>
      </w:r>
      <w:r w:rsidR="00E0568A">
        <w:rPr>
          <w:rFonts w:cs="Open Sans"/>
        </w:rPr>
        <w:t xml:space="preserve">manager </w:t>
      </w:r>
      <w:r>
        <w:rPr>
          <w:rFonts w:cs="Open Sans"/>
        </w:rPr>
        <w:t xml:space="preserve">of Sean’s facility appears to have made an assumption about </w:t>
      </w:r>
      <w:r w:rsidR="006E3E87">
        <w:rPr>
          <w:rFonts w:cs="Open Sans"/>
        </w:rPr>
        <w:t xml:space="preserve">his right to </w:t>
      </w:r>
      <w:r w:rsidR="00F82AD7">
        <w:rPr>
          <w:rFonts w:cs="Open Sans"/>
        </w:rPr>
        <w:t xml:space="preserve">life saving intervention </w:t>
      </w:r>
      <w:r w:rsidR="00A12F11">
        <w:rPr>
          <w:rFonts w:cs="Open Sans"/>
        </w:rPr>
        <w:t xml:space="preserve">based on his </w:t>
      </w:r>
      <w:r w:rsidR="002D406E">
        <w:rPr>
          <w:rFonts w:cs="Open Sans"/>
        </w:rPr>
        <w:t xml:space="preserve">residence at the facility, which is directly connected to his </w:t>
      </w:r>
      <w:r w:rsidR="00A12F11">
        <w:rPr>
          <w:rFonts w:cs="Open Sans"/>
        </w:rPr>
        <w:t>disability</w:t>
      </w:r>
      <w:r w:rsidR="002D406E">
        <w:rPr>
          <w:rFonts w:cs="Open Sans"/>
        </w:rPr>
        <w:t>.</w:t>
      </w:r>
      <w:r w:rsidR="001C61DC">
        <w:rPr>
          <w:rFonts w:cs="Open Sans"/>
        </w:rPr>
        <w:t xml:space="preserve"> </w:t>
      </w:r>
      <w:r w:rsidR="001D1B59">
        <w:rPr>
          <w:rFonts w:cs="Open Sans"/>
        </w:rPr>
        <w:t xml:space="preserve">The operator may </w:t>
      </w:r>
      <w:r w:rsidR="000C0607">
        <w:rPr>
          <w:rFonts w:cs="Open Sans"/>
        </w:rPr>
        <w:t xml:space="preserve">also </w:t>
      </w:r>
      <w:r w:rsidR="001D1B59">
        <w:rPr>
          <w:rFonts w:cs="Open Sans"/>
        </w:rPr>
        <w:t xml:space="preserve">have </w:t>
      </w:r>
      <w:r w:rsidR="00215C97">
        <w:rPr>
          <w:rFonts w:cs="Open Sans"/>
        </w:rPr>
        <w:t>made</w:t>
      </w:r>
      <w:r w:rsidR="000F306C">
        <w:rPr>
          <w:rFonts w:cs="Open Sans"/>
        </w:rPr>
        <w:t xml:space="preserve"> </w:t>
      </w:r>
      <w:r w:rsidR="00D4688C">
        <w:rPr>
          <w:rFonts w:cs="Open Sans"/>
        </w:rPr>
        <w:t>improper</w:t>
      </w:r>
      <w:r w:rsidR="00E81E92">
        <w:rPr>
          <w:rFonts w:cs="Open Sans"/>
        </w:rPr>
        <w:t xml:space="preserve"> </w:t>
      </w:r>
      <w:r w:rsidR="000F306C">
        <w:rPr>
          <w:rFonts w:cs="Open Sans"/>
        </w:rPr>
        <w:t xml:space="preserve">assumptions about </w:t>
      </w:r>
      <w:r w:rsidR="004D1028">
        <w:rPr>
          <w:rFonts w:cs="Open Sans"/>
        </w:rPr>
        <w:t xml:space="preserve">the </w:t>
      </w:r>
      <w:r w:rsidR="008A6957">
        <w:rPr>
          <w:rFonts w:cs="Open Sans"/>
        </w:rPr>
        <w:t xml:space="preserve">wishes of </w:t>
      </w:r>
      <w:r w:rsidR="000C0607">
        <w:rPr>
          <w:rFonts w:cs="Open Sans"/>
        </w:rPr>
        <w:t xml:space="preserve">the </w:t>
      </w:r>
      <w:r w:rsidR="000F306C">
        <w:rPr>
          <w:rFonts w:cs="Open Sans"/>
        </w:rPr>
        <w:t xml:space="preserve">residents as a whole, in </w:t>
      </w:r>
      <w:r w:rsidR="000C0607">
        <w:rPr>
          <w:rFonts w:cs="Open Sans"/>
        </w:rPr>
        <w:t xml:space="preserve">the way in which </w:t>
      </w:r>
      <w:r w:rsidR="004A2594">
        <w:rPr>
          <w:rFonts w:cs="Open Sans"/>
        </w:rPr>
        <w:t>‘</w:t>
      </w:r>
      <w:r w:rsidR="6E54426C" w:rsidRPr="3D18C4C4">
        <w:rPr>
          <w:rFonts w:cs="Open Sans"/>
        </w:rPr>
        <w:t>d</w:t>
      </w:r>
      <w:r w:rsidR="004A2594" w:rsidRPr="3D18C4C4">
        <w:rPr>
          <w:rFonts w:cs="Open Sans"/>
        </w:rPr>
        <w:t>o</w:t>
      </w:r>
      <w:r w:rsidR="004A2594">
        <w:rPr>
          <w:rFonts w:cs="Open Sans"/>
        </w:rPr>
        <w:t xml:space="preserve"> not resuscitate’ directions</w:t>
      </w:r>
      <w:r w:rsidR="000C0607">
        <w:rPr>
          <w:rFonts w:cs="Open Sans"/>
        </w:rPr>
        <w:t xml:space="preserve"> have been solicited</w:t>
      </w:r>
      <w:r w:rsidR="004A2594">
        <w:rPr>
          <w:rFonts w:cs="Open Sans"/>
        </w:rPr>
        <w:t xml:space="preserve">. </w:t>
      </w:r>
      <w:r w:rsidR="001C61DC">
        <w:rPr>
          <w:rFonts w:cs="Open Sans"/>
        </w:rPr>
        <w:t xml:space="preserve">Aside from </w:t>
      </w:r>
      <w:r w:rsidR="00EC4F68">
        <w:rPr>
          <w:rFonts w:cs="Open Sans"/>
        </w:rPr>
        <w:t xml:space="preserve">any </w:t>
      </w:r>
      <w:r w:rsidR="00A8730C">
        <w:rPr>
          <w:rFonts w:cs="Open Sans"/>
        </w:rPr>
        <w:t xml:space="preserve">breaches of </w:t>
      </w:r>
      <w:r w:rsidR="001C61DC">
        <w:rPr>
          <w:rFonts w:cs="Open Sans"/>
        </w:rPr>
        <w:t xml:space="preserve">professional conduct </w:t>
      </w:r>
      <w:r w:rsidR="005A2775">
        <w:rPr>
          <w:rFonts w:cs="Open Sans"/>
        </w:rPr>
        <w:t xml:space="preserve">rules </w:t>
      </w:r>
      <w:r w:rsidR="00A8730C">
        <w:rPr>
          <w:rFonts w:cs="Open Sans"/>
        </w:rPr>
        <w:t xml:space="preserve">or </w:t>
      </w:r>
      <w:r w:rsidR="003553DE">
        <w:rPr>
          <w:rFonts w:cs="Open Sans"/>
        </w:rPr>
        <w:t>legal regulations</w:t>
      </w:r>
      <w:r w:rsidR="00EC4F68">
        <w:rPr>
          <w:rFonts w:cs="Open Sans"/>
        </w:rPr>
        <w:t xml:space="preserve"> that may apply to the </w:t>
      </w:r>
      <w:r w:rsidR="004A2594">
        <w:rPr>
          <w:rFonts w:cs="Open Sans"/>
        </w:rPr>
        <w:t xml:space="preserve">conduct of the </w:t>
      </w:r>
      <w:r w:rsidR="00E0568A">
        <w:rPr>
          <w:rFonts w:cs="Open Sans"/>
        </w:rPr>
        <w:t xml:space="preserve">manager or the </w:t>
      </w:r>
      <w:r w:rsidR="00EC4F68">
        <w:rPr>
          <w:rFonts w:cs="Open Sans"/>
        </w:rPr>
        <w:t>operator,</w:t>
      </w:r>
      <w:r w:rsidR="000B142E">
        <w:rPr>
          <w:rFonts w:cs="Open Sans"/>
        </w:rPr>
        <w:t xml:space="preserve"> </w:t>
      </w:r>
      <w:r w:rsidR="004E0DF9">
        <w:rPr>
          <w:rFonts w:cs="Open Sans"/>
        </w:rPr>
        <w:t xml:space="preserve">the manager’s conduct </w:t>
      </w:r>
      <w:r w:rsidR="001C61DC">
        <w:rPr>
          <w:rFonts w:cs="Open Sans"/>
        </w:rPr>
        <w:t>is potentially a breach of Sean’s human rights.</w:t>
      </w:r>
    </w:p>
    <w:p w14:paraId="76690F8B" w14:textId="55A87EBB" w:rsidR="002537C9" w:rsidRDefault="00886876" w:rsidP="00906BD6">
      <w:pPr>
        <w:rPr>
          <w:rFonts w:cs="Open Sans"/>
        </w:rPr>
      </w:pPr>
      <w:r>
        <w:rPr>
          <w:rFonts w:cs="Open Sans"/>
        </w:rPr>
        <w:t xml:space="preserve">Sean has the right to be treated without discrimination </w:t>
      </w:r>
      <w:r w:rsidR="00F72F4B">
        <w:rPr>
          <w:rFonts w:cs="Open Sans"/>
        </w:rPr>
        <w:t xml:space="preserve">based </w:t>
      </w:r>
      <w:r>
        <w:rPr>
          <w:rFonts w:cs="Open Sans"/>
        </w:rPr>
        <w:t>o</w:t>
      </w:r>
      <w:r w:rsidR="00F72F4B">
        <w:rPr>
          <w:rFonts w:cs="Open Sans"/>
        </w:rPr>
        <w:t>n</w:t>
      </w:r>
      <w:r>
        <w:rPr>
          <w:rFonts w:cs="Open Sans"/>
        </w:rPr>
        <w:t xml:space="preserve"> his disability.</w:t>
      </w:r>
      <w:r>
        <w:rPr>
          <w:rStyle w:val="EndnoteReference"/>
          <w:rFonts w:cs="Open Sans"/>
        </w:rPr>
        <w:endnoteReference w:id="79"/>
      </w:r>
      <w:r>
        <w:rPr>
          <w:rFonts w:cs="Open Sans"/>
        </w:rPr>
        <w:t xml:space="preserve"> Sean also has the right to the highest attainable standard of health,</w:t>
      </w:r>
      <w:r>
        <w:rPr>
          <w:rStyle w:val="EndnoteReference"/>
          <w:rFonts w:cs="Open Sans"/>
        </w:rPr>
        <w:endnoteReference w:id="80"/>
      </w:r>
      <w:r>
        <w:rPr>
          <w:rFonts w:cs="Open Sans"/>
        </w:rPr>
        <w:t xml:space="preserve"> and most importantly the right to life.</w:t>
      </w:r>
      <w:r>
        <w:rPr>
          <w:rStyle w:val="EndnoteReference"/>
          <w:rFonts w:cs="Open Sans"/>
        </w:rPr>
        <w:endnoteReference w:id="81"/>
      </w:r>
      <w:r>
        <w:rPr>
          <w:rFonts w:cs="Open Sans"/>
        </w:rPr>
        <w:t xml:space="preserve"> </w:t>
      </w:r>
      <w:r w:rsidR="00E72B2C">
        <w:rPr>
          <w:rFonts w:cs="Open Sans"/>
        </w:rPr>
        <w:t>Sean</w:t>
      </w:r>
      <w:r>
        <w:rPr>
          <w:rFonts w:cs="Open Sans"/>
        </w:rPr>
        <w:t xml:space="preserve"> has a right to the effective enjoyment of life ‘on an equal basis with others</w:t>
      </w:r>
      <w:r w:rsidR="009F024A">
        <w:rPr>
          <w:rFonts w:cs="Open Sans"/>
        </w:rPr>
        <w:t>’</w:t>
      </w:r>
      <w:r>
        <w:rPr>
          <w:rFonts w:cs="Open Sans"/>
        </w:rPr>
        <w:t>.</w:t>
      </w:r>
      <w:r w:rsidR="00113B1A">
        <w:rPr>
          <w:rStyle w:val="EndnoteReference"/>
          <w:rFonts w:cs="Open Sans"/>
        </w:rPr>
        <w:endnoteReference w:id="82"/>
      </w:r>
      <w:r w:rsidR="00995DC7">
        <w:rPr>
          <w:rFonts w:cs="Open Sans"/>
        </w:rPr>
        <w:t xml:space="preserve"> </w:t>
      </w:r>
      <w:r w:rsidR="00CD64B3">
        <w:rPr>
          <w:rFonts w:cs="Open Sans"/>
        </w:rPr>
        <w:t>A key part of Sean</w:t>
      </w:r>
      <w:r w:rsidR="00A2562F">
        <w:rPr>
          <w:rFonts w:cs="Open Sans"/>
        </w:rPr>
        <w:t>’s</w:t>
      </w:r>
      <w:r w:rsidR="00CD64B3">
        <w:rPr>
          <w:rFonts w:cs="Open Sans"/>
        </w:rPr>
        <w:t xml:space="preserve"> being able to realise all of these rights is his right to be able to exercise his legal capacity without</w:t>
      </w:r>
      <w:r w:rsidR="00C73875">
        <w:rPr>
          <w:rFonts w:cs="Open Sans"/>
        </w:rPr>
        <w:t xml:space="preserve"> ‘undue influence’</w:t>
      </w:r>
      <w:r w:rsidR="003A164B">
        <w:rPr>
          <w:rFonts w:cs="Open Sans"/>
        </w:rPr>
        <w:t xml:space="preserve"> and </w:t>
      </w:r>
      <w:r w:rsidR="00D319C4">
        <w:rPr>
          <w:rFonts w:cs="Open Sans"/>
        </w:rPr>
        <w:t>with appropriate communication support</w:t>
      </w:r>
      <w:r w:rsidR="00B95D04">
        <w:rPr>
          <w:rFonts w:cs="Open Sans"/>
        </w:rPr>
        <w:t>.</w:t>
      </w:r>
      <w:r w:rsidR="00C73875">
        <w:rPr>
          <w:rStyle w:val="EndnoteReference"/>
          <w:rFonts w:cs="Open Sans"/>
        </w:rPr>
        <w:endnoteReference w:id="83"/>
      </w:r>
      <w:r w:rsidR="0061053C">
        <w:rPr>
          <w:rFonts w:cs="Open Sans"/>
        </w:rPr>
        <w:t xml:space="preserve"> If Sean needs support in exercising his legal capacity he has a right to access that support.</w:t>
      </w:r>
      <w:r w:rsidR="0061053C">
        <w:rPr>
          <w:rStyle w:val="EndnoteReference"/>
          <w:rFonts w:cs="Open Sans"/>
        </w:rPr>
        <w:endnoteReference w:id="84"/>
      </w:r>
    </w:p>
    <w:p w14:paraId="24E61E79" w14:textId="1F48BF58" w:rsidR="009022E6" w:rsidRDefault="00342807" w:rsidP="00EA0F30">
      <w:pPr>
        <w:keepNext/>
        <w:rPr>
          <w:rFonts w:cs="Open Sans"/>
          <w:b/>
          <w:bCs/>
        </w:rPr>
      </w:pPr>
      <w:r>
        <w:rPr>
          <w:rFonts w:cs="Open Sans"/>
          <w:b/>
          <w:bCs/>
        </w:rPr>
        <w:t>Realising rights in practice</w:t>
      </w:r>
    </w:p>
    <w:p w14:paraId="5604AE38" w14:textId="0FA6EF72" w:rsidR="001C0F2D" w:rsidRDefault="00C46ECD" w:rsidP="001C0F2D">
      <w:pPr>
        <w:rPr>
          <w:rFonts w:cs="Open Sans"/>
        </w:rPr>
      </w:pPr>
      <w:r>
        <w:rPr>
          <w:rFonts w:cs="Open Sans"/>
        </w:rPr>
        <w:t xml:space="preserve">Providing residents with a </w:t>
      </w:r>
      <w:r w:rsidR="00BC5AB8">
        <w:rPr>
          <w:rFonts w:cs="Open Sans"/>
        </w:rPr>
        <w:t>pre-</w:t>
      </w:r>
      <w:r w:rsidR="00575560">
        <w:rPr>
          <w:rFonts w:cs="Open Sans"/>
        </w:rPr>
        <w:t>prepared</w:t>
      </w:r>
      <w:r w:rsidR="00215C97">
        <w:rPr>
          <w:rFonts w:cs="Open Sans"/>
        </w:rPr>
        <w:t xml:space="preserve"> </w:t>
      </w:r>
      <w:r w:rsidR="00E51BB4">
        <w:rPr>
          <w:rFonts w:cs="Open Sans"/>
        </w:rPr>
        <w:t>treatment</w:t>
      </w:r>
      <w:r>
        <w:rPr>
          <w:rFonts w:cs="Open Sans"/>
        </w:rPr>
        <w:t xml:space="preserve"> direction </w:t>
      </w:r>
      <w:r w:rsidR="00E51BB4">
        <w:rPr>
          <w:rFonts w:cs="Open Sans"/>
        </w:rPr>
        <w:t xml:space="preserve">of any type </w:t>
      </w:r>
      <w:r>
        <w:rPr>
          <w:rFonts w:cs="Open Sans"/>
        </w:rPr>
        <w:t xml:space="preserve">and asking </w:t>
      </w:r>
      <w:r w:rsidR="00DF13C2">
        <w:rPr>
          <w:rFonts w:cs="Open Sans"/>
        </w:rPr>
        <w:t>them to sign</w:t>
      </w:r>
      <w:r w:rsidR="0031427E">
        <w:rPr>
          <w:rFonts w:cs="Open Sans"/>
        </w:rPr>
        <w:t xml:space="preserve"> it</w:t>
      </w:r>
      <w:r w:rsidR="00DF13C2">
        <w:rPr>
          <w:rFonts w:cs="Open Sans"/>
        </w:rPr>
        <w:t xml:space="preserve"> is likely to raise a presumption of undue influence</w:t>
      </w:r>
      <w:r w:rsidR="007859DF">
        <w:rPr>
          <w:rFonts w:cs="Open Sans"/>
        </w:rPr>
        <w:t>.</w:t>
      </w:r>
    </w:p>
    <w:p w14:paraId="662B5F52" w14:textId="20532F51" w:rsidR="00AD45B0" w:rsidRDefault="007859DF" w:rsidP="00644673">
      <w:pPr>
        <w:rPr>
          <w:rFonts w:cs="Open Sans"/>
        </w:rPr>
      </w:pPr>
      <w:r>
        <w:rPr>
          <w:rFonts w:cs="Open Sans"/>
        </w:rPr>
        <w:t xml:space="preserve">To </w:t>
      </w:r>
      <w:r w:rsidR="00E77DD9">
        <w:rPr>
          <w:rFonts w:cs="Open Sans"/>
        </w:rPr>
        <w:t>support the protection of the rights of people with disability</w:t>
      </w:r>
      <w:r w:rsidR="00531104">
        <w:rPr>
          <w:rFonts w:cs="Open Sans"/>
        </w:rPr>
        <w:t>, and others,</w:t>
      </w:r>
      <w:r w:rsidR="00E77DD9">
        <w:rPr>
          <w:rFonts w:cs="Open Sans"/>
        </w:rPr>
        <w:t xml:space="preserve"> in </w:t>
      </w:r>
      <w:r w:rsidR="00C077F8">
        <w:rPr>
          <w:rFonts w:cs="Open Sans"/>
        </w:rPr>
        <w:t xml:space="preserve">a residential care setting it should be clear in the operator’s policies that </w:t>
      </w:r>
      <w:r w:rsidR="001742F7">
        <w:rPr>
          <w:rFonts w:cs="Open Sans"/>
        </w:rPr>
        <w:t xml:space="preserve">residents </w:t>
      </w:r>
      <w:r w:rsidR="00165FEF">
        <w:rPr>
          <w:rFonts w:cs="Open Sans"/>
        </w:rPr>
        <w:t xml:space="preserve">should </w:t>
      </w:r>
      <w:r w:rsidR="00E32EF6">
        <w:rPr>
          <w:rFonts w:cs="Open Sans"/>
        </w:rPr>
        <w:t xml:space="preserve">not </w:t>
      </w:r>
      <w:r w:rsidR="00165FEF">
        <w:rPr>
          <w:rFonts w:cs="Open Sans"/>
        </w:rPr>
        <w:t xml:space="preserve">be </w:t>
      </w:r>
      <w:r w:rsidR="00E32EF6">
        <w:rPr>
          <w:rFonts w:cs="Open Sans"/>
        </w:rPr>
        <w:t xml:space="preserve">asked to sign any documentation without </w:t>
      </w:r>
      <w:r w:rsidR="008F5EBC">
        <w:rPr>
          <w:rFonts w:cs="Open Sans"/>
        </w:rPr>
        <w:t>access to an independent advocate</w:t>
      </w:r>
      <w:r w:rsidR="00CE14CD">
        <w:rPr>
          <w:rFonts w:cs="Open Sans"/>
        </w:rPr>
        <w:t xml:space="preserve"> w</w:t>
      </w:r>
      <w:r w:rsidR="00CE6DD9">
        <w:rPr>
          <w:rFonts w:cs="Open Sans"/>
        </w:rPr>
        <w:t>ho can</w:t>
      </w:r>
      <w:r w:rsidR="00CE14CD">
        <w:rPr>
          <w:rFonts w:cs="Open Sans"/>
        </w:rPr>
        <w:t xml:space="preserve"> </w:t>
      </w:r>
      <w:r w:rsidR="005B35E6">
        <w:rPr>
          <w:rFonts w:cs="Open Sans"/>
        </w:rPr>
        <w:t>communicat</w:t>
      </w:r>
      <w:r w:rsidR="00CE6DD9">
        <w:rPr>
          <w:rFonts w:cs="Open Sans"/>
        </w:rPr>
        <w:t>e in an accessible manner</w:t>
      </w:r>
      <w:r w:rsidR="00DE5F6C">
        <w:rPr>
          <w:rFonts w:cs="Open Sans"/>
        </w:rPr>
        <w:t xml:space="preserve"> and support the</w:t>
      </w:r>
      <w:r w:rsidR="002A7AA9">
        <w:rPr>
          <w:rFonts w:cs="Open Sans"/>
        </w:rPr>
        <w:t>m</w:t>
      </w:r>
      <w:r w:rsidR="00DE5F6C">
        <w:rPr>
          <w:rFonts w:cs="Open Sans"/>
        </w:rPr>
        <w:t xml:space="preserve"> in making </w:t>
      </w:r>
      <w:r w:rsidR="004756F5">
        <w:rPr>
          <w:rFonts w:cs="Open Sans"/>
        </w:rPr>
        <w:t xml:space="preserve">a </w:t>
      </w:r>
      <w:r w:rsidR="00DE5F6C">
        <w:rPr>
          <w:rFonts w:cs="Open Sans"/>
        </w:rPr>
        <w:t>decision</w:t>
      </w:r>
      <w:r w:rsidR="008F5EBC">
        <w:rPr>
          <w:rFonts w:cs="Open Sans"/>
        </w:rPr>
        <w:t>.</w:t>
      </w:r>
    </w:p>
    <w:p w14:paraId="324B0BFF" w14:textId="77777777" w:rsidR="00AD45B0" w:rsidRDefault="00AD45B0">
      <w:pPr>
        <w:keepLines w:val="0"/>
        <w:spacing w:before="0" w:after="0"/>
        <w:rPr>
          <w:rFonts w:cs="Open Sans"/>
        </w:rPr>
      </w:pPr>
      <w:r>
        <w:rPr>
          <w:rFonts w:cs="Open Sans"/>
        </w:rPr>
        <w:br w:type="page"/>
      </w:r>
    </w:p>
    <w:p w14:paraId="076BD814" w14:textId="5CBA7001" w:rsidR="00A346A9" w:rsidRDefault="004466C0" w:rsidP="00702011">
      <w:pPr>
        <w:pStyle w:val="Heading1"/>
        <w:spacing w:after="360"/>
      </w:pPr>
      <w:bookmarkStart w:id="74" w:name="_Toc46679153"/>
      <w:r>
        <w:lastRenderedPageBreak/>
        <w:t>Additional resources</w:t>
      </w:r>
      <w:bookmarkEnd w:id="7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744A6B" w14:paraId="33488198" w14:textId="77777777" w:rsidTr="001A3E64">
        <w:tc>
          <w:tcPr>
            <w:tcW w:w="9016" w:type="dxa"/>
            <w:shd w:val="clear" w:color="auto" w:fill="FFFFFF" w:themeFill="background1"/>
          </w:tcPr>
          <w:p w14:paraId="605DC203" w14:textId="6147A923" w:rsidR="00744A6B" w:rsidRPr="0073427E" w:rsidRDefault="00744A6B" w:rsidP="00744A6B">
            <w:pPr>
              <w:rPr>
                <w:rFonts w:cs="Open Sans"/>
                <w:b/>
                <w:bCs/>
              </w:rPr>
            </w:pPr>
            <w:r>
              <w:rPr>
                <w:rFonts w:cs="Open Sans"/>
                <w:b/>
                <w:bCs/>
              </w:rPr>
              <w:t>Information about COVID-19</w:t>
            </w:r>
          </w:p>
          <w:p w14:paraId="07AF2C53" w14:textId="17DBA536" w:rsidR="00744A6B" w:rsidRDefault="00744A6B" w:rsidP="00744A6B">
            <w:pPr>
              <w:rPr>
                <w:rFonts w:cs="Open Sans"/>
              </w:rPr>
            </w:pPr>
            <w:r>
              <w:rPr>
                <w:rFonts w:cs="Open Sans"/>
              </w:rPr>
              <w:t>For additional information and resources relating to the impact of COVID-19 on people with disability please refer to the dedicated webpages of the following agencies and organisations:</w:t>
            </w:r>
          </w:p>
          <w:p w14:paraId="664424A5" w14:textId="7E6D3B63" w:rsidR="00744A6B" w:rsidRDefault="001A3E64" w:rsidP="00744A6B">
            <w:pPr>
              <w:pStyle w:val="ListParagraph"/>
              <w:numPr>
                <w:ilvl w:val="0"/>
                <w:numId w:val="28"/>
              </w:numPr>
              <w:rPr>
                <w:rFonts w:cs="Open Sans"/>
              </w:rPr>
            </w:pPr>
            <w:hyperlink r:id="rId19" w:history="1">
              <w:r w:rsidR="00744A6B" w:rsidRPr="001E2F09">
                <w:rPr>
                  <w:rStyle w:val="Hyperlink"/>
                  <w:rFonts w:cs="Open Sans"/>
                </w:rPr>
                <w:t>Department of Health</w:t>
              </w:r>
            </w:hyperlink>
            <w:r w:rsidR="00744A6B">
              <w:rPr>
                <w:rStyle w:val="EndnoteReference"/>
                <w:rFonts w:cs="Open Sans"/>
              </w:rPr>
              <w:endnoteReference w:id="85"/>
            </w:r>
          </w:p>
          <w:p w14:paraId="5F3ECC7E" w14:textId="627F9909" w:rsidR="00744A6B" w:rsidRDefault="001A3E64" w:rsidP="00744A6B">
            <w:pPr>
              <w:pStyle w:val="ListParagraph"/>
              <w:numPr>
                <w:ilvl w:val="0"/>
                <w:numId w:val="28"/>
              </w:numPr>
              <w:rPr>
                <w:rFonts w:cs="Open Sans"/>
              </w:rPr>
            </w:pPr>
            <w:hyperlink r:id="rId20" w:history="1">
              <w:r w:rsidR="003E21DA" w:rsidRPr="003E21DA">
                <w:rPr>
                  <w:rStyle w:val="Hyperlink"/>
                  <w:rFonts w:cs="Open Sans"/>
                </w:rPr>
                <w:t xml:space="preserve">Department </w:t>
              </w:r>
              <w:r w:rsidR="00744A6B" w:rsidRPr="003E21DA">
                <w:rPr>
                  <w:rStyle w:val="Hyperlink"/>
                  <w:rFonts w:cs="Open Sans"/>
                </w:rPr>
                <w:t>of</w:t>
              </w:r>
              <w:r w:rsidR="003E21DA" w:rsidRPr="003E21DA">
                <w:rPr>
                  <w:rStyle w:val="Hyperlink"/>
                  <w:rFonts w:cs="Open Sans"/>
                </w:rPr>
                <w:t xml:space="preserve"> Social</w:t>
              </w:r>
              <w:r w:rsidR="00744A6B" w:rsidRPr="003E21DA">
                <w:rPr>
                  <w:rStyle w:val="Hyperlink"/>
                  <w:rFonts w:cs="Open Sans"/>
                </w:rPr>
                <w:t xml:space="preserve"> Services</w:t>
              </w:r>
            </w:hyperlink>
            <w:r w:rsidR="00744A6B">
              <w:rPr>
                <w:rStyle w:val="EndnoteReference"/>
                <w:rFonts w:cs="Open Sans"/>
              </w:rPr>
              <w:endnoteReference w:id="86"/>
            </w:r>
          </w:p>
          <w:p w14:paraId="0737F5F6" w14:textId="0496E7D5" w:rsidR="00744A6B" w:rsidRDefault="001A3E64" w:rsidP="00744A6B">
            <w:pPr>
              <w:pStyle w:val="ListParagraph"/>
              <w:numPr>
                <w:ilvl w:val="0"/>
                <w:numId w:val="28"/>
              </w:numPr>
              <w:rPr>
                <w:rFonts w:cs="Open Sans"/>
              </w:rPr>
            </w:pPr>
            <w:hyperlink r:id="rId21" w:history="1">
              <w:r w:rsidR="00744A6B" w:rsidRPr="00F46042">
                <w:rPr>
                  <w:rStyle w:val="Hyperlink"/>
                </w:rPr>
                <w:t>Australian</w:t>
              </w:r>
              <w:r w:rsidR="00744A6B" w:rsidRPr="00C13692">
                <w:rPr>
                  <w:rStyle w:val="Hyperlink"/>
                  <w:rFonts w:cs="Open Sans"/>
                </w:rPr>
                <w:t xml:space="preserve"> Human Rights Commission</w:t>
              </w:r>
            </w:hyperlink>
            <w:r w:rsidR="00744A6B">
              <w:rPr>
                <w:rStyle w:val="EndnoteReference"/>
                <w:rFonts w:cs="Open Sans"/>
              </w:rPr>
              <w:endnoteReference w:id="87"/>
            </w:r>
          </w:p>
          <w:p w14:paraId="078182B3" w14:textId="5D42C376" w:rsidR="005F574C" w:rsidRDefault="001A3E64" w:rsidP="0073427E">
            <w:pPr>
              <w:pStyle w:val="ListParagraph"/>
              <w:numPr>
                <w:ilvl w:val="0"/>
                <w:numId w:val="28"/>
              </w:numPr>
              <w:rPr>
                <w:rFonts w:cs="Open Sans"/>
              </w:rPr>
            </w:pPr>
            <w:hyperlink r:id="rId22" w:history="1">
              <w:r w:rsidR="00744A6B" w:rsidRPr="00692378">
                <w:rPr>
                  <w:rStyle w:val="Hyperlink"/>
                  <w:rFonts w:cs="Open Sans"/>
                </w:rPr>
                <w:t>Ideas</w:t>
              </w:r>
            </w:hyperlink>
            <w:r w:rsidR="00744A6B">
              <w:rPr>
                <w:rStyle w:val="EndnoteReference"/>
                <w:rFonts w:cs="Open Sans"/>
              </w:rPr>
              <w:endnoteReference w:id="88"/>
            </w:r>
          </w:p>
          <w:p w14:paraId="7275FBC4" w14:textId="308DADD7" w:rsidR="00744A6B" w:rsidRPr="0073427E" w:rsidRDefault="001A3E64" w:rsidP="0073427E">
            <w:pPr>
              <w:pStyle w:val="ListParagraph"/>
              <w:numPr>
                <w:ilvl w:val="0"/>
                <w:numId w:val="28"/>
              </w:numPr>
              <w:rPr>
                <w:rFonts w:cs="Open Sans"/>
              </w:rPr>
            </w:pPr>
            <w:hyperlink r:id="rId23" w:history="1">
              <w:r w:rsidR="005F574C" w:rsidRPr="00184863">
                <w:rPr>
                  <w:rStyle w:val="Hyperlink"/>
                  <w:rFonts w:cs="Open Sans"/>
                </w:rPr>
                <w:t>Queenslanders with Disability Network</w:t>
              </w:r>
            </w:hyperlink>
            <w:r w:rsidR="005F574C">
              <w:rPr>
                <w:rFonts w:cs="Open Sans"/>
              </w:rPr>
              <w:t>.</w:t>
            </w:r>
            <w:r w:rsidR="005F574C">
              <w:rPr>
                <w:rStyle w:val="EndnoteReference"/>
                <w:rFonts w:cs="Open Sans"/>
              </w:rPr>
              <w:endnoteReference w:id="89"/>
            </w:r>
          </w:p>
        </w:tc>
      </w:tr>
    </w:tbl>
    <w:p w14:paraId="7767BDE9" w14:textId="7CF134F3" w:rsidR="00744A6B" w:rsidRDefault="00744A6B" w:rsidP="00744A6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744A6B" w14:paraId="0B80FB9E" w14:textId="77777777" w:rsidTr="001A3E64">
        <w:tc>
          <w:tcPr>
            <w:tcW w:w="9016" w:type="dxa"/>
            <w:shd w:val="clear" w:color="auto" w:fill="FFFFFF" w:themeFill="background1"/>
          </w:tcPr>
          <w:p w14:paraId="5A1E67AD" w14:textId="77777777" w:rsidR="00744A6B" w:rsidRPr="0073427E" w:rsidRDefault="00744A6B" w:rsidP="00744A6B">
            <w:pPr>
              <w:rPr>
                <w:rFonts w:cs="Open Sans"/>
              </w:rPr>
            </w:pPr>
            <w:r w:rsidRPr="0073427E">
              <w:rPr>
                <w:rFonts w:cs="Open Sans"/>
                <w:b/>
                <w:bCs/>
              </w:rPr>
              <w:t>State and territory human rights commissions</w:t>
            </w:r>
            <w:r w:rsidRPr="0073427E">
              <w:rPr>
                <w:rFonts w:cs="Open Sans"/>
              </w:rPr>
              <w:t xml:space="preserve"> </w:t>
            </w:r>
          </w:p>
          <w:p w14:paraId="6C86D407" w14:textId="2CE9FAE0" w:rsidR="00744A6B" w:rsidRPr="0073427E" w:rsidRDefault="00744A6B" w:rsidP="00744A6B">
            <w:pPr>
              <w:rPr>
                <w:rFonts w:cs="Open Sans"/>
              </w:rPr>
            </w:pPr>
            <w:r w:rsidRPr="0073427E">
              <w:rPr>
                <w:rFonts w:cs="Open Sans"/>
              </w:rPr>
              <w:t xml:space="preserve">Links to the websites of each of the state and territory human rights commissions or agencies can be found on the </w:t>
            </w:r>
            <w:hyperlink r:id="rId24" w:anchor="ad" w:history="1">
              <w:r w:rsidR="008C6E13" w:rsidRPr="00416E3A">
                <w:rPr>
                  <w:rStyle w:val="Hyperlink"/>
                  <w:rFonts w:cs="Open Sans"/>
                </w:rPr>
                <w:t xml:space="preserve">Australian Human Rights </w:t>
              </w:r>
              <w:r w:rsidRPr="00416E3A">
                <w:rPr>
                  <w:rStyle w:val="Hyperlink"/>
                  <w:rFonts w:cs="Open Sans"/>
                </w:rPr>
                <w:t>Commission’s website</w:t>
              </w:r>
            </w:hyperlink>
            <w:r w:rsidRPr="0073427E">
              <w:rPr>
                <w:rFonts w:cs="Open Sans"/>
              </w:rPr>
              <w:t>. These provide information on the anti-discrimination and human rights legislation in place around Australia.</w:t>
            </w:r>
          </w:p>
        </w:tc>
      </w:tr>
    </w:tbl>
    <w:p w14:paraId="35BC24C0" w14:textId="3F58FC7F" w:rsidR="00702011" w:rsidRDefault="00702011" w:rsidP="005D5D1C">
      <w:pPr>
        <w:rPr>
          <w:rFonts w:cs="Open Sans"/>
        </w:rPr>
      </w:pPr>
    </w:p>
    <w:p w14:paraId="53DB6C8D" w14:textId="77777777" w:rsidR="00702011" w:rsidRDefault="00702011">
      <w:pPr>
        <w:keepLines w:val="0"/>
        <w:spacing w:before="0" w:after="0"/>
        <w:rPr>
          <w:rFonts w:cs="Open Sans"/>
        </w:rPr>
      </w:pPr>
      <w:r>
        <w:rPr>
          <w:rFonts w:cs="Open Sans"/>
        </w:rPr>
        <w:br w:type="page"/>
      </w:r>
    </w:p>
    <w:p w14:paraId="412EE6CC" w14:textId="097E87BC" w:rsidR="005D5D1C" w:rsidRPr="00702011" w:rsidRDefault="00702011" w:rsidP="00702011">
      <w:pPr>
        <w:rPr>
          <w:b/>
          <w:bCs/>
          <w:color w:val="F06F1B"/>
        </w:rPr>
      </w:pPr>
      <w:r w:rsidRPr="00702011">
        <w:rPr>
          <w:b/>
          <w:bCs/>
          <w:color w:val="F06F1B"/>
        </w:rPr>
        <w:lastRenderedPageBreak/>
        <w:t>Endnotes</w:t>
      </w:r>
    </w:p>
    <w:sectPr w:rsidR="005D5D1C" w:rsidRPr="00702011" w:rsidSect="003752AC">
      <w:headerReference w:type="even" r:id="rId25"/>
      <w:headerReference w:type="default" r:id="rId26"/>
      <w:footerReference w:type="default" r:id="rId27"/>
      <w:headerReference w:type="first" r:id="rId28"/>
      <w:endnotePr>
        <w:numFmt w:val="decimal"/>
      </w:endnotePr>
      <w:pgSz w:w="11906" w:h="16838"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CFA29" w14:textId="77777777" w:rsidR="00C20151" w:rsidRDefault="00C20151" w:rsidP="00F14C6D">
      <w:r>
        <w:separator/>
      </w:r>
    </w:p>
  </w:endnote>
  <w:endnote w:type="continuationSeparator" w:id="0">
    <w:p w14:paraId="1427DED9" w14:textId="77777777" w:rsidR="00C20151" w:rsidRDefault="00C20151" w:rsidP="00F14C6D">
      <w:r>
        <w:continuationSeparator/>
      </w:r>
    </w:p>
  </w:endnote>
  <w:endnote w:type="continuationNotice" w:id="1">
    <w:p w14:paraId="15204D57" w14:textId="77777777" w:rsidR="00C20151" w:rsidRDefault="00C20151">
      <w:pPr>
        <w:spacing w:before="0" w:after="0"/>
      </w:pPr>
    </w:p>
  </w:endnote>
  <w:endnote w:id="2">
    <w:p w14:paraId="2E9C4E9B" w14:textId="29818FA8" w:rsidR="00506E90" w:rsidRPr="00F46042" w:rsidRDefault="00506E90">
      <w:pPr>
        <w:pStyle w:val="EndnoteText"/>
        <w:rPr>
          <w:rFonts w:cs="Open Sans"/>
          <w:lang w:val="en-US"/>
        </w:rPr>
      </w:pPr>
      <w:r w:rsidRPr="00F46042">
        <w:rPr>
          <w:rStyle w:val="EndnoteReference"/>
          <w:rFonts w:cs="Open Sans"/>
        </w:rPr>
        <w:endnoteRef/>
      </w:r>
      <w:r w:rsidRPr="00F46042">
        <w:rPr>
          <w:rFonts w:cs="Open Sans"/>
        </w:rPr>
        <w:t xml:space="preserve"> Samuel </w:t>
      </w:r>
      <w:proofErr w:type="spellStart"/>
      <w:r w:rsidRPr="00F46042">
        <w:rPr>
          <w:rFonts w:cs="Open Sans"/>
        </w:rPr>
        <w:t>Bagenstos</w:t>
      </w:r>
      <w:proofErr w:type="spellEnd"/>
      <w:r w:rsidRPr="00F46042">
        <w:rPr>
          <w:rFonts w:cs="Open Sans"/>
        </w:rPr>
        <w:t>, ‘May Hospitals Withhold Ventilators from COVID-19 Patients with Pre-Existing Disabilities? Notes on the Law and Ethics of Disability-Based Medical Rationing’ (2020</w:t>
      </w:r>
      <w:r>
        <w:rPr>
          <w:rFonts w:cs="Open Sans"/>
        </w:rPr>
        <w:t>/2021</w:t>
      </w:r>
      <w:r w:rsidRPr="00F46042">
        <w:rPr>
          <w:rFonts w:cs="Open Sans"/>
        </w:rPr>
        <w:t xml:space="preserve">) 130 </w:t>
      </w:r>
      <w:r w:rsidRPr="00F46042">
        <w:rPr>
          <w:rFonts w:cs="Open Sans"/>
          <w:i/>
          <w:iCs/>
        </w:rPr>
        <w:t>Yale Law Journal Forum</w:t>
      </w:r>
      <w:r w:rsidRPr="00F46042">
        <w:rPr>
          <w:rFonts w:cs="Open Sans"/>
        </w:rPr>
        <w:t xml:space="preserve"> 1.</w:t>
      </w:r>
    </w:p>
  </w:endnote>
  <w:endnote w:id="3">
    <w:p w14:paraId="19C30A59" w14:textId="615BDD35" w:rsidR="00506E90" w:rsidRPr="0073427E" w:rsidRDefault="00506E90">
      <w:pPr>
        <w:pStyle w:val="EndnoteText"/>
        <w:rPr>
          <w:rFonts w:cs="Open Sans"/>
          <w:lang w:val="en-US"/>
        </w:rPr>
      </w:pPr>
      <w:r w:rsidRPr="0073427E">
        <w:rPr>
          <w:rStyle w:val="EndnoteReference"/>
          <w:rFonts w:cs="Open Sans"/>
        </w:rPr>
        <w:endnoteRef/>
      </w:r>
      <w:r w:rsidRPr="0073427E">
        <w:rPr>
          <w:rFonts w:cs="Open Sans"/>
        </w:rPr>
        <w:t xml:space="preserve"> </w:t>
      </w:r>
      <w:r w:rsidRPr="0073427E">
        <w:rPr>
          <w:rFonts w:cs="Open Sans"/>
          <w:i/>
          <w:iCs/>
          <w:lang w:val="en-US"/>
        </w:rPr>
        <w:t xml:space="preserve">Disability Discrimination Act 1992 </w:t>
      </w:r>
      <w:r w:rsidRPr="0073427E">
        <w:rPr>
          <w:rFonts w:cs="Open Sans"/>
          <w:lang w:val="en-US"/>
        </w:rPr>
        <w:t>(</w:t>
      </w:r>
      <w:proofErr w:type="spellStart"/>
      <w:r w:rsidRPr="0073427E">
        <w:rPr>
          <w:rFonts w:cs="Open Sans"/>
          <w:lang w:val="en-US"/>
        </w:rPr>
        <w:t>Cth</w:t>
      </w:r>
      <w:proofErr w:type="spellEnd"/>
      <w:r w:rsidRPr="0073427E">
        <w:rPr>
          <w:rFonts w:cs="Open Sans"/>
          <w:lang w:val="en-US"/>
        </w:rPr>
        <w:t>) s 67(1)(k).</w:t>
      </w:r>
    </w:p>
  </w:endnote>
  <w:endnote w:id="4">
    <w:p w14:paraId="6A801768" w14:textId="40B1AE91" w:rsidR="00506E90" w:rsidRPr="007E58A3" w:rsidRDefault="00506E90">
      <w:pPr>
        <w:pStyle w:val="EndnoteText"/>
        <w:rPr>
          <w:rFonts w:cs="Open Sans"/>
        </w:rPr>
      </w:pPr>
      <w:r w:rsidRPr="007E58A3">
        <w:rPr>
          <w:rStyle w:val="EndnoteReference"/>
          <w:rFonts w:cs="Open Sans"/>
        </w:rPr>
        <w:endnoteRef/>
      </w:r>
      <w:r w:rsidRPr="007E58A3">
        <w:rPr>
          <w:rFonts w:cs="Open Sans"/>
        </w:rPr>
        <w:t xml:space="preserve"> </w:t>
      </w:r>
      <w:r w:rsidRPr="00143FD4">
        <w:rPr>
          <w:rFonts w:cs="Open Sans"/>
          <w:i/>
          <w:iCs/>
        </w:rPr>
        <w:t>Australian Human Rights Commission Act 1986</w:t>
      </w:r>
      <w:r w:rsidRPr="007E58A3">
        <w:rPr>
          <w:rFonts w:cs="Open Sans"/>
        </w:rPr>
        <w:t xml:space="preserve"> (</w:t>
      </w:r>
      <w:proofErr w:type="spellStart"/>
      <w:r w:rsidRPr="007E58A3">
        <w:rPr>
          <w:rFonts w:cs="Open Sans"/>
        </w:rPr>
        <w:t>Cth</w:t>
      </w:r>
      <w:proofErr w:type="spellEnd"/>
      <w:r w:rsidRPr="007E58A3">
        <w:rPr>
          <w:rFonts w:cs="Open Sans"/>
        </w:rPr>
        <w:t>) s</w:t>
      </w:r>
      <w:r w:rsidR="001737C1">
        <w:rPr>
          <w:rFonts w:cs="Open Sans"/>
        </w:rPr>
        <w:t xml:space="preserve"> </w:t>
      </w:r>
      <w:r w:rsidRPr="007E58A3">
        <w:rPr>
          <w:rFonts w:cs="Open Sans"/>
        </w:rPr>
        <w:t>11(1)(n).</w:t>
      </w:r>
    </w:p>
  </w:endnote>
  <w:endnote w:id="5">
    <w:p w14:paraId="7ABC1DCF" w14:textId="75152FDF" w:rsidR="00506E90" w:rsidRDefault="00506E90">
      <w:pPr>
        <w:pStyle w:val="EndnoteText"/>
      </w:pPr>
      <w:r>
        <w:rPr>
          <w:rStyle w:val="EndnoteReference"/>
        </w:rPr>
        <w:endnoteRef/>
      </w:r>
      <w:r>
        <w:t xml:space="preserve"> </w:t>
      </w:r>
      <w:r w:rsidRPr="00E12398">
        <w:rPr>
          <w:rFonts w:cs="Open Sans"/>
          <w:lang w:val="en-US"/>
        </w:rPr>
        <w:t>It should be noted the field of bioethics is distinct from international human rights law. This distinction is beyond the scope of these Guidelines but further information may be found in</w:t>
      </w:r>
      <w:r>
        <w:t xml:space="preserve"> </w:t>
      </w:r>
      <w:r w:rsidRPr="0073427E">
        <w:rPr>
          <w:rFonts w:cs="Open Sans"/>
          <w:lang w:val="en-US"/>
        </w:rPr>
        <w:t xml:space="preserve">Catalina </w:t>
      </w:r>
      <w:proofErr w:type="spellStart"/>
      <w:r w:rsidRPr="0073427E">
        <w:rPr>
          <w:rFonts w:cs="Open Sans"/>
          <w:lang w:val="en-US"/>
        </w:rPr>
        <w:t>Devandas</w:t>
      </w:r>
      <w:proofErr w:type="spellEnd"/>
      <w:r>
        <w:rPr>
          <w:rFonts w:cs="Open Sans"/>
          <w:lang w:val="en-US"/>
        </w:rPr>
        <w:t xml:space="preserve"> </w:t>
      </w:r>
      <w:r w:rsidRPr="0073427E">
        <w:rPr>
          <w:rFonts w:cs="Open Sans"/>
          <w:lang w:val="en-US"/>
        </w:rPr>
        <w:t xml:space="preserve">Aguilar, </w:t>
      </w:r>
      <w:r w:rsidRPr="0073427E">
        <w:rPr>
          <w:rFonts w:cs="Open Sans"/>
          <w:i/>
          <w:iCs/>
          <w:lang w:val="en-US"/>
        </w:rPr>
        <w:t>Report of the Special Rapporteur on the rights of persons with disabilities</w:t>
      </w:r>
      <w:r w:rsidRPr="0073427E">
        <w:rPr>
          <w:rFonts w:cs="Open Sans"/>
          <w:lang w:val="en-US"/>
        </w:rPr>
        <w:t>, UN Doc A</w:t>
      </w:r>
      <w:r>
        <w:rPr>
          <w:rFonts w:cs="Open Sans"/>
          <w:lang w:val="en-US"/>
        </w:rPr>
        <w:t>/HRC/43/41 (17 December 2019) and the papers referred to therein</w:t>
      </w:r>
      <w:r w:rsidRPr="0073427E">
        <w:rPr>
          <w:rFonts w:cs="Open Sans"/>
          <w:lang w:val="en-US"/>
        </w:rPr>
        <w:t>.</w:t>
      </w:r>
    </w:p>
  </w:endnote>
  <w:endnote w:id="6">
    <w:p w14:paraId="75ED0419" w14:textId="08C8640F" w:rsidR="00506E90" w:rsidRPr="00D70E0F" w:rsidRDefault="00506E90" w:rsidP="00AE47FD">
      <w:pPr>
        <w:pStyle w:val="EndnoteText"/>
        <w:rPr>
          <w:rFonts w:cs="Open Sans"/>
          <w:lang w:val="en-US"/>
        </w:rPr>
      </w:pPr>
      <w:r w:rsidRPr="006C577C">
        <w:rPr>
          <w:rStyle w:val="EndnoteReference"/>
          <w:rFonts w:cs="Open Sans"/>
        </w:rPr>
        <w:endnoteRef/>
      </w:r>
      <w:r w:rsidRPr="006C577C">
        <w:rPr>
          <w:rFonts w:cs="Open Sans"/>
        </w:rPr>
        <w:t xml:space="preserve"> </w:t>
      </w:r>
      <w:r>
        <w:rPr>
          <w:rFonts w:cs="Open Sans"/>
        </w:rPr>
        <w:t>Committee on the Rights of Persons with Disabilities, ‘</w:t>
      </w:r>
      <w:r w:rsidRPr="00281404">
        <w:rPr>
          <w:rFonts w:cs="Open Sans"/>
        </w:rPr>
        <w:t>Statement on COVID-19 and the human rights of persons with disabilities</w:t>
      </w:r>
      <w:r>
        <w:rPr>
          <w:rFonts w:cs="Open Sans"/>
        </w:rPr>
        <w:t xml:space="preserve">’, </w:t>
      </w:r>
      <w:r>
        <w:rPr>
          <w:rFonts w:cs="Open Sans"/>
          <w:i/>
          <w:iCs/>
        </w:rPr>
        <w:t xml:space="preserve">UN Office of the High Commissioner for Human Rights </w:t>
      </w:r>
      <w:r>
        <w:rPr>
          <w:rFonts w:cs="Open Sans"/>
        </w:rPr>
        <w:t xml:space="preserve">(Web </w:t>
      </w:r>
      <w:r w:rsidRPr="00D70E0F">
        <w:rPr>
          <w:rFonts w:cs="Open Sans"/>
        </w:rPr>
        <w:t>Page, 9 June 2020) &lt;</w:t>
      </w:r>
      <w:hyperlink r:id="rId1" w:history="1">
        <w:r w:rsidRPr="00D70E0F">
          <w:rPr>
            <w:rStyle w:val="Hyperlink"/>
            <w:rFonts w:cs="Open Sans"/>
          </w:rPr>
          <w:t>https://www.ohchr.org/EN/NewsEvents/Pages/DisplayNews.aspx?NewsID=25942&amp;LangID=E</w:t>
        </w:r>
      </w:hyperlink>
      <w:r w:rsidRPr="00D70E0F">
        <w:rPr>
          <w:rFonts w:cs="Open Sans"/>
        </w:rPr>
        <w:t>&gt;</w:t>
      </w:r>
      <w:r>
        <w:rPr>
          <w:rFonts w:cs="Open Sans"/>
        </w:rPr>
        <w:t>.</w:t>
      </w:r>
    </w:p>
  </w:endnote>
  <w:endnote w:id="7">
    <w:p w14:paraId="1ECF576B" w14:textId="2628DD8E" w:rsidR="00506E90" w:rsidRPr="00F46042" w:rsidRDefault="00506E90" w:rsidP="006E3E4B">
      <w:pPr>
        <w:pStyle w:val="NormalWeb"/>
        <w:shd w:val="clear" w:color="auto" w:fill="FFFFFF"/>
        <w:spacing w:before="0" w:after="0"/>
        <w:rPr>
          <w:rFonts w:ascii="Open Sans" w:eastAsia="Times New Roman" w:hAnsi="Open Sans" w:cs="Open Sans"/>
          <w:color w:val="000000"/>
          <w:lang w:val="en-US" w:eastAsia="en-US"/>
        </w:rPr>
      </w:pPr>
      <w:r w:rsidRPr="00F46042">
        <w:rPr>
          <w:rStyle w:val="EndnoteReference"/>
          <w:rFonts w:cs="Open Sans"/>
          <w:szCs w:val="20"/>
        </w:rPr>
        <w:endnoteRef/>
      </w:r>
      <w:r w:rsidRPr="00F46042">
        <w:rPr>
          <w:rFonts w:ascii="Open Sans" w:hAnsi="Open Sans" w:cs="Open Sans"/>
          <w:sz w:val="20"/>
          <w:szCs w:val="20"/>
        </w:rPr>
        <w:t xml:space="preserve"> ‘</w:t>
      </w:r>
      <w:r w:rsidRPr="00F46042">
        <w:rPr>
          <w:rFonts w:ascii="Open Sans" w:eastAsia="Times New Roman" w:hAnsi="Open Sans" w:cs="Open Sans"/>
          <w:color w:val="000000"/>
          <w:sz w:val="20"/>
          <w:szCs w:val="20"/>
          <w:lang w:val="en-US" w:eastAsia="en-US"/>
        </w:rPr>
        <w:t>The Committee on the Rights of Persons with Disabilities (CRPD) is the body of independent experts which monitors implementation of the C</w:t>
      </w:r>
      <w:r w:rsidRPr="00D70E0F">
        <w:rPr>
          <w:rFonts w:ascii="Open Sans" w:eastAsia="Times New Roman" w:hAnsi="Open Sans" w:cs="Open Sans"/>
          <w:color w:val="000000"/>
          <w:sz w:val="20"/>
          <w:szCs w:val="20"/>
          <w:lang w:val="en-US" w:eastAsia="en-US"/>
        </w:rPr>
        <w:t>RPD</w:t>
      </w:r>
      <w:r w:rsidRPr="00F46042">
        <w:rPr>
          <w:rFonts w:ascii="Open Sans" w:eastAsia="Times New Roman" w:hAnsi="Open Sans" w:cs="Open Sans"/>
          <w:color w:val="000000"/>
          <w:sz w:val="20"/>
          <w:szCs w:val="20"/>
          <w:lang w:val="en-US" w:eastAsia="en-US"/>
        </w:rPr>
        <w:t xml:space="preserve"> by the States Parties.</w:t>
      </w:r>
      <w:r w:rsidRPr="00D70E0F">
        <w:rPr>
          <w:rFonts w:ascii="Open Sans" w:eastAsia="Times New Roman" w:hAnsi="Open Sans" w:cs="Open Sans"/>
          <w:color w:val="000000"/>
          <w:sz w:val="20"/>
          <w:szCs w:val="20"/>
          <w:lang w:val="en-US" w:eastAsia="en-US"/>
        </w:rPr>
        <w:t xml:space="preserve"> </w:t>
      </w:r>
      <w:r w:rsidRPr="00F46042">
        <w:rPr>
          <w:rFonts w:ascii="Open Sans" w:eastAsia="Times New Roman" w:hAnsi="Open Sans" w:cs="Open Sans"/>
          <w:color w:val="000000"/>
          <w:sz w:val="20"/>
          <w:szCs w:val="20"/>
          <w:lang w:val="en-US" w:eastAsia="en-US"/>
        </w:rPr>
        <w:t>All States parties are obliged to submit regular reports to the Committee on how the rights are being implemented.</w:t>
      </w:r>
      <w:r w:rsidRPr="00D70E0F">
        <w:rPr>
          <w:rFonts w:ascii="Open Sans" w:eastAsia="Times New Roman" w:hAnsi="Open Sans" w:cs="Open Sans"/>
          <w:color w:val="000000"/>
          <w:sz w:val="20"/>
          <w:szCs w:val="20"/>
          <w:lang w:val="en-US" w:eastAsia="en-US"/>
        </w:rPr>
        <w:t>’</w:t>
      </w:r>
      <w:r w:rsidRPr="00F46042">
        <w:rPr>
          <w:rFonts w:ascii="Open Sans" w:eastAsia="Times New Roman" w:hAnsi="Open Sans" w:cs="Open Sans"/>
          <w:color w:val="000000"/>
          <w:sz w:val="20"/>
          <w:szCs w:val="20"/>
          <w:lang w:val="en-US" w:eastAsia="en-US"/>
        </w:rPr>
        <w:t xml:space="preserve"> See the CRPD Committee’s website for further information: </w:t>
      </w:r>
      <w:r>
        <w:rPr>
          <w:rFonts w:ascii="Open Sans" w:eastAsia="Times New Roman" w:hAnsi="Open Sans" w:cs="Open Sans"/>
          <w:color w:val="000000"/>
          <w:sz w:val="20"/>
          <w:szCs w:val="20"/>
          <w:lang w:val="en-US" w:eastAsia="en-US"/>
        </w:rPr>
        <w:t>&lt;</w:t>
      </w:r>
      <w:hyperlink r:id="rId2" w:history="1">
        <w:r w:rsidRPr="00836348">
          <w:rPr>
            <w:rStyle w:val="Hyperlink"/>
            <w:rFonts w:ascii="Open Sans" w:eastAsia="Times New Roman" w:hAnsi="Open Sans" w:cs="Open Sans"/>
            <w:sz w:val="20"/>
            <w:szCs w:val="20"/>
            <w:lang w:val="en-US" w:eastAsia="en-US"/>
          </w:rPr>
          <w:t>https://www.ohchr.org/EN/HRBodies/CRPD/Pages/CRPDIndex.aspx</w:t>
        </w:r>
      </w:hyperlink>
      <w:r>
        <w:rPr>
          <w:rFonts w:ascii="Open Sans" w:eastAsia="Times New Roman" w:hAnsi="Open Sans" w:cs="Open Sans"/>
          <w:color w:val="000000"/>
          <w:sz w:val="20"/>
          <w:szCs w:val="20"/>
          <w:lang w:val="en-US" w:eastAsia="en-US"/>
        </w:rPr>
        <w:t>&gt;</w:t>
      </w:r>
      <w:r w:rsidRPr="00D70E0F">
        <w:rPr>
          <w:rFonts w:ascii="Open Sans" w:eastAsia="Times New Roman" w:hAnsi="Open Sans" w:cs="Open Sans"/>
          <w:color w:val="000000"/>
          <w:sz w:val="20"/>
          <w:szCs w:val="20"/>
          <w:lang w:val="en-US" w:eastAsia="en-US"/>
        </w:rPr>
        <w:t>.</w:t>
      </w:r>
    </w:p>
  </w:endnote>
  <w:endnote w:id="8">
    <w:p w14:paraId="16E46049" w14:textId="563AE568" w:rsidR="00506E90" w:rsidRPr="00F46042" w:rsidRDefault="00506E90" w:rsidP="006E3E4B">
      <w:pPr>
        <w:pStyle w:val="EndnoteText"/>
        <w:rPr>
          <w:rFonts w:cs="Open Sans"/>
          <w:i/>
          <w:iCs/>
          <w:lang w:val="en-US"/>
        </w:rPr>
      </w:pPr>
      <w:r w:rsidRPr="00F46042">
        <w:rPr>
          <w:rStyle w:val="EndnoteReference"/>
          <w:rFonts w:cs="Open Sans"/>
        </w:rPr>
        <w:endnoteRef/>
      </w:r>
      <w:r w:rsidRPr="00F46042">
        <w:rPr>
          <w:rFonts w:cs="Open Sans"/>
        </w:rPr>
        <w:t xml:space="preserve"> </w:t>
      </w:r>
      <w:r w:rsidRPr="00F46042">
        <w:rPr>
          <w:rFonts w:cs="Open Sans"/>
          <w:i/>
          <w:iCs/>
          <w:lang w:val="en-US"/>
        </w:rPr>
        <w:t xml:space="preserve">Disability Discrimination Act 1992 </w:t>
      </w:r>
      <w:r w:rsidRPr="00F46042">
        <w:rPr>
          <w:rFonts w:cs="Open Sans"/>
          <w:lang w:val="en-US"/>
        </w:rPr>
        <w:t>(</w:t>
      </w:r>
      <w:proofErr w:type="spellStart"/>
      <w:r w:rsidRPr="00F46042">
        <w:rPr>
          <w:rFonts w:cs="Open Sans"/>
          <w:lang w:val="en-US"/>
        </w:rPr>
        <w:t>Cth</w:t>
      </w:r>
      <w:proofErr w:type="spellEnd"/>
      <w:r w:rsidRPr="00F46042">
        <w:rPr>
          <w:rFonts w:cs="Open Sans"/>
          <w:lang w:val="en-US"/>
        </w:rPr>
        <w:t>) s</w:t>
      </w:r>
      <w:r>
        <w:rPr>
          <w:rFonts w:cs="Open Sans"/>
          <w:lang w:val="en-US"/>
        </w:rPr>
        <w:t xml:space="preserve"> </w:t>
      </w:r>
      <w:r w:rsidRPr="00F46042">
        <w:rPr>
          <w:rFonts w:cs="Open Sans"/>
          <w:lang w:val="en-US"/>
        </w:rPr>
        <w:t>4(1).</w:t>
      </w:r>
    </w:p>
  </w:endnote>
  <w:endnote w:id="9">
    <w:p w14:paraId="20ECA16B" w14:textId="48DA7D51" w:rsidR="00506E90" w:rsidRPr="00D70E0F" w:rsidRDefault="00506E90" w:rsidP="006E3E4B">
      <w:pPr>
        <w:pStyle w:val="EndnoteText"/>
        <w:rPr>
          <w:rFonts w:cs="Open Sans"/>
          <w:lang w:val="en-US"/>
        </w:rPr>
      </w:pPr>
      <w:r w:rsidRPr="00D70E0F">
        <w:rPr>
          <w:rStyle w:val="EndnoteReference"/>
          <w:rFonts w:cs="Open Sans"/>
        </w:rPr>
        <w:endnoteRef/>
      </w:r>
      <w:r w:rsidRPr="00D70E0F">
        <w:rPr>
          <w:rFonts w:cs="Open Sans"/>
        </w:rPr>
        <w:t xml:space="preserve"> Australian Bureau of Statistics, </w:t>
      </w:r>
      <w:r w:rsidRPr="00D70E0F">
        <w:rPr>
          <w:rFonts w:cs="Open Sans"/>
          <w:i/>
        </w:rPr>
        <w:t>Survey of Disability, Ageing and Carers, Summary of Findings 2018</w:t>
      </w:r>
      <w:r w:rsidRPr="00D70E0F">
        <w:rPr>
          <w:rFonts w:cs="Open Sans"/>
        </w:rPr>
        <w:t xml:space="preserve"> (Catalogue N</w:t>
      </w:r>
      <w:r w:rsidRPr="0055524C">
        <w:rPr>
          <w:rFonts w:cs="Open Sans"/>
        </w:rPr>
        <w:t>o 4430.0</w:t>
      </w:r>
      <w:r w:rsidRPr="00D70E0F">
        <w:rPr>
          <w:rFonts w:cs="Open Sans"/>
        </w:rPr>
        <w:t>, 24 October 2019).</w:t>
      </w:r>
    </w:p>
  </w:endnote>
  <w:endnote w:id="10">
    <w:p w14:paraId="5397C6D3" w14:textId="7C811997" w:rsidR="00506E90" w:rsidRPr="00F46042" w:rsidRDefault="00506E90">
      <w:pPr>
        <w:pStyle w:val="EndnoteText"/>
        <w:rPr>
          <w:rFonts w:cs="Open Sans"/>
          <w:lang w:val="en-US"/>
        </w:rPr>
      </w:pPr>
      <w:r w:rsidRPr="00F46042">
        <w:rPr>
          <w:rStyle w:val="EndnoteReference"/>
          <w:rFonts w:cs="Open Sans"/>
        </w:rPr>
        <w:endnoteRef/>
      </w:r>
      <w:r w:rsidRPr="00F46042">
        <w:rPr>
          <w:rFonts w:cs="Open Sans"/>
        </w:rPr>
        <w:t xml:space="preserve"> </w:t>
      </w:r>
      <w:r w:rsidRPr="00D70E0F">
        <w:rPr>
          <w:rFonts w:cs="Open Sans"/>
        </w:rPr>
        <w:t xml:space="preserve">Australian Bureau of Statistics, </w:t>
      </w:r>
      <w:r w:rsidRPr="00D70E0F">
        <w:rPr>
          <w:rFonts w:cs="Open Sans"/>
          <w:i/>
        </w:rPr>
        <w:t>Survey of Disability, Ageing and Carers, Summary of Findings 2018</w:t>
      </w:r>
      <w:r w:rsidRPr="00D70E0F">
        <w:rPr>
          <w:rFonts w:cs="Open Sans"/>
        </w:rPr>
        <w:t xml:space="preserve"> </w:t>
      </w:r>
      <w:r>
        <w:rPr>
          <w:rFonts w:cs="Open Sans"/>
        </w:rPr>
        <w:t>(</w:t>
      </w:r>
      <w:r w:rsidRPr="00D70E0F">
        <w:rPr>
          <w:rFonts w:cs="Open Sans"/>
        </w:rPr>
        <w:t xml:space="preserve">Catalogue No 4430.0, </w:t>
      </w:r>
      <w:r w:rsidRPr="0055524C">
        <w:rPr>
          <w:rFonts w:cs="Open Sans"/>
        </w:rPr>
        <w:t>24 October 2019).</w:t>
      </w:r>
    </w:p>
  </w:endnote>
  <w:endnote w:id="11">
    <w:p w14:paraId="57DFEC93" w14:textId="713EA1DC" w:rsidR="00506E90" w:rsidRPr="00D70E0F" w:rsidRDefault="00506E90">
      <w:pPr>
        <w:pStyle w:val="EndnoteText"/>
        <w:rPr>
          <w:rFonts w:cs="Open Sans"/>
          <w:lang w:val="en-US"/>
        </w:rPr>
      </w:pPr>
      <w:r w:rsidRPr="00D70E0F">
        <w:rPr>
          <w:rStyle w:val="EndnoteReference"/>
          <w:rFonts w:cs="Open Sans"/>
        </w:rPr>
        <w:endnoteRef/>
      </w:r>
      <w:r w:rsidRPr="00D70E0F">
        <w:rPr>
          <w:rFonts w:cs="Open Sans"/>
        </w:rPr>
        <w:t xml:space="preserve"> Australian Institute of Health and Welfare, </w:t>
      </w:r>
      <w:r w:rsidRPr="00F46042">
        <w:rPr>
          <w:rFonts w:cs="Open Sans"/>
          <w:i/>
          <w:iCs/>
        </w:rPr>
        <w:t>People with Disability in Australia</w:t>
      </w:r>
      <w:r w:rsidRPr="00D70E0F">
        <w:rPr>
          <w:rFonts w:cs="Open Sans"/>
        </w:rPr>
        <w:t xml:space="preserve"> (Cat no DIS 72, September 2019) &lt;</w:t>
      </w:r>
      <w:hyperlink r:id="rId3" w:history="1">
        <w:r w:rsidRPr="00D70E0F">
          <w:rPr>
            <w:rStyle w:val="Hyperlink"/>
            <w:rFonts w:cs="Open Sans"/>
          </w:rPr>
          <w:t>https://www.aihw.gov.au/reports/disability/people-with-disability-in-australia/personal-factors</w:t>
        </w:r>
      </w:hyperlink>
      <w:r w:rsidRPr="00212AD9">
        <w:t>&gt;.</w:t>
      </w:r>
    </w:p>
  </w:endnote>
  <w:endnote w:id="12">
    <w:p w14:paraId="4C0CC8AB" w14:textId="3FD0F3A6" w:rsidR="00506E90" w:rsidRPr="00F46042" w:rsidRDefault="00506E90">
      <w:pPr>
        <w:pStyle w:val="EndnoteText"/>
        <w:rPr>
          <w:rFonts w:cs="Open Sans"/>
          <w:lang w:val="en-US"/>
        </w:rPr>
      </w:pPr>
      <w:r w:rsidRPr="00F46042">
        <w:rPr>
          <w:rStyle w:val="EndnoteReference"/>
          <w:rFonts w:cs="Open Sans"/>
        </w:rPr>
        <w:endnoteRef/>
      </w:r>
      <w:r w:rsidRPr="00F46042">
        <w:rPr>
          <w:rFonts w:cs="Open Sans"/>
        </w:rPr>
        <w:t xml:space="preserve"> </w:t>
      </w:r>
      <w:r w:rsidRPr="000B055D">
        <w:rPr>
          <w:rFonts w:cs="Open Sans"/>
        </w:rPr>
        <w:t xml:space="preserve">Australian Bureau of Statistics, </w:t>
      </w:r>
      <w:r w:rsidRPr="000B055D">
        <w:rPr>
          <w:rFonts w:cs="Open Sans"/>
          <w:i/>
        </w:rPr>
        <w:t>Survey of Disability, Ageing and Carers, Summary of Findings 2018</w:t>
      </w:r>
      <w:r w:rsidRPr="000B055D">
        <w:rPr>
          <w:rFonts w:cs="Open Sans"/>
        </w:rPr>
        <w:t xml:space="preserve"> (Catalogue No 4430.0, 24 October 2019).</w:t>
      </w:r>
    </w:p>
  </w:endnote>
  <w:endnote w:id="13">
    <w:p w14:paraId="1FBC9995" w14:textId="133F42B8" w:rsidR="00506E90" w:rsidRPr="007A57BB" w:rsidRDefault="00506E90">
      <w:pPr>
        <w:pStyle w:val="EndnoteText"/>
        <w:rPr>
          <w:rFonts w:cs="Open Sans"/>
          <w:lang w:val="en-US"/>
        </w:rPr>
      </w:pPr>
      <w:r w:rsidRPr="00D70E0F">
        <w:rPr>
          <w:rStyle w:val="EndnoteReference"/>
          <w:rFonts w:cs="Open Sans"/>
        </w:rPr>
        <w:endnoteRef/>
      </w:r>
      <w:r w:rsidRPr="00D70E0F">
        <w:rPr>
          <w:rFonts w:cs="Open Sans"/>
        </w:rPr>
        <w:t xml:space="preserve"> Australian Institute of Health and Welfare, </w:t>
      </w:r>
      <w:r w:rsidRPr="00D70E0F">
        <w:rPr>
          <w:rFonts w:cs="Open Sans"/>
          <w:i/>
          <w:iCs/>
        </w:rPr>
        <w:t>People with Disability in Australia</w:t>
      </w:r>
      <w:r w:rsidRPr="00D70E0F">
        <w:rPr>
          <w:rFonts w:cs="Open Sans"/>
        </w:rPr>
        <w:t xml:space="preserve"> (Cat no DIS 72</w:t>
      </w:r>
      <w:r>
        <w:rPr>
          <w:rFonts w:cs="Open Sans"/>
        </w:rPr>
        <w:t>, September 2019</w:t>
      </w:r>
      <w:r w:rsidRPr="00D70E0F">
        <w:rPr>
          <w:rFonts w:cs="Open Sans"/>
        </w:rPr>
        <w:t>) &lt;</w:t>
      </w:r>
      <w:hyperlink r:id="rId4" w:history="1">
        <w:r w:rsidRPr="00D70E0F">
          <w:rPr>
            <w:rStyle w:val="Hyperlink"/>
            <w:rFonts w:cs="Open Sans"/>
          </w:rPr>
          <w:t>https://www.aihw.gov.au/reports/disability/people-with-disability-in-australia/social-support</w:t>
        </w:r>
      </w:hyperlink>
      <w:r w:rsidRPr="00D70E0F">
        <w:rPr>
          <w:rFonts w:cs="Open Sans"/>
        </w:rPr>
        <w:t>&gt;.</w:t>
      </w:r>
    </w:p>
  </w:endnote>
  <w:endnote w:id="14">
    <w:p w14:paraId="38620D06" w14:textId="6039F058" w:rsidR="00506E90" w:rsidRPr="00975EA9" w:rsidRDefault="00506E90">
      <w:pPr>
        <w:pStyle w:val="EndnoteText"/>
        <w:rPr>
          <w:lang w:val="en-US"/>
        </w:rPr>
      </w:pPr>
      <w:r w:rsidRPr="007A57BB">
        <w:rPr>
          <w:rStyle w:val="EndnoteReference"/>
          <w:rFonts w:cs="Open Sans"/>
        </w:rPr>
        <w:endnoteRef/>
      </w:r>
      <w:r w:rsidRPr="007A57BB">
        <w:rPr>
          <w:rFonts w:cs="Open Sans"/>
        </w:rPr>
        <w:t xml:space="preserve"> ‘</w:t>
      </w:r>
      <w:r w:rsidRPr="007A57BB">
        <w:rPr>
          <w:rFonts w:cs="Open Sans"/>
          <w:lang w:val="en-US"/>
        </w:rPr>
        <w:t xml:space="preserve">Diagnostic overshadowing’ in the context of disability refers to a situation where a health professional </w:t>
      </w:r>
      <w:r>
        <w:rPr>
          <w:rFonts w:cs="Open Sans"/>
          <w:lang w:val="en-US"/>
        </w:rPr>
        <w:t xml:space="preserve">makes an assumption that a </w:t>
      </w:r>
      <w:r w:rsidRPr="007A57BB">
        <w:rPr>
          <w:rFonts w:cs="Open Sans"/>
          <w:lang w:val="en-US"/>
        </w:rPr>
        <w:t xml:space="preserve">patient’s symptoms </w:t>
      </w:r>
      <w:r>
        <w:rPr>
          <w:rFonts w:cs="Open Sans"/>
          <w:lang w:val="en-US"/>
        </w:rPr>
        <w:t>are related to their disability, rather than exploring alternative causes. This may result in a delay in appropriate treatment.</w:t>
      </w:r>
    </w:p>
  </w:endnote>
  <w:endnote w:id="15">
    <w:p w14:paraId="76C22E21" w14:textId="6BB7268F" w:rsidR="00506E90" w:rsidRPr="0073427E" w:rsidRDefault="00506E90">
      <w:pPr>
        <w:pStyle w:val="EndnoteText"/>
        <w:rPr>
          <w:lang w:val="en-US"/>
        </w:rPr>
      </w:pPr>
      <w:r>
        <w:rPr>
          <w:rStyle w:val="EndnoteReference"/>
        </w:rPr>
        <w:endnoteRef/>
      </w:r>
      <w:r>
        <w:t xml:space="preserve"> </w:t>
      </w:r>
      <w:r w:rsidRPr="0073427E">
        <w:rPr>
          <w:rFonts w:cs="Open Sans"/>
        </w:rPr>
        <w:t xml:space="preserve">Transcript of Proceedings, </w:t>
      </w:r>
      <w:r w:rsidRPr="0073427E">
        <w:rPr>
          <w:rFonts w:cs="Open Sans"/>
          <w:i/>
          <w:iCs/>
        </w:rPr>
        <w:t>Public Hearing – Day 9 – Health care</w:t>
      </w:r>
      <w:r w:rsidRPr="0073427E">
        <w:rPr>
          <w:rFonts w:cs="Open Sans"/>
        </w:rPr>
        <w:t xml:space="preserve">, </w:t>
      </w:r>
      <w:r w:rsidRPr="00D76839">
        <w:rPr>
          <w:rFonts w:cs="Open Sans"/>
        </w:rPr>
        <w:t>Royal</w:t>
      </w:r>
      <w:r w:rsidRPr="00921278">
        <w:rPr>
          <w:rFonts w:cs="Open Sans"/>
        </w:rPr>
        <w:t xml:space="preserve"> Commission into Violence, Abuse, </w:t>
      </w:r>
      <w:r>
        <w:rPr>
          <w:rFonts w:cs="Open Sans"/>
        </w:rPr>
        <w:t xml:space="preserve">Neglect </w:t>
      </w:r>
      <w:r w:rsidRPr="0073427E">
        <w:rPr>
          <w:rFonts w:cs="Open Sans"/>
        </w:rPr>
        <w:t xml:space="preserve">and </w:t>
      </w:r>
      <w:r>
        <w:rPr>
          <w:rFonts w:cs="Open Sans"/>
        </w:rPr>
        <w:t xml:space="preserve">Exploitation </w:t>
      </w:r>
      <w:r w:rsidRPr="0073427E">
        <w:rPr>
          <w:rFonts w:cs="Open Sans"/>
        </w:rPr>
        <w:t>of People with Disability (28 February 2020), &lt;</w:t>
      </w:r>
      <w:hyperlink r:id="rId5" w:history="1">
        <w:r w:rsidRPr="0073427E">
          <w:rPr>
            <w:rStyle w:val="Hyperlink"/>
            <w:rFonts w:cs="Open Sans"/>
          </w:rPr>
          <w:t>https://disability.royalcommission.gov.au/publications/transcript-day-9-health-care-sydney</w:t>
        </w:r>
      </w:hyperlink>
      <w:r w:rsidRPr="0073427E">
        <w:rPr>
          <w:rFonts w:cs="Open Sans"/>
        </w:rPr>
        <w:t>&gt;</w:t>
      </w:r>
      <w:r>
        <w:rPr>
          <w:rFonts w:cs="Open Sans"/>
        </w:rPr>
        <w:t>.</w:t>
      </w:r>
    </w:p>
  </w:endnote>
  <w:endnote w:id="16">
    <w:p w14:paraId="6D4ABABA" w14:textId="0BFE7D98" w:rsidR="00506E90" w:rsidRPr="00906BD6" w:rsidRDefault="00506E90" w:rsidP="0061053C">
      <w:pPr>
        <w:pStyle w:val="EndnoteText"/>
        <w:rPr>
          <w:rFonts w:cs="Open Sans"/>
        </w:rPr>
      </w:pPr>
      <w:r w:rsidRPr="00906BD6">
        <w:rPr>
          <w:rStyle w:val="EndnoteReference"/>
          <w:rFonts w:cs="Open Sans"/>
        </w:rPr>
        <w:endnoteRef/>
      </w:r>
      <w:r w:rsidRPr="00906BD6">
        <w:rPr>
          <w:rFonts w:cs="Open Sans"/>
        </w:rPr>
        <w:t xml:space="preserve"> </w:t>
      </w:r>
      <w:r>
        <w:rPr>
          <w:rFonts w:cs="Open Sans"/>
        </w:rPr>
        <w:t>‘Community update: COVID-19’,</w:t>
      </w:r>
      <w:r w:rsidRPr="009B628B">
        <w:rPr>
          <w:rFonts w:cs="Open Sans"/>
        </w:rPr>
        <w:t xml:space="preserve"> </w:t>
      </w:r>
      <w:r w:rsidRPr="0073427E">
        <w:rPr>
          <w:rFonts w:cs="Open Sans"/>
          <w:i/>
        </w:rPr>
        <w:t>Australian Human Rights Commission</w:t>
      </w:r>
      <w:r w:rsidRPr="009B628B">
        <w:rPr>
          <w:rFonts w:cs="Open Sans"/>
        </w:rPr>
        <w:t xml:space="preserve"> </w:t>
      </w:r>
      <w:r>
        <w:rPr>
          <w:rFonts w:cs="Open Sans"/>
        </w:rPr>
        <w:t>(E-Bulletin, 8 April 2020) &lt;</w:t>
      </w:r>
      <w:hyperlink r:id="rId6" w:history="1">
        <w:r w:rsidRPr="00906BD6">
          <w:rPr>
            <w:rStyle w:val="Hyperlink"/>
            <w:rFonts w:cs="Open Sans"/>
          </w:rPr>
          <w:t>https://www.humanrights.gov.au/about/news/e-bulletin/community-update-covid-19-8-april-2020</w:t>
        </w:r>
      </w:hyperlink>
      <w:r w:rsidRPr="00212AD9">
        <w:t>&gt;</w:t>
      </w:r>
      <w:r>
        <w:rPr>
          <w:rFonts w:cs="Open Sans"/>
        </w:rPr>
        <w:t>.</w:t>
      </w:r>
    </w:p>
  </w:endnote>
  <w:endnote w:id="17">
    <w:p w14:paraId="66EA55E6" w14:textId="7915E9DE" w:rsidR="00506E90" w:rsidRPr="00906BD6" w:rsidRDefault="00506E90" w:rsidP="0061053C">
      <w:pPr>
        <w:pStyle w:val="EndnoteText"/>
        <w:rPr>
          <w:rFonts w:cs="Open Sans"/>
        </w:rPr>
      </w:pPr>
      <w:r w:rsidRPr="00906BD6">
        <w:rPr>
          <w:rStyle w:val="EndnoteReference"/>
          <w:rFonts w:cs="Open Sans"/>
        </w:rPr>
        <w:endnoteRef/>
      </w:r>
      <w:r>
        <w:rPr>
          <w:rFonts w:cs="Open Sans"/>
        </w:rPr>
        <w:t xml:space="preserve"> </w:t>
      </w:r>
      <w:r w:rsidRPr="00565540">
        <w:rPr>
          <w:rFonts w:cs="Open Sans"/>
        </w:rPr>
        <w:t>‘Statement of Concern: The response to the COVID-19 pandemic for people with disability’</w:t>
      </w:r>
      <w:r>
        <w:rPr>
          <w:rFonts w:cs="Open Sans"/>
        </w:rPr>
        <w:t xml:space="preserve"> </w:t>
      </w:r>
      <w:r w:rsidRPr="0073427E">
        <w:rPr>
          <w:rFonts w:cs="Open Sans"/>
          <w:i/>
        </w:rPr>
        <w:t xml:space="preserve">Royal Commission into Violence, Abuse, </w:t>
      </w:r>
      <w:r>
        <w:rPr>
          <w:rFonts w:cs="Open Sans"/>
          <w:i/>
        </w:rPr>
        <w:t>Neglect</w:t>
      </w:r>
      <w:r w:rsidRPr="0073427E">
        <w:rPr>
          <w:rFonts w:cs="Open Sans"/>
          <w:i/>
        </w:rPr>
        <w:t xml:space="preserve"> and </w:t>
      </w:r>
      <w:r>
        <w:rPr>
          <w:rFonts w:cs="Open Sans"/>
          <w:i/>
        </w:rPr>
        <w:t>Exploitation</w:t>
      </w:r>
      <w:r w:rsidRPr="0073427E">
        <w:rPr>
          <w:rFonts w:cs="Open Sans"/>
          <w:i/>
        </w:rPr>
        <w:t xml:space="preserve"> of People with Disability</w:t>
      </w:r>
      <w:r>
        <w:rPr>
          <w:rFonts w:cs="Open Sans"/>
        </w:rPr>
        <w:t xml:space="preserve"> (Publication, 26 March 2020)</w:t>
      </w:r>
      <w:r w:rsidRPr="00565540">
        <w:rPr>
          <w:rFonts w:cs="Open Sans"/>
        </w:rPr>
        <w:t xml:space="preserve"> </w:t>
      </w:r>
      <w:r>
        <w:rPr>
          <w:rFonts w:cs="Open Sans"/>
        </w:rPr>
        <w:t>&lt;</w:t>
      </w:r>
      <w:hyperlink r:id="rId7" w:history="1">
        <w:r w:rsidRPr="000B059D">
          <w:rPr>
            <w:rStyle w:val="Hyperlink"/>
            <w:rFonts w:cs="Open Sans"/>
          </w:rPr>
          <w:t>https://disability.royalcommission.gov.au/system/files/2020-03/COVID-19%20Statement%20of%20concern.pdf</w:t>
        </w:r>
      </w:hyperlink>
      <w:r>
        <w:rPr>
          <w:rFonts w:cs="Open Sans"/>
        </w:rPr>
        <w:t>&gt;.</w:t>
      </w:r>
    </w:p>
  </w:endnote>
  <w:endnote w:id="18">
    <w:p w14:paraId="46EE3AC9" w14:textId="7020B7FD" w:rsidR="00506E90" w:rsidRPr="00906BD6" w:rsidRDefault="00506E90" w:rsidP="008858BC">
      <w:pPr>
        <w:pStyle w:val="EndnoteText"/>
        <w:rPr>
          <w:rFonts w:cs="Open Sans"/>
        </w:rPr>
      </w:pPr>
      <w:r w:rsidRPr="00906BD6">
        <w:rPr>
          <w:rStyle w:val="EndnoteReference"/>
          <w:rFonts w:cs="Open Sans"/>
        </w:rPr>
        <w:endnoteRef/>
      </w:r>
      <w:r w:rsidRPr="00565540">
        <w:rPr>
          <w:rFonts w:cs="Open Sans"/>
        </w:rPr>
        <w:t xml:space="preserve"> </w:t>
      </w:r>
      <w:r>
        <w:rPr>
          <w:rFonts w:cs="Open Sans"/>
        </w:rPr>
        <w:t>Robin Banks et al,</w:t>
      </w:r>
      <w:r w:rsidRPr="00906BD6">
        <w:rPr>
          <w:rFonts w:cs="Open Sans"/>
        </w:rPr>
        <w:t xml:space="preserve"> </w:t>
      </w:r>
      <w:r w:rsidRPr="00565540">
        <w:rPr>
          <w:rFonts w:cs="Open Sans"/>
        </w:rPr>
        <w:t>‘Statement of concern-COVID-19: human rights, disability and ethical decision making’</w:t>
      </w:r>
      <w:r>
        <w:rPr>
          <w:rFonts w:cs="Open Sans"/>
        </w:rPr>
        <w:t xml:space="preserve">, </w:t>
      </w:r>
      <w:r w:rsidRPr="0073427E">
        <w:rPr>
          <w:rFonts w:cs="Open Sans"/>
          <w:i/>
        </w:rPr>
        <w:t xml:space="preserve">Disabled </w:t>
      </w:r>
      <w:r>
        <w:rPr>
          <w:rFonts w:cs="Open Sans"/>
          <w:i/>
        </w:rPr>
        <w:t>People’s</w:t>
      </w:r>
      <w:r w:rsidRPr="0073427E">
        <w:rPr>
          <w:rFonts w:cs="Open Sans"/>
          <w:i/>
        </w:rPr>
        <w:t xml:space="preserve"> Organisations Australia</w:t>
      </w:r>
      <w:r>
        <w:rPr>
          <w:rFonts w:cs="Open Sans"/>
        </w:rPr>
        <w:t xml:space="preserve"> (Publication, 14 April 2020) &lt;</w:t>
      </w:r>
      <w:hyperlink r:id="rId8" w:history="1">
        <w:r w:rsidRPr="00906BD6">
          <w:rPr>
            <w:rStyle w:val="Hyperlink"/>
            <w:rFonts w:cs="Open Sans"/>
          </w:rPr>
          <w:t>https://dpoa.org.au/wp-content/uploads/2020/04/Statement-of-Concern-COVID-19-Human-rights-disability-and-ethical-decision-making_Final.pdf</w:t>
        </w:r>
      </w:hyperlink>
      <w:r w:rsidRPr="00212AD9">
        <w:t>&gt;</w:t>
      </w:r>
      <w:r>
        <w:rPr>
          <w:rFonts w:cs="Open Sans"/>
        </w:rPr>
        <w:t>.</w:t>
      </w:r>
    </w:p>
  </w:endnote>
  <w:endnote w:id="19">
    <w:p w14:paraId="3C520FE1" w14:textId="79032288" w:rsidR="00506E90" w:rsidRPr="005C1BB7" w:rsidRDefault="00506E90" w:rsidP="008858BC">
      <w:pPr>
        <w:pStyle w:val="EndnoteText"/>
        <w:rPr>
          <w:rFonts w:cs="Open Sans"/>
        </w:rPr>
      </w:pPr>
      <w:r w:rsidRPr="00B21967">
        <w:rPr>
          <w:rStyle w:val="EndnoteReference"/>
          <w:rFonts w:cs="Open Sans"/>
        </w:rPr>
        <w:endnoteRef/>
      </w:r>
      <w:r w:rsidRPr="00B21967">
        <w:rPr>
          <w:rFonts w:cs="Open Sans"/>
        </w:rPr>
        <w:t xml:space="preserve"> Catalina </w:t>
      </w:r>
      <w:proofErr w:type="spellStart"/>
      <w:r w:rsidRPr="00B21967">
        <w:rPr>
          <w:rFonts w:cs="Open Sans"/>
        </w:rPr>
        <w:t>Devandas</w:t>
      </w:r>
      <w:proofErr w:type="spellEnd"/>
      <w:r>
        <w:rPr>
          <w:rFonts w:cs="Open Sans"/>
        </w:rPr>
        <w:t xml:space="preserve"> Aguilar</w:t>
      </w:r>
      <w:r w:rsidRPr="00B21967">
        <w:rPr>
          <w:rFonts w:cs="Open Sans"/>
        </w:rPr>
        <w:t xml:space="preserve">, </w:t>
      </w:r>
      <w:r>
        <w:rPr>
          <w:rFonts w:cs="Open Sans"/>
        </w:rPr>
        <w:t xml:space="preserve">Special Rapporteur, </w:t>
      </w:r>
      <w:r w:rsidRPr="00B21967">
        <w:rPr>
          <w:rFonts w:cs="Open Sans"/>
        </w:rPr>
        <w:t>‘</w:t>
      </w:r>
      <w:r w:rsidRPr="005C1BB7">
        <w:rPr>
          <w:rFonts w:cs="Open Sans"/>
          <w:color w:val="000000"/>
          <w:shd w:val="clear" w:color="auto" w:fill="FFFFFF"/>
        </w:rPr>
        <w:t>COVID-19: Who is protecting the people with disabilities? – UN rights expert</w:t>
      </w:r>
      <w:r w:rsidRPr="00DF1D29">
        <w:rPr>
          <w:rFonts w:cs="Open Sans"/>
          <w:color w:val="000000"/>
          <w:shd w:val="clear" w:color="auto" w:fill="FFFFFF"/>
        </w:rPr>
        <w:t>’,</w:t>
      </w:r>
      <w:r w:rsidRPr="00DF1D29">
        <w:rPr>
          <w:rFonts w:cs="Open Sans"/>
        </w:rPr>
        <w:t xml:space="preserve"> </w:t>
      </w:r>
      <w:r w:rsidRPr="00B93638">
        <w:rPr>
          <w:rFonts w:cs="Open Sans"/>
          <w:i/>
        </w:rPr>
        <w:t>UN Office of the High Commissioner for Human Rights</w:t>
      </w:r>
      <w:r w:rsidRPr="00B93638">
        <w:rPr>
          <w:rFonts w:cs="Open Sans"/>
          <w:color w:val="000000"/>
          <w:shd w:val="clear" w:color="auto" w:fill="FFFFFF"/>
        </w:rPr>
        <w:t xml:space="preserve"> (Web </w:t>
      </w:r>
      <w:r w:rsidRPr="00DF1D29">
        <w:rPr>
          <w:rFonts w:cs="Open Sans"/>
          <w:color w:val="000000"/>
          <w:shd w:val="clear" w:color="auto" w:fill="FFFFFF"/>
        </w:rPr>
        <w:t>Page, 17 March 2020) &lt;</w:t>
      </w:r>
      <w:hyperlink r:id="rId9" w:history="1">
        <w:r w:rsidRPr="005C1BB7">
          <w:rPr>
            <w:rStyle w:val="Hyperlink"/>
            <w:rFonts w:cs="Open Sans"/>
          </w:rPr>
          <w:t>https://www.ohchr.org/EN/NewsEvents/Pages/DisplayNews.aspx?NewsID=25725&amp;LangID=E&amp;fbclid=IwAR0BtrEp7xOtFlARx_MRhcdxTyNJCVymIS0eBi55zc8Q4P9QysdtzvZDS3k</w:t>
        </w:r>
      </w:hyperlink>
      <w:r w:rsidRPr="00B21967">
        <w:rPr>
          <w:rStyle w:val="Hyperlink"/>
          <w:rFonts w:cs="Open Sans"/>
        </w:rPr>
        <w:t>&gt;</w:t>
      </w:r>
      <w:r w:rsidRPr="005C1BB7">
        <w:rPr>
          <w:rFonts w:cs="Open Sans"/>
        </w:rPr>
        <w:t>.</w:t>
      </w:r>
    </w:p>
  </w:endnote>
  <w:endnote w:id="20">
    <w:p w14:paraId="333802EE" w14:textId="52C4AB20" w:rsidR="00506E90" w:rsidRPr="00906BD6" w:rsidRDefault="00506E90" w:rsidP="008858BC">
      <w:pPr>
        <w:pStyle w:val="EndnoteText"/>
        <w:rPr>
          <w:rFonts w:cs="Open Sans"/>
        </w:rPr>
      </w:pPr>
      <w:r w:rsidRPr="00B21967">
        <w:rPr>
          <w:rStyle w:val="EndnoteReference"/>
          <w:rFonts w:cs="Open Sans"/>
        </w:rPr>
        <w:endnoteRef/>
      </w:r>
      <w:r w:rsidRPr="00B21967">
        <w:rPr>
          <w:rFonts w:cs="Open Sans"/>
        </w:rPr>
        <w:t xml:space="preserve"> </w:t>
      </w:r>
      <w:r w:rsidRPr="005C1BB7">
        <w:rPr>
          <w:rFonts w:cs="Open Sans"/>
        </w:rPr>
        <w:t>‘</w:t>
      </w:r>
      <w:r>
        <w:rPr>
          <w:rFonts w:cs="Open Sans"/>
        </w:rPr>
        <w:t>’</w:t>
      </w:r>
      <w:r w:rsidRPr="00B21967">
        <w:rPr>
          <w:rFonts w:cs="Open Sans"/>
          <w:color w:val="000000"/>
          <w:shd w:val="clear" w:color="auto" w:fill="FFFFFF"/>
        </w:rPr>
        <w:t>No exceptions with COVID-19: “Everyone has the right to life-saving interventions”</w:t>
      </w:r>
      <w:r>
        <w:rPr>
          <w:rFonts w:cs="Open Sans"/>
          <w:color w:val="000000"/>
          <w:shd w:val="clear" w:color="auto" w:fill="FFFFFF"/>
        </w:rPr>
        <w:t xml:space="preserve"> </w:t>
      </w:r>
      <w:r w:rsidRPr="00B21967">
        <w:rPr>
          <w:rFonts w:cs="Open Sans"/>
          <w:color w:val="000000"/>
          <w:shd w:val="clear" w:color="auto" w:fill="FFFFFF"/>
        </w:rPr>
        <w:t xml:space="preserve">– UN experts say’, </w:t>
      </w:r>
      <w:r w:rsidRPr="00B21967">
        <w:rPr>
          <w:rFonts w:cs="Open Sans"/>
          <w:i/>
        </w:rPr>
        <w:t>UN Office of the High Commissioner for Human Rights</w:t>
      </w:r>
      <w:r w:rsidRPr="00B21967">
        <w:rPr>
          <w:rFonts w:cs="Open Sans"/>
          <w:color w:val="000000"/>
          <w:shd w:val="clear" w:color="auto" w:fill="FFFFFF"/>
        </w:rPr>
        <w:t xml:space="preserve"> (Web Page, 26 March 2020)</w:t>
      </w:r>
      <w:r>
        <w:rPr>
          <w:rFonts w:cs="Open Sans"/>
          <w:color w:val="000000"/>
          <w:shd w:val="clear" w:color="auto" w:fill="FFFFFF"/>
        </w:rPr>
        <w:t xml:space="preserve"> &lt;</w:t>
      </w:r>
      <w:hyperlink r:id="rId10" w:history="1">
        <w:r w:rsidRPr="00906BD6">
          <w:rPr>
            <w:rStyle w:val="Hyperlink"/>
            <w:rFonts w:cs="Open Sans"/>
          </w:rPr>
          <w:t>https://www.ohchr.org/EN/NewsEvents/Pages/DisplayNews.aspx?NewsID=25746&amp;LangID=E</w:t>
        </w:r>
      </w:hyperlink>
      <w:r w:rsidRPr="00836348">
        <w:t>&gt;</w:t>
      </w:r>
      <w:r>
        <w:rPr>
          <w:rFonts w:cs="Open Sans"/>
        </w:rPr>
        <w:t>.</w:t>
      </w:r>
    </w:p>
  </w:endnote>
  <w:endnote w:id="21">
    <w:p w14:paraId="5E4AC8B1" w14:textId="6F168452" w:rsidR="00506E90" w:rsidRPr="002F4ACB" w:rsidRDefault="00506E90">
      <w:pPr>
        <w:pStyle w:val="EndnoteText"/>
        <w:rPr>
          <w:rFonts w:cs="Open Sans"/>
        </w:rPr>
      </w:pPr>
      <w:r>
        <w:rPr>
          <w:rStyle w:val="EndnoteReference"/>
        </w:rPr>
        <w:endnoteRef/>
      </w:r>
      <w:r>
        <w:t xml:space="preserve"> </w:t>
      </w:r>
      <w:r w:rsidRPr="0073427E">
        <w:rPr>
          <w:rFonts w:cs="Open Sans"/>
        </w:rPr>
        <w:t xml:space="preserve">Antonio </w:t>
      </w:r>
      <w:r w:rsidRPr="00D76839">
        <w:rPr>
          <w:rFonts w:cs="Open Sans"/>
        </w:rPr>
        <w:t>Guterres</w:t>
      </w:r>
      <w:r w:rsidRPr="002F4ACB">
        <w:rPr>
          <w:rFonts w:cs="Open Sans"/>
        </w:rPr>
        <w:t>, ‘We have a unique opportunity to design and implement more inclusive and accessible societies</w:t>
      </w:r>
      <w:r>
        <w:rPr>
          <w:rFonts w:cs="Open Sans"/>
        </w:rPr>
        <w:t xml:space="preserve">’, </w:t>
      </w:r>
      <w:r w:rsidRPr="0073427E">
        <w:rPr>
          <w:rFonts w:cs="Open Sans"/>
          <w:i/>
        </w:rPr>
        <w:t>United Nation</w:t>
      </w:r>
      <w:r>
        <w:rPr>
          <w:rFonts w:cs="Open Sans"/>
          <w:i/>
        </w:rPr>
        <w:t>s COVID-19 response</w:t>
      </w:r>
      <w:r>
        <w:rPr>
          <w:rFonts w:cs="Open Sans"/>
        </w:rPr>
        <w:t xml:space="preserve"> </w:t>
      </w:r>
      <w:r w:rsidRPr="002F4ACB">
        <w:rPr>
          <w:rFonts w:cs="Open Sans"/>
        </w:rPr>
        <w:t>(</w:t>
      </w:r>
      <w:r>
        <w:rPr>
          <w:rFonts w:cs="Open Sans"/>
        </w:rPr>
        <w:t xml:space="preserve">Web Page, </w:t>
      </w:r>
      <w:r w:rsidRPr="002F4ACB">
        <w:rPr>
          <w:rFonts w:cs="Open Sans"/>
        </w:rPr>
        <w:t>6 May 2020)</w:t>
      </w:r>
      <w:r>
        <w:rPr>
          <w:rFonts w:cs="Open Sans"/>
        </w:rPr>
        <w:t xml:space="preserve"> &lt;</w:t>
      </w:r>
      <w:hyperlink r:id="rId11" w:history="1">
        <w:r w:rsidRPr="002F4ACB">
          <w:rPr>
            <w:rStyle w:val="Hyperlink"/>
            <w:rFonts w:cs="Open Sans"/>
          </w:rPr>
          <w:t>https://www.un.org/en/coronavirus/we-have-unique-opportunity-design-and-implement-more-inclusive-and-accessible-societies</w:t>
        </w:r>
      </w:hyperlink>
      <w:r>
        <w:rPr>
          <w:rFonts w:cs="Open Sans"/>
        </w:rPr>
        <w:t>&gt;.</w:t>
      </w:r>
    </w:p>
  </w:endnote>
  <w:endnote w:id="22">
    <w:p w14:paraId="74962F0E" w14:textId="74B34F51" w:rsidR="00506E90" w:rsidRPr="002F4ACB" w:rsidRDefault="00506E90">
      <w:pPr>
        <w:pStyle w:val="EndnoteText"/>
        <w:rPr>
          <w:rFonts w:cs="Open Sans"/>
        </w:rPr>
      </w:pPr>
      <w:r>
        <w:rPr>
          <w:rStyle w:val="EndnoteReference"/>
        </w:rPr>
        <w:endnoteRef/>
      </w:r>
      <w:r>
        <w:t xml:space="preserve"> </w:t>
      </w:r>
      <w:r w:rsidRPr="006F5B21">
        <w:rPr>
          <w:rFonts w:cs="Open Sans"/>
        </w:rPr>
        <w:t>‘</w:t>
      </w:r>
      <w:r w:rsidRPr="00373BB0">
        <w:rPr>
          <w:rFonts w:cs="Open Sans"/>
        </w:rPr>
        <w:t xml:space="preserve">COVID-19: </w:t>
      </w:r>
      <w:r w:rsidRPr="006C1735">
        <w:rPr>
          <w:rFonts w:cs="Open Sans"/>
        </w:rPr>
        <w:t>Bachelet urges States to t</w:t>
      </w:r>
      <w:r w:rsidRPr="00062120">
        <w:rPr>
          <w:rFonts w:cs="Open Sans"/>
        </w:rPr>
        <w:t>ake extra steps to include people with disabilities’</w:t>
      </w:r>
      <w:r>
        <w:rPr>
          <w:rFonts w:cs="Open Sans"/>
        </w:rPr>
        <w:t xml:space="preserve">, </w:t>
      </w:r>
      <w:r>
        <w:rPr>
          <w:rFonts w:cs="Open Sans"/>
          <w:i/>
          <w:iCs/>
        </w:rPr>
        <w:t>UN Office of the High Commissioner for Human Rights</w:t>
      </w:r>
      <w:r w:rsidRPr="00062120">
        <w:rPr>
          <w:rFonts w:cs="Open Sans"/>
        </w:rPr>
        <w:t xml:space="preserve"> (</w:t>
      </w:r>
      <w:r>
        <w:rPr>
          <w:rFonts w:cs="Open Sans"/>
        </w:rPr>
        <w:t>Web Page</w:t>
      </w:r>
      <w:r w:rsidRPr="00062120">
        <w:rPr>
          <w:rFonts w:cs="Open Sans"/>
        </w:rPr>
        <w:t>, 30 April 2020),</w:t>
      </w:r>
      <w:r w:rsidRPr="001C1D62">
        <w:rPr>
          <w:rFonts w:cs="Open Sans"/>
        </w:rPr>
        <w:t xml:space="preserve"> &lt;</w:t>
      </w:r>
      <w:hyperlink r:id="rId12" w:history="1">
        <w:r w:rsidRPr="001C1D62">
          <w:rPr>
            <w:rStyle w:val="Hyperlink"/>
            <w:rFonts w:cs="Open Sans"/>
          </w:rPr>
          <w:t>https://www.ohchr.org/EN/NewsEvents/Pages/DisplayNews.aspx?NewsID=25847&amp;LangID=E</w:t>
        </w:r>
      </w:hyperlink>
      <w:r w:rsidRPr="001C1D62">
        <w:rPr>
          <w:rFonts w:cs="Open Sans"/>
        </w:rPr>
        <w:t>&gt;.</w:t>
      </w:r>
    </w:p>
  </w:endnote>
  <w:endnote w:id="23">
    <w:p w14:paraId="1EDA1B9F" w14:textId="0A5E8085" w:rsidR="00506E90" w:rsidRPr="00F46042" w:rsidRDefault="00506E90">
      <w:pPr>
        <w:pStyle w:val="EndnoteText"/>
        <w:rPr>
          <w:lang w:val="en-US"/>
        </w:rPr>
      </w:pPr>
      <w:r>
        <w:rPr>
          <w:rStyle w:val="EndnoteReference"/>
        </w:rPr>
        <w:endnoteRef/>
      </w:r>
      <w:r>
        <w:t xml:space="preserve"> </w:t>
      </w:r>
      <w:r w:rsidRPr="00F46042">
        <w:rPr>
          <w:rFonts w:cs="Open Sans"/>
          <w:lang w:val="en-US"/>
        </w:rPr>
        <w:t xml:space="preserve">‘Policy Brief: Disability-Inclusive Response to COVID-19’, </w:t>
      </w:r>
      <w:r w:rsidRPr="00F46042">
        <w:rPr>
          <w:rFonts w:cs="Open Sans"/>
          <w:i/>
          <w:iCs/>
          <w:lang w:val="en-US"/>
        </w:rPr>
        <w:t>UN Sustainable Development Group</w:t>
      </w:r>
      <w:r w:rsidRPr="00F46042">
        <w:rPr>
          <w:rFonts w:cs="Open Sans"/>
          <w:lang w:val="en-US"/>
        </w:rPr>
        <w:t xml:space="preserve"> (Publication, May 2020) &lt;</w:t>
      </w:r>
      <w:hyperlink r:id="rId13" w:history="1">
        <w:r w:rsidRPr="00F46042">
          <w:rPr>
            <w:rStyle w:val="Hyperlink"/>
            <w:rFonts w:cs="Open Sans"/>
          </w:rPr>
          <w:t>https://unsdg.un.org/resources/policy-brief-disability-inclusive-response-covid-19</w:t>
        </w:r>
      </w:hyperlink>
      <w:r w:rsidRPr="00F46042">
        <w:rPr>
          <w:rFonts w:cs="Open Sans"/>
        </w:rPr>
        <w:t>&gt;.</w:t>
      </w:r>
    </w:p>
  </w:endnote>
  <w:endnote w:id="24">
    <w:p w14:paraId="06D53649" w14:textId="17CB7E27" w:rsidR="00506E90" w:rsidRPr="00906BD6" w:rsidRDefault="00506E90" w:rsidP="008858BC">
      <w:pPr>
        <w:pStyle w:val="EndnoteText"/>
        <w:rPr>
          <w:rFonts w:cs="Open Sans"/>
        </w:rPr>
      </w:pPr>
      <w:r w:rsidRPr="00906BD6">
        <w:rPr>
          <w:rStyle w:val="EndnoteReference"/>
          <w:rFonts w:cs="Open Sans"/>
        </w:rPr>
        <w:endnoteRef/>
      </w:r>
      <w:r>
        <w:rPr>
          <w:rFonts w:cs="Open Sans"/>
        </w:rPr>
        <w:t xml:space="preserve"> </w:t>
      </w:r>
      <w:r w:rsidRPr="0064041D">
        <w:rPr>
          <w:rFonts w:cs="Open Sans"/>
        </w:rPr>
        <w:t>World Health Organi</w:t>
      </w:r>
      <w:r>
        <w:rPr>
          <w:rFonts w:cs="Open Sans"/>
        </w:rPr>
        <w:t>z</w:t>
      </w:r>
      <w:r w:rsidRPr="0064041D">
        <w:rPr>
          <w:rFonts w:cs="Open Sans"/>
        </w:rPr>
        <w:t>ation</w:t>
      </w:r>
      <w:r>
        <w:rPr>
          <w:rFonts w:cs="Open Sans"/>
        </w:rPr>
        <w:t>,</w:t>
      </w:r>
      <w:r w:rsidRPr="0064041D">
        <w:rPr>
          <w:rFonts w:cs="Open Sans"/>
        </w:rPr>
        <w:t xml:space="preserve"> ‘</w:t>
      </w:r>
      <w:r>
        <w:rPr>
          <w:rFonts w:cs="Open Sans"/>
        </w:rPr>
        <w:t>Addressing human rights as key to the COVID-19 response’, (Publication, 21 April 2020) &lt;</w:t>
      </w:r>
      <w:hyperlink r:id="rId14" w:history="1">
        <w:r w:rsidRPr="00906BD6">
          <w:rPr>
            <w:rStyle w:val="Hyperlink"/>
            <w:rFonts w:cs="Open Sans"/>
          </w:rPr>
          <w:t>https://www.who.int/publications-detail/addressing-human-rights-as-key-to-the-covid-19-response</w:t>
        </w:r>
      </w:hyperlink>
      <w:r w:rsidRPr="00836348">
        <w:t>&gt;</w:t>
      </w:r>
      <w:r>
        <w:rPr>
          <w:rFonts w:cs="Open Sans"/>
        </w:rPr>
        <w:t>.</w:t>
      </w:r>
    </w:p>
  </w:endnote>
  <w:endnote w:id="25">
    <w:p w14:paraId="3C904F7C" w14:textId="09D8FFF2" w:rsidR="00506E90" w:rsidRPr="00906BD6" w:rsidRDefault="00506E90" w:rsidP="008858BC">
      <w:pPr>
        <w:pStyle w:val="EndnoteText"/>
        <w:rPr>
          <w:rFonts w:cs="Open Sans"/>
          <w:highlight w:val="yellow"/>
        </w:rPr>
      </w:pPr>
      <w:r w:rsidRPr="00906BD6">
        <w:rPr>
          <w:rStyle w:val="EndnoteReference"/>
          <w:rFonts w:cs="Open Sans"/>
        </w:rPr>
        <w:endnoteRef/>
      </w:r>
      <w:r w:rsidRPr="00906BD6">
        <w:rPr>
          <w:rFonts w:cs="Open Sans"/>
        </w:rPr>
        <w:t xml:space="preserve"> </w:t>
      </w:r>
      <w:r w:rsidRPr="000F2EF7">
        <w:rPr>
          <w:rFonts w:cs="Open Sans"/>
        </w:rPr>
        <w:t>‘</w:t>
      </w:r>
      <w:r w:rsidRPr="0073427E">
        <w:rPr>
          <w:rFonts w:cs="Open Sans"/>
          <w:iCs/>
        </w:rPr>
        <w:t>COVID-19: Ethical decision-making for First Peoples Living with Disability’</w:t>
      </w:r>
      <w:r>
        <w:rPr>
          <w:rFonts w:cs="Open Sans"/>
          <w:iCs/>
        </w:rPr>
        <w:t>,</w:t>
      </w:r>
      <w:r w:rsidRPr="00526A18">
        <w:rPr>
          <w:rFonts w:cs="Open Sans"/>
        </w:rPr>
        <w:t xml:space="preserve"> </w:t>
      </w:r>
      <w:r w:rsidRPr="0073427E">
        <w:rPr>
          <w:rFonts w:cs="Open Sans"/>
          <w:i/>
        </w:rPr>
        <w:t>First Peoples Disabilities Network Australia</w:t>
      </w:r>
      <w:r>
        <w:rPr>
          <w:rFonts w:cs="Open Sans"/>
        </w:rPr>
        <w:t xml:space="preserve"> </w:t>
      </w:r>
      <w:r w:rsidRPr="00526A18">
        <w:rPr>
          <w:rFonts w:cs="Open Sans"/>
        </w:rPr>
        <w:t>(</w:t>
      </w:r>
      <w:r>
        <w:rPr>
          <w:rFonts w:cs="Open Sans"/>
        </w:rPr>
        <w:t xml:space="preserve">Publication, </w:t>
      </w:r>
      <w:r w:rsidRPr="003502D7">
        <w:rPr>
          <w:rFonts w:cs="Open Sans"/>
        </w:rPr>
        <w:t xml:space="preserve">April </w:t>
      </w:r>
      <w:r w:rsidRPr="00526A18">
        <w:rPr>
          <w:rFonts w:cs="Open Sans"/>
        </w:rPr>
        <w:t>2020)</w:t>
      </w:r>
      <w:r>
        <w:rPr>
          <w:rFonts w:cs="Open Sans"/>
        </w:rPr>
        <w:t xml:space="preserve"> &lt;</w:t>
      </w:r>
      <w:hyperlink r:id="rId15" w:history="1">
        <w:r w:rsidRPr="00E25EBE">
          <w:rPr>
            <w:rStyle w:val="Hyperlink"/>
            <w:rFonts w:cs="Open Sans"/>
          </w:rPr>
          <w:t>https://fpdn.org.au/wp-content/uploads/2020/04/COVID-19-Ethical-decision-making-for-First-Peoples-Living-with-Disability.pdf</w:t>
        </w:r>
      </w:hyperlink>
      <w:r>
        <w:rPr>
          <w:rFonts w:cs="Open Sans"/>
        </w:rPr>
        <w:t>&gt;.</w:t>
      </w:r>
    </w:p>
  </w:endnote>
  <w:endnote w:id="26">
    <w:p w14:paraId="07460E09" w14:textId="6C4F266C" w:rsidR="00506E90" w:rsidRPr="00906BD6" w:rsidRDefault="00506E90" w:rsidP="008858BC">
      <w:pPr>
        <w:pStyle w:val="EndnoteText"/>
        <w:rPr>
          <w:rFonts w:cs="Open Sans"/>
        </w:rPr>
      </w:pPr>
      <w:r w:rsidRPr="00906BD6">
        <w:rPr>
          <w:rStyle w:val="EndnoteReference"/>
          <w:rFonts w:cs="Open Sans"/>
        </w:rPr>
        <w:endnoteRef/>
      </w:r>
      <w:r w:rsidRPr="00906BD6">
        <w:rPr>
          <w:rFonts w:cs="Open Sans"/>
        </w:rPr>
        <w:t xml:space="preserve"> </w:t>
      </w:r>
      <w:r w:rsidRPr="009A343E">
        <w:rPr>
          <w:rFonts w:cs="Open Sans"/>
        </w:rPr>
        <w:t>See</w:t>
      </w:r>
      <w:r w:rsidRPr="00906BD6">
        <w:rPr>
          <w:rFonts w:cs="Open Sans"/>
        </w:rPr>
        <w:t xml:space="preserve"> for example: </w:t>
      </w:r>
      <w:r>
        <w:rPr>
          <w:rFonts w:cs="Open Sans"/>
        </w:rPr>
        <w:t xml:space="preserve">Hannah </w:t>
      </w:r>
      <w:proofErr w:type="spellStart"/>
      <w:r w:rsidRPr="005C42A6">
        <w:rPr>
          <w:rFonts w:cs="Open Sans"/>
        </w:rPr>
        <w:t>K</w:t>
      </w:r>
      <w:r w:rsidRPr="005C42A6">
        <w:rPr>
          <w:rStyle w:val="article-title-and-info"/>
          <w:rFonts w:cs="Open Sans"/>
          <w:spacing w:val="3"/>
          <w:shd w:val="clear" w:color="auto" w:fill="FFFFFF"/>
        </w:rPr>
        <w:t>uper</w:t>
      </w:r>
      <w:proofErr w:type="spellEnd"/>
      <w:r w:rsidRPr="005C42A6">
        <w:rPr>
          <w:rStyle w:val="article-title-and-info"/>
          <w:rFonts w:cs="Open Sans"/>
          <w:spacing w:val="3"/>
          <w:shd w:val="clear" w:color="auto" w:fill="FFFFFF"/>
        </w:rPr>
        <w:t xml:space="preserve"> et al, ‘Disability-inclusive COVID-19 response: What it is, why it is important and what we can learn from the United Kingdom’s </w:t>
      </w:r>
      <w:r w:rsidRPr="00295355">
        <w:rPr>
          <w:rStyle w:val="article-title-and-info"/>
          <w:rFonts w:cs="Open Sans"/>
          <w:spacing w:val="3"/>
          <w:shd w:val="clear" w:color="auto" w:fill="FFFFFF"/>
        </w:rPr>
        <w:t>response’,</w:t>
      </w:r>
      <w:r w:rsidRPr="00AD5E37">
        <w:rPr>
          <w:rStyle w:val="article-title-and-info"/>
          <w:rFonts w:cs="Open Sans"/>
          <w:spacing w:val="3"/>
          <w:shd w:val="clear" w:color="auto" w:fill="FFFFFF"/>
        </w:rPr>
        <w:t xml:space="preserve"> </w:t>
      </w:r>
      <w:r w:rsidRPr="00F46042">
        <w:rPr>
          <w:rFonts w:cs="Open Sans"/>
          <w:color w:val="333333"/>
          <w:spacing w:val="3"/>
          <w:shd w:val="clear" w:color="auto" w:fill="FFFFFF"/>
        </w:rPr>
        <w:t>[version 1; peer review: 2 approved]</w:t>
      </w:r>
      <w:r w:rsidRPr="00295355">
        <w:rPr>
          <w:rStyle w:val="article-title-and-info"/>
          <w:rFonts w:cs="Open Sans"/>
          <w:spacing w:val="3"/>
          <w:shd w:val="clear" w:color="auto" w:fill="FFFFFF"/>
        </w:rPr>
        <w:t xml:space="preserve"> </w:t>
      </w:r>
      <w:proofErr w:type="spellStart"/>
      <w:r w:rsidRPr="00AD5E37">
        <w:rPr>
          <w:rFonts w:cs="Open Sans"/>
          <w:i/>
          <w:iCs/>
          <w:spacing w:val="3"/>
          <w:shd w:val="clear" w:color="auto" w:fill="FFFFFF"/>
        </w:rPr>
        <w:t>Wellcome</w:t>
      </w:r>
      <w:proofErr w:type="spellEnd"/>
      <w:r w:rsidRPr="00AD5E37">
        <w:rPr>
          <w:rFonts w:cs="Open Sans"/>
          <w:i/>
          <w:iCs/>
          <w:spacing w:val="3"/>
          <w:shd w:val="clear" w:color="auto" w:fill="FFFFFF"/>
        </w:rPr>
        <w:t xml:space="preserve"> Open Research</w:t>
      </w:r>
      <w:r w:rsidRPr="00AD5E37">
        <w:rPr>
          <w:rFonts w:cs="Open Sans"/>
          <w:spacing w:val="3"/>
          <w:shd w:val="clear" w:color="auto" w:fill="FFFFFF"/>
        </w:rPr>
        <w:t xml:space="preserve"> (</w:t>
      </w:r>
      <w:proofErr w:type="spellStart"/>
      <w:r w:rsidRPr="00AD5E37">
        <w:rPr>
          <w:rFonts w:cs="Open Sans"/>
          <w:spacing w:val="3"/>
          <w:shd w:val="clear" w:color="auto" w:fill="FFFFFF"/>
        </w:rPr>
        <w:t>Kuper</w:t>
      </w:r>
      <w:proofErr w:type="spellEnd"/>
      <w:r w:rsidRPr="00AD5E37">
        <w:rPr>
          <w:rFonts w:cs="Open Sans"/>
          <w:spacing w:val="3"/>
          <w:shd w:val="clear" w:color="auto" w:fill="FFFFFF"/>
        </w:rPr>
        <w:t xml:space="preserve"> et al Open Letter, 28 April 2020)</w:t>
      </w:r>
      <w:r w:rsidRPr="005C42A6">
        <w:rPr>
          <w:rFonts w:cs="Open Sans"/>
          <w:spacing w:val="3"/>
          <w:shd w:val="clear" w:color="auto" w:fill="FFFFFF"/>
        </w:rPr>
        <w:t xml:space="preserve"> </w:t>
      </w:r>
      <w:r>
        <w:rPr>
          <w:rFonts w:cs="Open Sans"/>
          <w:i/>
          <w:iCs/>
          <w:color w:val="333333"/>
          <w:spacing w:val="3"/>
          <w:shd w:val="clear" w:color="auto" w:fill="FFFFFF"/>
        </w:rPr>
        <w:t>&lt;</w:t>
      </w:r>
      <w:hyperlink r:id="rId16" w:tgtFrame="_blank" w:history="1">
        <w:r w:rsidRPr="00F46042">
          <w:rPr>
            <w:rStyle w:val="Hyperlink"/>
            <w:rFonts w:cs="Open Sans"/>
            <w:color w:val="0070C0"/>
            <w:spacing w:val="3"/>
            <w:shd w:val="clear" w:color="auto" w:fill="FFFFFF"/>
          </w:rPr>
          <w:t>https://doi.org/10.12688/wellcomeopenres.15833.1</w:t>
        </w:r>
      </w:hyperlink>
      <w:r w:rsidRPr="00836348">
        <w:t xml:space="preserve">&gt;; and </w:t>
      </w:r>
      <w:r w:rsidRPr="00906BD6">
        <w:rPr>
          <w:rFonts w:cs="Open Sans"/>
        </w:rPr>
        <w:t>‘Disability, COVID-19 and Triage: Exploring Resource Allocation and the Framing of Disability’</w:t>
      </w:r>
      <w:r>
        <w:rPr>
          <w:rFonts w:cs="Open Sans"/>
        </w:rPr>
        <w:t xml:space="preserve">, </w:t>
      </w:r>
      <w:r w:rsidRPr="0073427E">
        <w:rPr>
          <w:rFonts w:cs="Open Sans"/>
          <w:i/>
        </w:rPr>
        <w:t>Petrie-</w:t>
      </w:r>
      <w:proofErr w:type="spellStart"/>
      <w:r w:rsidRPr="0073427E">
        <w:rPr>
          <w:rFonts w:cs="Open Sans"/>
          <w:i/>
        </w:rPr>
        <w:t>Flom</w:t>
      </w:r>
      <w:proofErr w:type="spellEnd"/>
      <w:r w:rsidRPr="0073427E">
        <w:rPr>
          <w:rFonts w:cs="Open Sans"/>
          <w:i/>
        </w:rPr>
        <w:t xml:space="preserve"> </w:t>
      </w:r>
      <w:proofErr w:type="spellStart"/>
      <w:r w:rsidRPr="0073427E">
        <w:rPr>
          <w:rFonts w:cs="Open Sans"/>
          <w:i/>
        </w:rPr>
        <w:t>Center</w:t>
      </w:r>
      <w:proofErr w:type="spellEnd"/>
      <w:r w:rsidRPr="0073427E">
        <w:rPr>
          <w:rFonts w:cs="Open Sans"/>
          <w:i/>
        </w:rPr>
        <w:t xml:space="preserve"> for Health Law Policy, Biotechnology, and Bioethics at Harvard Law School</w:t>
      </w:r>
      <w:r w:rsidRPr="00906BD6">
        <w:rPr>
          <w:rFonts w:cs="Open Sans"/>
        </w:rPr>
        <w:t xml:space="preserve"> (</w:t>
      </w:r>
      <w:r>
        <w:rPr>
          <w:rFonts w:cs="Open Sans"/>
        </w:rPr>
        <w:t xml:space="preserve">Web Page, </w:t>
      </w:r>
      <w:r w:rsidRPr="00906BD6">
        <w:rPr>
          <w:rFonts w:cs="Open Sans"/>
        </w:rPr>
        <w:t>14 April 2020)</w:t>
      </w:r>
      <w:r>
        <w:rPr>
          <w:rFonts w:cs="Open Sans"/>
        </w:rPr>
        <w:t xml:space="preserve"> &lt;</w:t>
      </w:r>
      <w:hyperlink r:id="rId17" w:history="1">
        <w:r w:rsidRPr="00906BD6">
          <w:rPr>
            <w:rStyle w:val="Hyperlink"/>
            <w:rFonts w:cs="Open Sans"/>
          </w:rPr>
          <w:t>https://petrieflom.law.harvard.edu/events/details/book-launch-disability-health-law-and-bioethics</w:t>
        </w:r>
      </w:hyperlink>
      <w:r w:rsidRPr="00836348">
        <w:t>&gt;</w:t>
      </w:r>
      <w:r>
        <w:rPr>
          <w:rFonts w:cs="Open Sans"/>
        </w:rPr>
        <w:t>.</w:t>
      </w:r>
    </w:p>
  </w:endnote>
  <w:endnote w:id="27">
    <w:p w14:paraId="4C0160BC" w14:textId="3381DB6C" w:rsidR="00506E90" w:rsidRPr="00F46042" w:rsidRDefault="00506E90">
      <w:pPr>
        <w:pStyle w:val="EndnoteText"/>
        <w:rPr>
          <w:lang w:val="en-US"/>
        </w:rPr>
      </w:pPr>
      <w:r>
        <w:rPr>
          <w:rStyle w:val="EndnoteReference"/>
        </w:rPr>
        <w:endnoteRef/>
      </w:r>
      <w:r>
        <w:t xml:space="preserve"> </w:t>
      </w:r>
      <w:r w:rsidRPr="00F46042">
        <w:rPr>
          <w:rFonts w:cs="Open Sans"/>
          <w:lang w:val="en-US"/>
        </w:rPr>
        <w:t>Office of the High Commissioner f</w:t>
      </w:r>
      <w:r>
        <w:rPr>
          <w:rFonts w:cs="Open Sans"/>
          <w:lang w:val="en-US"/>
        </w:rPr>
        <w:t>or</w:t>
      </w:r>
      <w:r w:rsidRPr="00F46042">
        <w:rPr>
          <w:rFonts w:cs="Open Sans"/>
          <w:lang w:val="en-US"/>
        </w:rPr>
        <w:t xml:space="preserve"> Human Rights, </w:t>
      </w:r>
      <w:r>
        <w:rPr>
          <w:rFonts w:cs="Open Sans"/>
          <w:lang w:val="en-US"/>
        </w:rPr>
        <w:t>‘</w:t>
      </w:r>
      <w:r w:rsidRPr="00F46042">
        <w:rPr>
          <w:rFonts w:cs="Open Sans"/>
          <w:lang w:val="en-US"/>
        </w:rPr>
        <w:t>COVID-19 and the Rights of Persons with Disabilities: Guidance</w:t>
      </w:r>
      <w:r>
        <w:rPr>
          <w:rFonts w:cs="Open Sans"/>
          <w:lang w:val="en-US"/>
        </w:rPr>
        <w:t>’</w:t>
      </w:r>
      <w:r w:rsidRPr="00F46042">
        <w:rPr>
          <w:rFonts w:cs="Open Sans"/>
          <w:lang w:val="en-US"/>
        </w:rPr>
        <w:t xml:space="preserve"> (</w:t>
      </w:r>
      <w:r>
        <w:rPr>
          <w:rFonts w:cs="Open Sans"/>
          <w:lang w:val="en-US"/>
        </w:rPr>
        <w:t xml:space="preserve">Publication, </w:t>
      </w:r>
      <w:r w:rsidRPr="00F46042">
        <w:rPr>
          <w:rFonts w:cs="Open Sans"/>
          <w:lang w:val="en-US"/>
        </w:rPr>
        <w:t>29 April 2020) &lt;</w:t>
      </w:r>
      <w:hyperlink r:id="rId18" w:history="1">
        <w:r w:rsidRPr="00F46042">
          <w:rPr>
            <w:rStyle w:val="Hyperlink"/>
            <w:rFonts w:cs="Open Sans"/>
          </w:rPr>
          <w:t>https://www.ohchr.org/Documents/Issues/Disability/COVID-19_and_The_Rights_of_Persons_with_Disabilities.pdf</w:t>
        </w:r>
      </w:hyperlink>
      <w:r w:rsidRPr="00F46042">
        <w:rPr>
          <w:rFonts w:cs="Open Sans"/>
        </w:rPr>
        <w:t>&gt;.</w:t>
      </w:r>
    </w:p>
  </w:endnote>
  <w:endnote w:id="28">
    <w:p w14:paraId="04A23366" w14:textId="3AEA64C9" w:rsidR="00506E90" w:rsidRPr="00906BD6" w:rsidRDefault="00506E90" w:rsidP="00E967AB">
      <w:pPr>
        <w:pStyle w:val="EndnoteText"/>
        <w:rPr>
          <w:rFonts w:cs="Open Sans"/>
        </w:rPr>
      </w:pPr>
      <w:r>
        <w:rPr>
          <w:rStyle w:val="EndnoteReference"/>
        </w:rPr>
        <w:endnoteRef/>
      </w:r>
      <w:r>
        <w:t xml:space="preserve"> </w:t>
      </w:r>
      <w:r w:rsidRPr="00906BD6">
        <w:rPr>
          <w:rFonts w:cs="Open Sans"/>
        </w:rPr>
        <w:t>The CRPD is applicable to all levels of government by virtue of Article 4(5).</w:t>
      </w:r>
    </w:p>
  </w:endnote>
  <w:endnote w:id="29">
    <w:p w14:paraId="25951569" w14:textId="77777777" w:rsidR="00506E90" w:rsidRPr="00906BD6" w:rsidRDefault="00506E90" w:rsidP="008858BC">
      <w:pPr>
        <w:pStyle w:val="EndnoteText"/>
        <w:rPr>
          <w:rFonts w:cs="Open Sans"/>
          <w:lang w:val="en-US"/>
        </w:rPr>
      </w:pPr>
      <w:r w:rsidRPr="00906BD6">
        <w:rPr>
          <w:rStyle w:val="EndnoteReference"/>
          <w:rFonts w:cs="Open Sans"/>
        </w:rPr>
        <w:endnoteRef/>
      </w:r>
      <w:r w:rsidRPr="00906BD6">
        <w:rPr>
          <w:rFonts w:cs="Open Sans"/>
        </w:rPr>
        <w:t xml:space="preserve"> </w:t>
      </w:r>
      <w:proofErr w:type="spellStart"/>
      <w:r w:rsidRPr="00906BD6">
        <w:rPr>
          <w:rFonts w:cs="Open Sans"/>
          <w:lang w:val="en-US"/>
        </w:rPr>
        <w:t>Ilias</w:t>
      </w:r>
      <w:proofErr w:type="spellEnd"/>
      <w:r w:rsidRPr="00906BD6">
        <w:rPr>
          <w:rFonts w:cs="Open Sans"/>
          <w:lang w:val="en-US"/>
        </w:rPr>
        <w:t xml:space="preserve"> </w:t>
      </w:r>
      <w:proofErr w:type="spellStart"/>
      <w:r w:rsidRPr="00906BD6">
        <w:rPr>
          <w:rFonts w:cs="Open Sans"/>
          <w:lang w:val="en-US"/>
        </w:rPr>
        <w:t>Bantekas</w:t>
      </w:r>
      <w:proofErr w:type="spellEnd"/>
      <w:r w:rsidRPr="00906BD6">
        <w:rPr>
          <w:rFonts w:cs="Open Sans"/>
          <w:lang w:val="en-US"/>
        </w:rPr>
        <w:t xml:space="preserve"> et al </w:t>
      </w:r>
      <w:r w:rsidRPr="00906BD6">
        <w:rPr>
          <w:rFonts w:cs="Open Sans"/>
          <w:i/>
          <w:iCs/>
          <w:lang w:val="en-US"/>
        </w:rPr>
        <w:t>The UN Convention on the Rights of Persons with Disabilities: A Commentary</w:t>
      </w:r>
      <w:r w:rsidRPr="00906BD6">
        <w:rPr>
          <w:rFonts w:cs="Open Sans"/>
          <w:lang w:val="en-US"/>
        </w:rPr>
        <w:t xml:space="preserve"> (Oxford University Press, 2018) 90.</w:t>
      </w:r>
    </w:p>
  </w:endnote>
  <w:endnote w:id="30">
    <w:p w14:paraId="63632214"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 </w:t>
      </w:r>
      <w:r>
        <w:rPr>
          <w:rFonts w:cs="Open Sans"/>
          <w:lang w:val="en-US"/>
        </w:rPr>
        <w:t>91</w:t>
      </w:r>
      <w:r w:rsidRPr="000675A7">
        <w:rPr>
          <w:rFonts w:cs="Open Sans"/>
          <w:lang w:val="en-US"/>
        </w:rPr>
        <w:t>.</w:t>
      </w:r>
    </w:p>
  </w:endnote>
  <w:endnote w:id="31">
    <w:p w14:paraId="6D1F374C"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 9</w:t>
      </w:r>
      <w:r>
        <w:rPr>
          <w:rFonts w:cs="Open Sans"/>
          <w:lang w:val="en-US"/>
        </w:rPr>
        <w:t>2</w:t>
      </w:r>
      <w:r w:rsidRPr="000675A7">
        <w:rPr>
          <w:rFonts w:cs="Open Sans"/>
          <w:lang w:val="en-US"/>
        </w:rPr>
        <w:t>.</w:t>
      </w:r>
    </w:p>
  </w:endnote>
  <w:endnote w:id="32">
    <w:p w14:paraId="45A56B0B" w14:textId="2AAB995A" w:rsidR="00506E90" w:rsidRPr="0073427E" w:rsidRDefault="00506E90">
      <w:pPr>
        <w:pStyle w:val="EndnoteText"/>
        <w:rPr>
          <w:lang w:val="en-US"/>
        </w:rPr>
      </w:pPr>
      <w:r>
        <w:rPr>
          <w:rStyle w:val="EndnoteReference"/>
        </w:rPr>
        <w:endnoteRef/>
      </w:r>
      <w:r>
        <w:t xml:space="preserve"> </w:t>
      </w:r>
      <w:r w:rsidRPr="0073427E">
        <w:rPr>
          <w:rFonts w:cs="Open Sans"/>
          <w:lang w:val="en-US"/>
        </w:rPr>
        <w:t>‘Intersectionality’ refers to the overlapping characteristics of</w:t>
      </w:r>
      <w:r>
        <w:rPr>
          <w:rFonts w:cs="Open Sans"/>
          <w:lang w:val="en-US"/>
        </w:rPr>
        <w:t xml:space="preserve"> </w:t>
      </w:r>
      <w:r w:rsidRPr="0073427E">
        <w:rPr>
          <w:rFonts w:cs="Open Sans"/>
          <w:lang w:val="en-US"/>
        </w:rPr>
        <w:t>a person’s identity (for example, race, gender, sexual orientation, disability) which may combine to result in discrimination and disadvantage.</w:t>
      </w:r>
    </w:p>
  </w:endnote>
  <w:endnote w:id="33">
    <w:p w14:paraId="61995D3D"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 9</w:t>
      </w:r>
      <w:r>
        <w:rPr>
          <w:rFonts w:cs="Open Sans"/>
          <w:lang w:val="en-US"/>
        </w:rPr>
        <w:t>3</w:t>
      </w:r>
      <w:r w:rsidRPr="000675A7">
        <w:rPr>
          <w:rFonts w:cs="Open Sans"/>
          <w:lang w:val="en-US"/>
        </w:rPr>
        <w:t>.</w:t>
      </w:r>
    </w:p>
  </w:endnote>
  <w:endnote w:id="34">
    <w:p w14:paraId="539AC619"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 9</w:t>
      </w:r>
      <w:r>
        <w:rPr>
          <w:rFonts w:cs="Open Sans"/>
          <w:lang w:val="en-US"/>
        </w:rPr>
        <w:t>3</w:t>
      </w:r>
      <w:r w:rsidRPr="000675A7">
        <w:rPr>
          <w:rFonts w:cs="Open Sans"/>
          <w:lang w:val="en-US"/>
        </w:rPr>
        <w:t>.</w:t>
      </w:r>
    </w:p>
  </w:endnote>
  <w:endnote w:id="35">
    <w:p w14:paraId="5B6AE81C" w14:textId="4DDF3F1D" w:rsidR="00506E90" w:rsidRPr="00F46042" w:rsidRDefault="00506E90" w:rsidP="00517750">
      <w:pPr>
        <w:pStyle w:val="EndnoteText"/>
        <w:rPr>
          <w:rFonts w:cs="Open Sans"/>
          <w:i/>
          <w:iCs/>
        </w:rPr>
      </w:pPr>
      <w:r>
        <w:rPr>
          <w:rStyle w:val="EndnoteReference"/>
        </w:rPr>
        <w:endnoteRef/>
      </w:r>
      <w:r>
        <w:t xml:space="preserve"> </w:t>
      </w:r>
      <w:r w:rsidRPr="0073427E">
        <w:rPr>
          <w:rFonts w:cs="Open Sans"/>
        </w:rPr>
        <w:t>Committee on the Rights of Persons with Disabilities,</w:t>
      </w:r>
      <w:r w:rsidRPr="00F46042">
        <w:rPr>
          <w:rFonts w:cs="Open Sans"/>
          <w:i/>
          <w:iCs/>
        </w:rPr>
        <w:t xml:space="preserve"> General</w:t>
      </w:r>
    </w:p>
    <w:p w14:paraId="2F576DF0" w14:textId="318294B0" w:rsidR="00506E90" w:rsidRPr="0073427E" w:rsidRDefault="00506E90" w:rsidP="00517750">
      <w:pPr>
        <w:pStyle w:val="EndnoteText"/>
        <w:rPr>
          <w:rFonts w:cs="Open Sans"/>
        </w:rPr>
      </w:pPr>
      <w:r w:rsidRPr="00F46042">
        <w:rPr>
          <w:rFonts w:cs="Open Sans"/>
          <w:i/>
          <w:iCs/>
        </w:rPr>
        <w:t>Comment No 1: Article 12: Equal Recognition before the Law</w:t>
      </w:r>
      <w:r w:rsidRPr="0073427E">
        <w:rPr>
          <w:rFonts w:cs="Open Sans"/>
        </w:rPr>
        <w:t>, UN Doc</w:t>
      </w:r>
    </w:p>
    <w:p w14:paraId="3FC9043F" w14:textId="1FC088C9" w:rsidR="00506E90" w:rsidRDefault="00506E90" w:rsidP="00517750">
      <w:pPr>
        <w:pStyle w:val="EndnoteText"/>
      </w:pPr>
      <w:r w:rsidRPr="0073427E">
        <w:rPr>
          <w:rFonts w:cs="Open Sans"/>
        </w:rPr>
        <w:t>CRPD/C/GC/1 (11 April 2014) [17].</w:t>
      </w:r>
    </w:p>
  </w:endnote>
  <w:endnote w:id="36">
    <w:p w14:paraId="19280978" w14:textId="64D09D2B" w:rsidR="00506E90" w:rsidRPr="00660587" w:rsidRDefault="00506E90">
      <w:pPr>
        <w:pStyle w:val="EndnoteText"/>
        <w:rPr>
          <w:lang w:val="en-US"/>
        </w:rPr>
      </w:pPr>
      <w:r w:rsidRPr="0061053C">
        <w:rPr>
          <w:rStyle w:val="EndnoteReference"/>
        </w:rPr>
        <w:endnoteRef/>
      </w:r>
      <w:r w:rsidRPr="0061053C">
        <w:t xml:space="preserve"> </w:t>
      </w:r>
      <w:r w:rsidRPr="0073427E">
        <w:rPr>
          <w:rFonts w:cs="Open Sans"/>
          <w:lang w:val="en-US"/>
        </w:rPr>
        <w:t xml:space="preserve">‘OCR Issues Bulletin on Civil Rights Laws and HIPAA Flexibilities That Apply During the COVID-19 Emergency’, </w:t>
      </w:r>
      <w:r w:rsidRPr="00F46042">
        <w:rPr>
          <w:rFonts w:cs="Open Sans"/>
          <w:i/>
          <w:iCs/>
          <w:lang w:val="en-US"/>
        </w:rPr>
        <w:t>US Department of Health and Human Services</w:t>
      </w:r>
      <w:r w:rsidRPr="0073427E">
        <w:rPr>
          <w:rFonts w:cs="Open Sans"/>
          <w:lang w:val="en-US"/>
        </w:rPr>
        <w:t xml:space="preserve"> (Press Release, 28 March</w:t>
      </w:r>
      <w:r>
        <w:rPr>
          <w:rFonts w:cs="Open Sans"/>
        </w:rPr>
        <w:t xml:space="preserve"> 2020) &lt;</w:t>
      </w:r>
      <w:hyperlink r:id="rId19" w:history="1">
        <w:r w:rsidRPr="00434968">
          <w:rPr>
            <w:rStyle w:val="Hyperlink"/>
            <w:rFonts w:cs="Open Sans"/>
          </w:rPr>
          <w:t>https://www.hhs.gov/about/news/2020/03/28/ocr-issues-bulletin-on-civil-rights-laws-and-hipaa-flexibilities-that-apply-during-the-covid-19-emergency.html</w:t>
        </w:r>
      </w:hyperlink>
      <w:r>
        <w:rPr>
          <w:rFonts w:cs="Open Sans"/>
        </w:rPr>
        <w:t>&gt;.</w:t>
      </w:r>
    </w:p>
  </w:endnote>
  <w:endnote w:id="37">
    <w:p w14:paraId="73AE9E39"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 9</w:t>
      </w:r>
      <w:r>
        <w:rPr>
          <w:rFonts w:cs="Open Sans"/>
          <w:lang w:val="en-US"/>
        </w:rPr>
        <w:t>5</w:t>
      </w:r>
      <w:r w:rsidRPr="000675A7">
        <w:rPr>
          <w:rFonts w:cs="Open Sans"/>
          <w:lang w:val="en-US"/>
        </w:rPr>
        <w:t>.</w:t>
      </w:r>
    </w:p>
  </w:endnote>
  <w:endnote w:id="38">
    <w:p w14:paraId="2CF9B4AA" w14:textId="3AA77857" w:rsidR="00506E90" w:rsidRPr="00F46042" w:rsidRDefault="00506E90">
      <w:pPr>
        <w:pStyle w:val="EndnoteText"/>
        <w:rPr>
          <w:lang w:val="en-US"/>
        </w:rPr>
      </w:pPr>
      <w:r>
        <w:rPr>
          <w:rStyle w:val="EndnoteReference"/>
        </w:rPr>
        <w:endnoteRef/>
      </w:r>
      <w: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w:t>
      </w:r>
      <w:r>
        <w:rPr>
          <w:rFonts w:cs="Open Sans"/>
          <w:lang w:val="en-US"/>
        </w:rPr>
        <w:t>2.</w:t>
      </w:r>
    </w:p>
  </w:endnote>
  <w:endnote w:id="39">
    <w:p w14:paraId="0CF8D530"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w:t>
      </w:r>
      <w:r>
        <w:rPr>
          <w:rFonts w:cs="Open Sans"/>
          <w:lang w:val="en-US"/>
        </w:rPr>
        <w:t xml:space="preserve"> 97.</w:t>
      </w:r>
    </w:p>
  </w:endnote>
  <w:endnote w:id="40">
    <w:p w14:paraId="41175C3E" w14:textId="3A0DCA83"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w:t>
      </w:r>
      <w:r>
        <w:rPr>
          <w:rFonts w:cs="Open Sans"/>
          <w:lang w:val="en-US"/>
        </w:rPr>
        <w:t xml:space="preserve"> 98.</w:t>
      </w:r>
    </w:p>
  </w:endnote>
  <w:endnote w:id="41">
    <w:p w14:paraId="383A8D24"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w:t>
      </w:r>
      <w:r>
        <w:rPr>
          <w:rFonts w:cs="Open Sans"/>
          <w:lang w:val="en-US"/>
        </w:rPr>
        <w:t xml:space="preserve"> 101.</w:t>
      </w:r>
    </w:p>
  </w:endnote>
  <w:endnote w:id="42">
    <w:p w14:paraId="39457705" w14:textId="77777777" w:rsidR="00506E90" w:rsidRPr="00906BD6" w:rsidRDefault="00506E90" w:rsidP="008858BC">
      <w:pPr>
        <w:pStyle w:val="EndnoteText"/>
        <w:rPr>
          <w:lang w:val="en-US"/>
        </w:rPr>
      </w:pPr>
      <w:r>
        <w:rPr>
          <w:rStyle w:val="EndnoteReference"/>
        </w:rPr>
        <w:endnoteRef/>
      </w:r>
      <w:r>
        <w:t xml:space="preserve"> </w:t>
      </w:r>
      <w:proofErr w:type="spellStart"/>
      <w:r w:rsidRPr="000675A7">
        <w:rPr>
          <w:rFonts w:cs="Open Sans"/>
          <w:lang w:val="en-US"/>
        </w:rPr>
        <w:t>Ilias</w:t>
      </w:r>
      <w:proofErr w:type="spellEnd"/>
      <w:r w:rsidRPr="000675A7">
        <w:rPr>
          <w:rFonts w:cs="Open Sans"/>
          <w:lang w:val="en-US"/>
        </w:rPr>
        <w:t xml:space="preserve"> </w:t>
      </w:r>
      <w:proofErr w:type="spellStart"/>
      <w:r w:rsidRPr="000675A7">
        <w:rPr>
          <w:rFonts w:cs="Open Sans"/>
          <w:lang w:val="en-US"/>
        </w:rPr>
        <w:t>Bantekas</w:t>
      </w:r>
      <w:proofErr w:type="spellEnd"/>
      <w:r w:rsidRPr="000675A7">
        <w:rPr>
          <w:rFonts w:cs="Open Sans"/>
          <w:lang w:val="en-US"/>
        </w:rPr>
        <w:t xml:space="preserve"> et al </w:t>
      </w:r>
      <w:r w:rsidRPr="000675A7">
        <w:rPr>
          <w:rFonts w:cs="Open Sans"/>
          <w:i/>
          <w:iCs/>
          <w:lang w:val="en-US"/>
        </w:rPr>
        <w:t>The UN Convention on the Rights of Persons with Disabilities: A Commentary</w:t>
      </w:r>
      <w:r w:rsidRPr="000675A7">
        <w:rPr>
          <w:rFonts w:cs="Open Sans"/>
          <w:lang w:val="en-US"/>
        </w:rPr>
        <w:t xml:space="preserve"> (Oxford University Press, 2018)</w:t>
      </w:r>
      <w:r>
        <w:rPr>
          <w:rFonts w:cs="Open Sans"/>
          <w:lang w:val="en-US"/>
        </w:rPr>
        <w:t xml:space="preserve"> 102.</w:t>
      </w:r>
    </w:p>
  </w:endnote>
  <w:endnote w:id="43">
    <w:p w14:paraId="38F3C598" w14:textId="3D186706" w:rsidR="00506E90" w:rsidRPr="00906BD6" w:rsidRDefault="00506E90" w:rsidP="008858BC">
      <w:pPr>
        <w:pStyle w:val="EndnoteText"/>
        <w:rPr>
          <w:rFonts w:cs="Open Sans"/>
          <w:lang w:val="en-US"/>
        </w:rPr>
      </w:pPr>
      <w:r w:rsidRPr="00906BD6">
        <w:rPr>
          <w:rStyle w:val="EndnoteReference"/>
          <w:rFonts w:cs="Open Sans"/>
        </w:rPr>
        <w:endnoteRef/>
      </w:r>
      <w:r w:rsidRPr="00906BD6">
        <w:rPr>
          <w:rFonts w:cs="Open Sans"/>
        </w:rPr>
        <w:t xml:space="preserve"> </w:t>
      </w:r>
      <w:r w:rsidRPr="00906BD6">
        <w:rPr>
          <w:rFonts w:cs="Open Sans"/>
          <w:i/>
          <w:iCs/>
          <w:lang w:val="en-US"/>
        </w:rPr>
        <w:t>Disability Discrimination Act 1992</w:t>
      </w:r>
      <w:r w:rsidRPr="00906BD6">
        <w:rPr>
          <w:rFonts w:cs="Open Sans"/>
          <w:lang w:val="en-US"/>
        </w:rPr>
        <w:t xml:space="preserve"> (</w:t>
      </w:r>
      <w:proofErr w:type="spellStart"/>
      <w:r w:rsidRPr="00906BD6">
        <w:rPr>
          <w:rFonts w:cs="Open Sans"/>
          <w:lang w:val="en-US"/>
        </w:rPr>
        <w:t>Cth</w:t>
      </w:r>
      <w:proofErr w:type="spellEnd"/>
      <w:r w:rsidRPr="00906BD6">
        <w:rPr>
          <w:rFonts w:cs="Open Sans"/>
          <w:lang w:val="en-US"/>
        </w:rPr>
        <w:t>) ss 3, 5, 6.</w:t>
      </w:r>
    </w:p>
  </w:endnote>
  <w:endnote w:id="44">
    <w:p w14:paraId="7AF03CB2" w14:textId="3E1EDD5B" w:rsidR="00506E90" w:rsidRPr="00906BD6" w:rsidRDefault="00506E90" w:rsidP="008858BC">
      <w:pPr>
        <w:pStyle w:val="EndnoteText"/>
        <w:rPr>
          <w:lang w:val="en-US"/>
        </w:rPr>
      </w:pPr>
      <w:r w:rsidRPr="00906BD6">
        <w:rPr>
          <w:rStyle w:val="EndnoteReference"/>
          <w:rFonts w:cs="Open Sans"/>
        </w:rPr>
        <w:endnoteRef/>
      </w:r>
      <w:r w:rsidRPr="00906BD6">
        <w:rPr>
          <w:rFonts w:cs="Open Sans"/>
        </w:rPr>
        <w:t xml:space="preserve"> </w:t>
      </w:r>
      <w:r w:rsidRPr="00906BD6">
        <w:rPr>
          <w:rFonts w:cs="Open Sans"/>
          <w:i/>
          <w:iCs/>
        </w:rPr>
        <w:t xml:space="preserve">Disability Discrimination Act </w:t>
      </w:r>
      <w:r w:rsidRPr="00906BD6">
        <w:rPr>
          <w:rFonts w:cs="Open Sans"/>
        </w:rPr>
        <w:t>1992 (</w:t>
      </w:r>
      <w:proofErr w:type="spellStart"/>
      <w:r w:rsidRPr="00906BD6">
        <w:rPr>
          <w:rFonts w:cs="Open Sans"/>
        </w:rPr>
        <w:t>Cth</w:t>
      </w:r>
      <w:proofErr w:type="spellEnd"/>
      <w:r w:rsidRPr="00906BD6">
        <w:rPr>
          <w:rFonts w:cs="Open Sans"/>
        </w:rPr>
        <w:t xml:space="preserve">) ss 5(2), 6(2). </w:t>
      </w:r>
      <w:r w:rsidRPr="00906BD6">
        <w:rPr>
          <w:rFonts w:cs="Open Sans"/>
          <w:lang w:val="en-US"/>
        </w:rPr>
        <w:t xml:space="preserve">The concept of ‘reasonable adjustments’, as referenced in the </w:t>
      </w:r>
      <w:r w:rsidRPr="00906BD6">
        <w:rPr>
          <w:rFonts w:cs="Open Sans"/>
          <w:i/>
          <w:iCs/>
          <w:lang w:val="en-US"/>
        </w:rPr>
        <w:t xml:space="preserve">Disability Discrimination Act 1992 </w:t>
      </w:r>
      <w:r w:rsidRPr="00906BD6">
        <w:rPr>
          <w:rFonts w:cs="Open Sans"/>
          <w:lang w:val="en-US"/>
        </w:rPr>
        <w:t>(</w:t>
      </w:r>
      <w:proofErr w:type="spellStart"/>
      <w:r w:rsidRPr="00906BD6">
        <w:rPr>
          <w:rFonts w:cs="Open Sans"/>
          <w:lang w:val="en-US"/>
        </w:rPr>
        <w:t>Cth</w:t>
      </w:r>
      <w:proofErr w:type="spellEnd"/>
      <w:r w:rsidRPr="00906BD6">
        <w:rPr>
          <w:rFonts w:cs="Open Sans"/>
          <w:lang w:val="en-US"/>
        </w:rPr>
        <w:t xml:space="preserve">), is </w:t>
      </w:r>
      <w:r>
        <w:rPr>
          <w:rFonts w:cs="Open Sans"/>
          <w:lang w:val="en-US"/>
        </w:rPr>
        <w:t>similar</w:t>
      </w:r>
      <w:r w:rsidRPr="00906BD6">
        <w:rPr>
          <w:rFonts w:cs="Open Sans"/>
          <w:lang w:val="en-US"/>
        </w:rPr>
        <w:t xml:space="preserve"> to the concept of ‘reasonable accommodation’ in the CRPD.</w:t>
      </w:r>
      <w:r>
        <w:rPr>
          <w:lang w:val="en-U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w:t>
      </w:r>
      <w:r>
        <w:rPr>
          <w:rFonts w:cs="Open Sans"/>
          <w:lang w:val="en-US"/>
        </w:rPr>
        <w:t>5.</w:t>
      </w:r>
    </w:p>
  </w:endnote>
  <w:endnote w:id="45">
    <w:p w14:paraId="5A545085" w14:textId="1E4190D2" w:rsidR="00506E90" w:rsidRPr="00906BD6" w:rsidRDefault="00506E90" w:rsidP="00DE2727">
      <w:pPr>
        <w:pStyle w:val="EndnoteText"/>
        <w:rPr>
          <w:rFonts w:cs="Open Sans"/>
          <w:lang w:val="en-US"/>
        </w:rPr>
      </w:pPr>
      <w:r w:rsidRPr="00906BD6">
        <w:rPr>
          <w:rStyle w:val="EndnoteReference"/>
          <w:rFonts w:cs="Open Sans"/>
        </w:rPr>
        <w:endnoteRef/>
      </w:r>
      <w:r w:rsidRPr="00906BD6">
        <w:rPr>
          <w:rFonts w:cs="Open Sans"/>
        </w:rPr>
        <w:t xml:space="preserve"> </w:t>
      </w:r>
      <w:r>
        <w:rPr>
          <w:rFonts w:cs="Open Sans"/>
        </w:rPr>
        <w:t>‘</w:t>
      </w:r>
      <w:r w:rsidRPr="00906BD6">
        <w:rPr>
          <w:rFonts w:cs="Open Sans"/>
        </w:rPr>
        <w:t>Human rights-based approaches’</w:t>
      </w:r>
      <w:r>
        <w:rPr>
          <w:rFonts w:cs="Open Sans"/>
        </w:rPr>
        <w:t xml:space="preserve">, </w:t>
      </w:r>
      <w:r w:rsidRPr="0073427E">
        <w:rPr>
          <w:rFonts w:cs="Open Sans"/>
          <w:i/>
        </w:rPr>
        <w:t>Australian Human Rights Commission</w:t>
      </w:r>
      <w:r>
        <w:rPr>
          <w:rFonts w:cs="Open Sans"/>
        </w:rPr>
        <w:t xml:space="preserve"> (Web Page, 18 June 2013) &lt;</w:t>
      </w:r>
      <w:hyperlink r:id="rId20" w:history="1">
        <w:r w:rsidRPr="00906BD6">
          <w:rPr>
            <w:rStyle w:val="Hyperlink"/>
            <w:rFonts w:cs="Open Sans"/>
          </w:rPr>
          <w:t>https://www.humanrights.gov.au/our-work/rights-and-freedoms/human-rights-based-approaches</w:t>
        </w:r>
      </w:hyperlink>
      <w:r w:rsidRPr="00836348">
        <w:t>&gt;</w:t>
      </w:r>
      <w:r>
        <w:rPr>
          <w:rFonts w:cs="Open Sans"/>
          <w:color w:val="0000FF"/>
        </w:rPr>
        <w:t>.</w:t>
      </w:r>
    </w:p>
  </w:endnote>
  <w:endnote w:id="46">
    <w:p w14:paraId="40EA8C5E" w14:textId="77777777" w:rsidR="00506E90" w:rsidRPr="00E25EBE" w:rsidRDefault="00506E90" w:rsidP="00D54CD7">
      <w:pPr>
        <w:pStyle w:val="EndnoteText"/>
        <w:rPr>
          <w:rFonts w:cs="Open Sans"/>
          <w:lang w:val="en-US"/>
        </w:rPr>
      </w:pPr>
      <w:r w:rsidRPr="00E25EBE">
        <w:rPr>
          <w:rStyle w:val="EndnoteReference"/>
          <w:rFonts w:cs="Open Sans"/>
        </w:rPr>
        <w:endnoteRef/>
      </w:r>
      <w:r w:rsidRPr="00E25EBE">
        <w:rPr>
          <w:rFonts w:cs="Open Sans"/>
        </w:rPr>
        <w:t xml:space="preserve"> </w:t>
      </w:r>
      <w:r>
        <w:rPr>
          <w:rFonts w:cs="Open Sans"/>
          <w:i/>
        </w:rPr>
        <w:t>‘</w:t>
      </w:r>
      <w:r w:rsidRPr="0073427E">
        <w:rPr>
          <w:rFonts w:cs="Open Sans"/>
        </w:rPr>
        <w:t>Clinical Frailty Scale</w:t>
      </w:r>
      <w:r>
        <w:rPr>
          <w:rFonts w:cs="Open Sans"/>
        </w:rPr>
        <w:t>’</w:t>
      </w:r>
      <w:r w:rsidRPr="0073427E">
        <w:rPr>
          <w:rFonts w:cs="Open Sans"/>
        </w:rPr>
        <w:t>,</w:t>
      </w:r>
      <w:r w:rsidRPr="0073427E">
        <w:rPr>
          <w:rFonts w:cs="Open Sans"/>
          <w:i/>
        </w:rPr>
        <w:t xml:space="preserve"> </w:t>
      </w:r>
      <w:r>
        <w:rPr>
          <w:rFonts w:cs="Open Sans"/>
          <w:i/>
        </w:rPr>
        <w:t xml:space="preserve">Dalhousie </w:t>
      </w:r>
      <w:r w:rsidRPr="0073427E">
        <w:rPr>
          <w:rFonts w:cs="Open Sans"/>
          <w:i/>
        </w:rPr>
        <w:t>University</w:t>
      </w:r>
      <w:r>
        <w:rPr>
          <w:rFonts w:cs="Open Sans"/>
        </w:rPr>
        <w:t xml:space="preserve"> (Web Page, 25 June 2020) &lt;</w:t>
      </w:r>
      <w:hyperlink r:id="rId21" w:history="1">
        <w:r w:rsidRPr="00253D4F">
          <w:rPr>
            <w:rStyle w:val="Hyperlink"/>
            <w:rFonts w:cs="Open Sans"/>
          </w:rPr>
          <w:t>https://www.dal.ca/sites/gmr/our-tools/clinical-frailty-scale.html</w:t>
        </w:r>
      </w:hyperlink>
      <w:r w:rsidRPr="00836348">
        <w:t>&gt;.</w:t>
      </w:r>
    </w:p>
  </w:endnote>
  <w:endnote w:id="47">
    <w:p w14:paraId="739C76EB" w14:textId="0B463C60" w:rsidR="00506E90" w:rsidRPr="0073427E" w:rsidRDefault="00506E90">
      <w:pPr>
        <w:pStyle w:val="EndnoteText"/>
        <w:rPr>
          <w:rFonts w:cs="Open Sans"/>
          <w:lang w:val="en-US"/>
        </w:rPr>
      </w:pPr>
      <w:r w:rsidRPr="0073427E">
        <w:rPr>
          <w:rStyle w:val="EndnoteReference"/>
          <w:rFonts w:cs="Open Sans"/>
        </w:rPr>
        <w:endnoteRef/>
      </w:r>
      <w:r w:rsidRPr="0073427E">
        <w:rPr>
          <w:rFonts w:cs="Open Sans"/>
        </w:rPr>
        <w:t xml:space="preserve"> ‘Clinical Frailty Scale’, </w:t>
      </w:r>
      <w:r w:rsidRPr="0073427E">
        <w:rPr>
          <w:rFonts w:cs="Open Sans"/>
          <w:i/>
        </w:rPr>
        <w:t>Specialised Clinical Frailty Network</w:t>
      </w:r>
      <w:r w:rsidRPr="0073427E">
        <w:rPr>
          <w:rFonts w:cs="Open Sans"/>
        </w:rPr>
        <w:t xml:space="preserve"> (Web Page, 25 June 2020) &lt;</w:t>
      </w:r>
      <w:hyperlink r:id="rId22" w:history="1">
        <w:r w:rsidRPr="00921278">
          <w:rPr>
            <w:rStyle w:val="Hyperlink"/>
            <w:rFonts w:cs="Open Sans"/>
          </w:rPr>
          <w:t>https://www.scfn.org.uk/clinical-frailty-scale</w:t>
        </w:r>
      </w:hyperlink>
      <w:r w:rsidRPr="00836348">
        <w:t>&gt;.</w:t>
      </w:r>
    </w:p>
  </w:endnote>
  <w:endnote w:id="48">
    <w:p w14:paraId="57B7E2CC" w14:textId="5A4BBE95" w:rsidR="00506E90" w:rsidRPr="0073427E" w:rsidRDefault="00506E90">
      <w:pPr>
        <w:pStyle w:val="EndnoteText"/>
        <w:rPr>
          <w:rFonts w:cs="Open Sans"/>
          <w:lang w:val="en-US"/>
        </w:rPr>
      </w:pPr>
      <w:r w:rsidRPr="0073427E">
        <w:rPr>
          <w:rStyle w:val="EndnoteReference"/>
          <w:rFonts w:cs="Open Sans"/>
        </w:rPr>
        <w:endnoteRef/>
      </w:r>
      <w:r w:rsidRPr="0073427E">
        <w:rPr>
          <w:rFonts w:cs="Open Sans"/>
        </w:rPr>
        <w:t xml:space="preserve"> Ruth </w:t>
      </w:r>
      <w:r w:rsidRPr="0073427E">
        <w:rPr>
          <w:rFonts w:cs="Open Sans"/>
          <w:lang w:val="en-US"/>
        </w:rPr>
        <w:t xml:space="preserve">Hubbard et al ‘Frailty in the Face of COVID-19’ (July 2020) </w:t>
      </w:r>
      <w:r>
        <w:rPr>
          <w:rFonts w:cs="Open Sans"/>
          <w:lang w:val="en-US"/>
        </w:rPr>
        <w:t xml:space="preserve">49(4) </w:t>
      </w:r>
      <w:r w:rsidRPr="0073427E">
        <w:rPr>
          <w:rFonts w:cs="Open Sans"/>
          <w:i/>
          <w:iCs/>
          <w:lang w:val="en-US"/>
        </w:rPr>
        <w:t>Age and ageing</w:t>
      </w:r>
      <w:r w:rsidRPr="0073427E">
        <w:rPr>
          <w:rFonts w:cs="Open Sans"/>
          <w:lang w:val="en-US"/>
        </w:rPr>
        <w:t xml:space="preserve"> </w:t>
      </w:r>
      <w:r>
        <w:rPr>
          <w:rFonts w:cs="Open Sans"/>
          <w:lang w:val="en-US"/>
        </w:rPr>
        <w:t xml:space="preserve">499, </w:t>
      </w:r>
      <w:r w:rsidRPr="0073427E">
        <w:rPr>
          <w:rFonts w:cs="Open Sans"/>
          <w:lang w:val="en-US"/>
        </w:rPr>
        <w:t>500.</w:t>
      </w:r>
    </w:p>
  </w:endnote>
  <w:endnote w:id="49">
    <w:p w14:paraId="0744F77D" w14:textId="26DB4282" w:rsidR="00506E90" w:rsidRPr="0073427E" w:rsidRDefault="00506E90">
      <w:pPr>
        <w:pStyle w:val="EndnoteText"/>
        <w:rPr>
          <w:lang w:val="en-US"/>
        </w:rPr>
      </w:pPr>
      <w:r>
        <w:rPr>
          <w:rStyle w:val="EndnoteReference"/>
        </w:rPr>
        <w:endnoteRef/>
      </w:r>
      <w:r>
        <w:t xml:space="preserve"> </w:t>
      </w:r>
      <w:r w:rsidRPr="00987C44">
        <w:rPr>
          <w:rFonts w:cs="Open Sans"/>
        </w:rPr>
        <w:t xml:space="preserve">Ruth </w:t>
      </w:r>
      <w:r w:rsidRPr="00987C44">
        <w:rPr>
          <w:rFonts w:cs="Open Sans"/>
          <w:lang w:val="en-US"/>
        </w:rPr>
        <w:t xml:space="preserve">Hubbard et al ‘Frailty in the Face of COVID-19’ (July 2020) </w:t>
      </w:r>
      <w:r>
        <w:rPr>
          <w:rFonts w:cs="Open Sans"/>
          <w:lang w:val="en-US"/>
        </w:rPr>
        <w:t xml:space="preserve">49(4) </w:t>
      </w:r>
      <w:r w:rsidRPr="00987C44">
        <w:rPr>
          <w:rFonts w:cs="Open Sans"/>
          <w:i/>
          <w:iCs/>
          <w:lang w:val="en-US"/>
        </w:rPr>
        <w:t>Age and ageing</w:t>
      </w:r>
      <w:r>
        <w:rPr>
          <w:rFonts w:cs="Open Sans"/>
          <w:i/>
          <w:iCs/>
          <w:lang w:val="en-US"/>
        </w:rPr>
        <w:t xml:space="preserve"> </w:t>
      </w:r>
      <w:r>
        <w:rPr>
          <w:rFonts w:cs="Open Sans"/>
          <w:lang w:val="en-US"/>
        </w:rPr>
        <w:t>499,</w:t>
      </w:r>
      <w:r w:rsidRPr="00987C44">
        <w:rPr>
          <w:rFonts w:cs="Open Sans"/>
          <w:lang w:val="en-US"/>
        </w:rPr>
        <w:t xml:space="preserve"> 500.</w:t>
      </w:r>
    </w:p>
  </w:endnote>
  <w:endnote w:id="50">
    <w:p w14:paraId="0AB01AE4" w14:textId="77777777" w:rsidR="00506E90" w:rsidRPr="00E25EBE" w:rsidRDefault="00506E90" w:rsidP="00260EE7">
      <w:pPr>
        <w:pStyle w:val="EndnoteText"/>
        <w:rPr>
          <w:rFonts w:cs="Open Sans"/>
          <w:lang w:val="en-US"/>
        </w:rPr>
      </w:pPr>
      <w:r w:rsidRPr="00E25EBE">
        <w:rPr>
          <w:rStyle w:val="EndnoteReference"/>
          <w:rFonts w:cs="Open Sans"/>
        </w:rPr>
        <w:endnoteRef/>
      </w:r>
      <w:r w:rsidRPr="00E25EBE">
        <w:rPr>
          <w:rFonts w:cs="Open Sans"/>
        </w:rPr>
        <w:t xml:space="preserve"> </w:t>
      </w:r>
      <w:r>
        <w:rPr>
          <w:rFonts w:cs="Open Sans"/>
        </w:rPr>
        <w:t>‘</w:t>
      </w:r>
      <w:r w:rsidRPr="00C166F1">
        <w:rPr>
          <w:rFonts w:cs="Open Sans"/>
        </w:rPr>
        <w:t>Guiding principles</w:t>
      </w:r>
      <w:r>
        <w:rPr>
          <w:rFonts w:cs="Open Sans"/>
        </w:rPr>
        <w:t xml:space="preserve"> </w:t>
      </w:r>
      <w:r w:rsidRPr="00C166F1">
        <w:rPr>
          <w:rFonts w:cs="Open Sans"/>
        </w:rPr>
        <w:t>for complex</w:t>
      </w:r>
      <w:r>
        <w:rPr>
          <w:rFonts w:cs="Open Sans"/>
        </w:rPr>
        <w:t xml:space="preserve"> </w:t>
      </w:r>
      <w:r w:rsidRPr="00C166F1">
        <w:rPr>
          <w:rFonts w:cs="Open Sans"/>
        </w:rPr>
        <w:t>decision making</w:t>
      </w:r>
      <w:r>
        <w:rPr>
          <w:rFonts w:cs="Open Sans"/>
        </w:rPr>
        <w:t xml:space="preserve"> </w:t>
      </w:r>
      <w:r w:rsidRPr="00C166F1">
        <w:rPr>
          <w:rFonts w:cs="Open Sans"/>
        </w:rPr>
        <w:t>during Pandemic</w:t>
      </w:r>
      <w:r>
        <w:rPr>
          <w:rFonts w:cs="Open Sans"/>
        </w:rPr>
        <w:t xml:space="preserve"> </w:t>
      </w:r>
      <w:r w:rsidRPr="00C166F1">
        <w:rPr>
          <w:rFonts w:cs="Open Sans"/>
        </w:rPr>
        <w:t>COVID-</w:t>
      </w:r>
      <w:r>
        <w:rPr>
          <w:rFonts w:cs="Open Sans"/>
        </w:rPr>
        <w:t>1</w:t>
      </w:r>
      <w:r w:rsidRPr="00C166F1">
        <w:rPr>
          <w:rFonts w:cs="Open Sans"/>
        </w:rPr>
        <w:t>9</w:t>
      </w:r>
      <w:r>
        <w:rPr>
          <w:rFonts w:cs="Open Sans"/>
        </w:rPr>
        <w:t xml:space="preserve">’, </w:t>
      </w:r>
      <w:r w:rsidRPr="006977EA">
        <w:rPr>
          <w:rFonts w:cs="Open Sans"/>
          <w:i/>
        </w:rPr>
        <w:t>The Australian and New Zealand Intensive Care Society</w:t>
      </w:r>
      <w:r>
        <w:rPr>
          <w:rFonts w:cs="Open Sans"/>
        </w:rPr>
        <w:t xml:space="preserve"> (Publication, undated) &lt;</w:t>
      </w:r>
      <w:hyperlink r:id="rId23" w:history="1">
        <w:r w:rsidRPr="00253D4F">
          <w:rPr>
            <w:rStyle w:val="Hyperlink"/>
            <w:rFonts w:cs="Open Sans"/>
          </w:rPr>
          <w:t>https://www.anzics.com.au/wp-content/uploads/2020/04/ANZI_3367_Guiding-Principles.pdf</w:t>
        </w:r>
      </w:hyperlink>
      <w:r>
        <w:rPr>
          <w:rFonts w:cs="Open Sans"/>
        </w:rPr>
        <w:t>&gt;.</w:t>
      </w:r>
    </w:p>
  </w:endnote>
  <w:endnote w:id="51">
    <w:p w14:paraId="26ED86D7" w14:textId="449329AD" w:rsidR="00506E90" w:rsidRPr="00E25EBE" w:rsidRDefault="00506E90">
      <w:pPr>
        <w:pStyle w:val="EndnoteText"/>
        <w:rPr>
          <w:lang w:val="en-US"/>
        </w:rPr>
      </w:pPr>
      <w:r w:rsidRPr="00E25EBE">
        <w:rPr>
          <w:rStyle w:val="EndnoteReference"/>
          <w:rFonts w:cs="Open Sans"/>
        </w:rPr>
        <w:endnoteRef/>
      </w:r>
      <w:r w:rsidRPr="00E25EBE">
        <w:rPr>
          <w:rFonts w:cs="Open Sans"/>
        </w:rPr>
        <w:t xml:space="preserve"> </w:t>
      </w:r>
      <w:r>
        <w:rPr>
          <w:rFonts w:cs="Open Sans"/>
        </w:rPr>
        <w:t>‘</w:t>
      </w:r>
      <w:r w:rsidRPr="00C166F1">
        <w:rPr>
          <w:rFonts w:cs="Open Sans"/>
        </w:rPr>
        <w:t>Guiding principles</w:t>
      </w:r>
      <w:r>
        <w:rPr>
          <w:rFonts w:cs="Open Sans"/>
        </w:rPr>
        <w:t xml:space="preserve"> </w:t>
      </w:r>
      <w:r w:rsidRPr="00C166F1">
        <w:rPr>
          <w:rFonts w:cs="Open Sans"/>
        </w:rPr>
        <w:t>for complex</w:t>
      </w:r>
      <w:r>
        <w:rPr>
          <w:rFonts w:cs="Open Sans"/>
        </w:rPr>
        <w:t xml:space="preserve"> </w:t>
      </w:r>
      <w:r w:rsidRPr="00C166F1">
        <w:rPr>
          <w:rFonts w:cs="Open Sans"/>
        </w:rPr>
        <w:t>decision making</w:t>
      </w:r>
      <w:r>
        <w:rPr>
          <w:rFonts w:cs="Open Sans"/>
        </w:rPr>
        <w:t xml:space="preserve"> </w:t>
      </w:r>
      <w:r w:rsidRPr="00C166F1">
        <w:rPr>
          <w:rFonts w:cs="Open Sans"/>
        </w:rPr>
        <w:t>during Pandemic</w:t>
      </w:r>
      <w:r>
        <w:rPr>
          <w:rFonts w:cs="Open Sans"/>
        </w:rPr>
        <w:t xml:space="preserve"> </w:t>
      </w:r>
      <w:r w:rsidRPr="00C166F1">
        <w:rPr>
          <w:rFonts w:cs="Open Sans"/>
        </w:rPr>
        <w:t>COVID-</w:t>
      </w:r>
      <w:r>
        <w:rPr>
          <w:rFonts w:cs="Open Sans"/>
        </w:rPr>
        <w:t>1</w:t>
      </w:r>
      <w:r w:rsidRPr="00C166F1">
        <w:rPr>
          <w:rFonts w:cs="Open Sans"/>
        </w:rPr>
        <w:t>9</w:t>
      </w:r>
      <w:r>
        <w:rPr>
          <w:rFonts w:cs="Open Sans"/>
        </w:rPr>
        <w:t xml:space="preserve">’, </w:t>
      </w:r>
      <w:r w:rsidRPr="008E4678">
        <w:rPr>
          <w:rFonts w:cs="Open Sans"/>
          <w:i/>
        </w:rPr>
        <w:t>The Australian and New Zealand Intensive Care Society</w:t>
      </w:r>
      <w:r>
        <w:rPr>
          <w:rFonts w:cs="Open Sans"/>
        </w:rPr>
        <w:t xml:space="preserve"> (Publication, undated) 4 &lt;</w:t>
      </w:r>
      <w:hyperlink r:id="rId24" w:history="1">
        <w:r w:rsidRPr="00253D4F">
          <w:rPr>
            <w:rStyle w:val="Hyperlink"/>
            <w:rFonts w:cs="Open Sans"/>
          </w:rPr>
          <w:t>https://www.anzics.com.au/wp-content/uploads/2020/04/ANZI_3367_Guiding-Principles.pdf</w:t>
        </w:r>
      </w:hyperlink>
      <w:r>
        <w:rPr>
          <w:rFonts w:cs="Open Sans"/>
        </w:rPr>
        <w:t>&gt;.</w:t>
      </w:r>
    </w:p>
  </w:endnote>
  <w:endnote w:id="52">
    <w:p w14:paraId="3C91140E" w14:textId="61E5448E" w:rsidR="00506E90" w:rsidRPr="0073427E" w:rsidRDefault="00506E90">
      <w:pPr>
        <w:pStyle w:val="EndnoteText"/>
        <w:rPr>
          <w:lang w:val="en-US"/>
        </w:rPr>
      </w:pPr>
      <w:r>
        <w:rPr>
          <w:rStyle w:val="EndnoteReference"/>
        </w:rPr>
        <w:endnoteRef/>
      </w:r>
      <w:r>
        <w:t xml:space="preserve"> ‘</w:t>
      </w:r>
      <w:r w:rsidRPr="00C166F1">
        <w:rPr>
          <w:rFonts w:cs="Open Sans"/>
        </w:rPr>
        <w:t>Guiding principles</w:t>
      </w:r>
      <w:r>
        <w:rPr>
          <w:rFonts w:cs="Open Sans"/>
        </w:rPr>
        <w:t xml:space="preserve"> </w:t>
      </w:r>
      <w:r w:rsidRPr="00C166F1">
        <w:rPr>
          <w:rFonts w:cs="Open Sans"/>
        </w:rPr>
        <w:t>for complex</w:t>
      </w:r>
      <w:r>
        <w:rPr>
          <w:rFonts w:cs="Open Sans"/>
        </w:rPr>
        <w:t xml:space="preserve"> </w:t>
      </w:r>
      <w:r w:rsidRPr="00C166F1">
        <w:rPr>
          <w:rFonts w:cs="Open Sans"/>
        </w:rPr>
        <w:t>decision making</w:t>
      </w:r>
      <w:r>
        <w:rPr>
          <w:rFonts w:cs="Open Sans"/>
        </w:rPr>
        <w:t xml:space="preserve"> </w:t>
      </w:r>
      <w:r w:rsidRPr="00C166F1">
        <w:rPr>
          <w:rFonts w:cs="Open Sans"/>
        </w:rPr>
        <w:t>during Pandemic</w:t>
      </w:r>
      <w:r>
        <w:rPr>
          <w:rFonts w:cs="Open Sans"/>
        </w:rPr>
        <w:t xml:space="preserve"> </w:t>
      </w:r>
      <w:r w:rsidRPr="00C166F1">
        <w:rPr>
          <w:rFonts w:cs="Open Sans"/>
        </w:rPr>
        <w:t>COVID-</w:t>
      </w:r>
      <w:r>
        <w:rPr>
          <w:rFonts w:cs="Open Sans"/>
        </w:rPr>
        <w:t>1</w:t>
      </w:r>
      <w:r w:rsidRPr="00C166F1">
        <w:rPr>
          <w:rFonts w:cs="Open Sans"/>
        </w:rPr>
        <w:t>9</w:t>
      </w:r>
      <w:r>
        <w:rPr>
          <w:rFonts w:cs="Open Sans"/>
        </w:rPr>
        <w:t xml:space="preserve">’, </w:t>
      </w:r>
      <w:r w:rsidRPr="008E4678">
        <w:rPr>
          <w:rFonts w:cs="Open Sans"/>
          <w:i/>
        </w:rPr>
        <w:t>The Australian and New Zealand Intensive Care Society</w:t>
      </w:r>
      <w:r>
        <w:rPr>
          <w:rFonts w:cs="Open Sans"/>
        </w:rPr>
        <w:t xml:space="preserve"> (Publication, undated) 6 &lt;</w:t>
      </w:r>
      <w:hyperlink r:id="rId25" w:history="1">
        <w:r w:rsidRPr="00253D4F">
          <w:rPr>
            <w:rStyle w:val="Hyperlink"/>
            <w:rFonts w:cs="Open Sans"/>
          </w:rPr>
          <w:t>https://www.anzics.com.au/wp-content/uploads/2020/04/ANZI_3367_Guiding-Principles.pdf</w:t>
        </w:r>
      </w:hyperlink>
      <w:r>
        <w:rPr>
          <w:rFonts w:cs="Open Sans"/>
        </w:rPr>
        <w:t>&gt;.</w:t>
      </w:r>
    </w:p>
  </w:endnote>
  <w:endnote w:id="53">
    <w:p w14:paraId="325E37AF" w14:textId="2BFE64B4" w:rsidR="00506E90" w:rsidRPr="00660587" w:rsidRDefault="00506E90">
      <w:pPr>
        <w:pStyle w:val="EndnoteText"/>
        <w:rPr>
          <w:rFonts w:cs="Open Sans"/>
          <w:lang w:val="en-US"/>
        </w:rPr>
      </w:pPr>
      <w:r w:rsidRPr="00660587">
        <w:rPr>
          <w:rStyle w:val="EndnoteReference"/>
          <w:rFonts w:cs="Open Sans"/>
        </w:rPr>
        <w:endnoteRef/>
      </w:r>
      <w:r w:rsidRPr="00660587">
        <w:rPr>
          <w:rFonts w:cs="Open Sans"/>
        </w:rPr>
        <w:t xml:space="preserve"> </w:t>
      </w:r>
      <w:r w:rsidRPr="00660587">
        <w:rPr>
          <w:rFonts w:cs="Open Sans"/>
          <w:lang w:val="en-US"/>
        </w:rPr>
        <w:t xml:space="preserve">See also </w:t>
      </w:r>
      <w:r>
        <w:rPr>
          <w:rFonts w:cs="Open Sans"/>
          <w:lang w:val="en-US"/>
        </w:rPr>
        <w:t xml:space="preserve">CRPD </w:t>
      </w:r>
      <w:r w:rsidRPr="00660587">
        <w:rPr>
          <w:rFonts w:cs="Open Sans"/>
          <w:lang w:val="en-US"/>
        </w:rPr>
        <w:t>article 4(3) (duty to consult with people with disability), article 6 (women), article 7 (children), article 14 (right to liberty and security of the person), article 17 (physical and mental integrity), article 23 (family), article 31 (collection of data)</w:t>
      </w:r>
      <w:r>
        <w:rPr>
          <w:rFonts w:cs="Open Sans"/>
          <w:lang w:val="en-US"/>
        </w:rPr>
        <w:t>:</w:t>
      </w:r>
      <w:r w:rsidRPr="00660587">
        <w:rPr>
          <w:rFonts w:cs="Open Sans"/>
          <w:lang w:val="en-US"/>
        </w:rPr>
        <w:t xml:space="preserve"> </w:t>
      </w:r>
      <w:r w:rsidRPr="0061053C">
        <w:rPr>
          <w:rFonts w:cs="Open Sans"/>
          <w:i/>
          <w:iCs/>
        </w:rPr>
        <w:t>Convention on the Rights of Persons with Disabilities</w:t>
      </w:r>
      <w:r w:rsidRPr="0061053C">
        <w:rPr>
          <w:rFonts w:cs="Open Sans"/>
        </w:rPr>
        <w:t>, opened for signature 30 March 2007, 2515 UNTS 3 (entered into force 3 May 2008).</w:t>
      </w:r>
    </w:p>
  </w:endnote>
  <w:endnote w:id="54">
    <w:p w14:paraId="01825C53" w14:textId="0C1DFF8B" w:rsidR="00506E90" w:rsidRPr="00660587" w:rsidRDefault="00506E90">
      <w:pPr>
        <w:pStyle w:val="EndnoteText"/>
        <w:rPr>
          <w:lang w:val="en-US"/>
        </w:rPr>
      </w:pPr>
      <w:r>
        <w:rPr>
          <w:rStyle w:val="EndnoteReference"/>
        </w:rPr>
        <w:endnoteRef/>
      </w:r>
      <w: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 xml:space="preserve">art </w:t>
      </w:r>
      <w:r>
        <w:rPr>
          <w:rFonts w:cs="Open Sans"/>
          <w:lang w:val="en-US"/>
        </w:rPr>
        <w:t>11</w:t>
      </w:r>
      <w:r w:rsidRPr="006F456B">
        <w:rPr>
          <w:rFonts w:cs="Open Sans"/>
          <w:lang w:val="en-US"/>
        </w:rPr>
        <w:t>.</w:t>
      </w:r>
    </w:p>
  </w:endnote>
  <w:endnote w:id="55">
    <w:p w14:paraId="6B27124C" w14:textId="6ACD7FE4" w:rsidR="00506E90" w:rsidRPr="00660587" w:rsidRDefault="00506E90">
      <w:pPr>
        <w:pStyle w:val="EndnoteText"/>
        <w:rPr>
          <w:lang w:val="en-US"/>
        </w:rPr>
      </w:pPr>
      <w:r>
        <w:rPr>
          <w:rStyle w:val="EndnoteReference"/>
        </w:rPr>
        <w:endnoteRef/>
      </w:r>
      <w: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 xml:space="preserve">art </w:t>
      </w:r>
      <w:r>
        <w:rPr>
          <w:rFonts w:cs="Open Sans"/>
          <w:lang w:val="en-US"/>
        </w:rPr>
        <w:t>2</w:t>
      </w:r>
      <w:r w:rsidRPr="006F456B">
        <w:rPr>
          <w:rFonts w:cs="Open Sans"/>
          <w:lang w:val="en-US"/>
        </w:rPr>
        <w:t>5.</w:t>
      </w:r>
    </w:p>
  </w:endnote>
  <w:endnote w:id="56">
    <w:p w14:paraId="5F04758F" w14:textId="429E71FC" w:rsidR="00506E90" w:rsidRPr="0073427E" w:rsidRDefault="00506E90">
      <w:pPr>
        <w:pStyle w:val="EndnoteText"/>
        <w:rPr>
          <w:rFonts w:cs="Open Sans"/>
          <w:lang w:val="en-US"/>
        </w:rPr>
      </w:pPr>
      <w:r>
        <w:rPr>
          <w:rStyle w:val="EndnoteReference"/>
        </w:rPr>
        <w:endnoteRef/>
      </w:r>
      <w:r>
        <w:t xml:space="preserve"> </w:t>
      </w:r>
      <w:r w:rsidRPr="006F456B">
        <w:rPr>
          <w:rFonts w:cs="Open Sans"/>
          <w:i/>
          <w:iCs/>
        </w:rPr>
        <w:t>Convention on the Rights of Persons with Disabilities</w:t>
      </w:r>
      <w:r w:rsidRPr="006F456B">
        <w:rPr>
          <w:rFonts w:cs="Open Sans"/>
        </w:rPr>
        <w:t xml:space="preserve">, opened for signature 30 March 2007, 2515 </w:t>
      </w:r>
      <w:r w:rsidRPr="00D76839">
        <w:rPr>
          <w:rFonts w:cs="Open Sans"/>
        </w:rPr>
        <w:t xml:space="preserve">UNTS 3 (entered into force 3 May 2008) </w:t>
      </w:r>
      <w:r w:rsidRPr="00921278">
        <w:rPr>
          <w:rFonts w:cs="Open Sans"/>
          <w:lang w:val="en-US"/>
        </w:rPr>
        <w:t>art 10.</w:t>
      </w:r>
    </w:p>
  </w:endnote>
  <w:endnote w:id="57">
    <w:p w14:paraId="01122976" w14:textId="5CB2B161" w:rsidR="00506E90" w:rsidRPr="0073427E" w:rsidRDefault="00506E90" w:rsidP="001B567E">
      <w:pPr>
        <w:pStyle w:val="EndnoteText"/>
        <w:rPr>
          <w:rFonts w:cs="Open Sans"/>
        </w:rPr>
      </w:pPr>
      <w:r w:rsidRPr="0073427E">
        <w:rPr>
          <w:rStyle w:val="EndnoteReference"/>
          <w:rFonts w:cs="Open Sans"/>
        </w:rPr>
        <w:endnoteRef/>
      </w:r>
      <w:r w:rsidRPr="0073427E">
        <w:rPr>
          <w:rFonts w:cs="Open Sans"/>
        </w:rPr>
        <w:t xml:space="preserve"> </w:t>
      </w:r>
      <w:r w:rsidRPr="00D76839">
        <w:rPr>
          <w:rFonts w:cs="Open Sans"/>
          <w:i/>
          <w:iCs/>
        </w:rPr>
        <w:t>Convention on the Rights of Persons with Disabilities</w:t>
      </w:r>
      <w:r w:rsidRPr="00921278">
        <w:rPr>
          <w:rFonts w:cs="Open Sans"/>
        </w:rPr>
        <w:t xml:space="preserve">, opened for signature 30 March 2007, 2515 UNTS 3 (entered into force 3 May 2008) </w:t>
      </w:r>
      <w:r w:rsidRPr="0073427E">
        <w:rPr>
          <w:rFonts w:cs="Open Sans"/>
          <w:lang w:val="en-US"/>
        </w:rPr>
        <w:t xml:space="preserve">art 5; </w:t>
      </w:r>
      <w:r w:rsidRPr="0073427E">
        <w:rPr>
          <w:rFonts w:cs="Open Sans"/>
        </w:rPr>
        <w:t>Committee on the Rights of Persons with Disabilities</w:t>
      </w:r>
      <w:r>
        <w:rPr>
          <w:rFonts w:cs="Open Sans"/>
        </w:rPr>
        <w:t>,</w:t>
      </w:r>
      <w:r w:rsidRPr="0073427E">
        <w:rPr>
          <w:rFonts w:cs="Open Sans"/>
        </w:rPr>
        <w:t xml:space="preserve"> </w:t>
      </w:r>
      <w:r w:rsidRPr="0073427E">
        <w:rPr>
          <w:rFonts w:cs="Open Sans"/>
          <w:i/>
        </w:rPr>
        <w:t>General Comment No 6: Article 5: Equality and non-discrimination</w:t>
      </w:r>
      <w:r w:rsidRPr="0073427E">
        <w:rPr>
          <w:rFonts w:cs="Open Sans"/>
        </w:rPr>
        <w:t>, UN Doc</w:t>
      </w:r>
    </w:p>
    <w:p w14:paraId="7B170699" w14:textId="544889A8" w:rsidR="00506E90" w:rsidRPr="0073427E" w:rsidRDefault="00506E90" w:rsidP="001B567E">
      <w:pPr>
        <w:pStyle w:val="EndnoteText"/>
        <w:rPr>
          <w:rFonts w:cs="Open Sans"/>
          <w:lang w:val="en-US"/>
        </w:rPr>
      </w:pPr>
      <w:r w:rsidRPr="0073427E">
        <w:rPr>
          <w:rFonts w:cs="Open Sans"/>
        </w:rPr>
        <w:t>CRPD/C/GC/6 (26 April 2018).</w:t>
      </w:r>
    </w:p>
  </w:endnote>
  <w:endnote w:id="58">
    <w:p w14:paraId="4E0D3F04" w14:textId="60484599" w:rsidR="00506E90" w:rsidRPr="0073427E" w:rsidRDefault="00506E90">
      <w:pPr>
        <w:pStyle w:val="EndnoteText"/>
        <w:rPr>
          <w:rFonts w:cs="Open Sans"/>
          <w:lang w:val="en-US"/>
        </w:rPr>
      </w:pPr>
      <w:r w:rsidRPr="0073427E">
        <w:rPr>
          <w:rStyle w:val="EndnoteReference"/>
          <w:rFonts w:cs="Open Sans"/>
        </w:rPr>
        <w:endnoteRef/>
      </w:r>
      <w:r w:rsidRPr="0073427E">
        <w:rPr>
          <w:rFonts w:cs="Open Sans"/>
        </w:rPr>
        <w:t xml:space="preserve"> </w:t>
      </w:r>
      <w:r w:rsidRPr="00D76839">
        <w:rPr>
          <w:rFonts w:cs="Open Sans"/>
          <w:i/>
          <w:iCs/>
        </w:rPr>
        <w:t>Convention on the Rights of Persons wi</w:t>
      </w:r>
      <w:r w:rsidRPr="00921278">
        <w:rPr>
          <w:rFonts w:cs="Open Sans"/>
          <w:i/>
          <w:iCs/>
        </w:rPr>
        <w:t>th Disabilities</w:t>
      </w:r>
      <w:r w:rsidRPr="00921278">
        <w:rPr>
          <w:rFonts w:cs="Open Sans"/>
        </w:rPr>
        <w:t>, opened for signatur</w:t>
      </w:r>
      <w:r w:rsidRPr="0073427E">
        <w:rPr>
          <w:rFonts w:cs="Open Sans"/>
        </w:rPr>
        <w:t xml:space="preserve">e 30 March 2007, 2515 UNTS 3 (entered into force 3 May 2008) </w:t>
      </w:r>
      <w:r w:rsidRPr="0073427E">
        <w:rPr>
          <w:rFonts w:cs="Open Sans"/>
          <w:lang w:val="en-US"/>
        </w:rPr>
        <w:t>art 12.</w:t>
      </w:r>
    </w:p>
  </w:endnote>
  <w:endnote w:id="59">
    <w:p w14:paraId="56719CEF" w14:textId="08852929" w:rsidR="00506E90" w:rsidRPr="0073427E" w:rsidRDefault="00506E90" w:rsidP="001B567E">
      <w:pPr>
        <w:pStyle w:val="EndnoteText"/>
        <w:rPr>
          <w:rFonts w:cs="Open Sans"/>
        </w:rPr>
      </w:pPr>
      <w:r w:rsidRPr="0073427E">
        <w:rPr>
          <w:rStyle w:val="EndnoteReference"/>
          <w:rFonts w:cs="Open Sans"/>
        </w:rPr>
        <w:endnoteRef/>
      </w:r>
      <w:r w:rsidRPr="0073427E">
        <w:rPr>
          <w:rFonts w:cs="Open Sans"/>
        </w:rPr>
        <w:t xml:space="preserve"> </w:t>
      </w:r>
      <w:r w:rsidRPr="00D76839">
        <w:rPr>
          <w:rFonts w:cs="Open Sans"/>
          <w:i/>
          <w:iCs/>
        </w:rPr>
        <w:t>Convention on the Rights of Persons with Disabilities</w:t>
      </w:r>
      <w:r w:rsidRPr="00921278">
        <w:rPr>
          <w:rFonts w:cs="Open Sans"/>
        </w:rPr>
        <w:t xml:space="preserve">, opened for signature 30 March 2007, 2515 UNTS 3 (entered into force 3 May 2008) </w:t>
      </w:r>
      <w:r w:rsidRPr="00921278">
        <w:rPr>
          <w:rFonts w:cs="Open Sans"/>
          <w:lang w:val="en-US"/>
        </w:rPr>
        <w:t>arts</w:t>
      </w:r>
      <w:r w:rsidRPr="0073427E">
        <w:rPr>
          <w:rFonts w:cs="Open Sans"/>
          <w:lang w:val="en-US"/>
        </w:rPr>
        <w:t xml:space="preserve"> 9, </w:t>
      </w:r>
      <w:r w:rsidRPr="0073427E">
        <w:rPr>
          <w:rFonts w:cs="Open Sans"/>
        </w:rPr>
        <w:t xml:space="preserve">21; Committee on the Rights of Persons with Disabilities, </w:t>
      </w:r>
      <w:r w:rsidRPr="0073427E">
        <w:rPr>
          <w:rFonts w:cs="Open Sans"/>
          <w:i/>
        </w:rPr>
        <w:t>General Comment No 2: Article 9: Accessibility</w:t>
      </w:r>
      <w:r w:rsidRPr="0073427E">
        <w:rPr>
          <w:rFonts w:cs="Open Sans"/>
        </w:rPr>
        <w:t>, UN Doc</w:t>
      </w:r>
    </w:p>
    <w:p w14:paraId="4BD2BBC6" w14:textId="12320375" w:rsidR="00506E90" w:rsidRPr="0073427E" w:rsidRDefault="00506E90" w:rsidP="001B567E">
      <w:pPr>
        <w:pStyle w:val="EndnoteText"/>
        <w:rPr>
          <w:rFonts w:cs="Open Sans"/>
          <w:lang w:val="en-US"/>
        </w:rPr>
      </w:pPr>
      <w:r w:rsidRPr="0073427E">
        <w:rPr>
          <w:rFonts w:cs="Open Sans"/>
        </w:rPr>
        <w:t>CRPD/C/GC/2 (22 May 2014).</w:t>
      </w:r>
    </w:p>
  </w:endnote>
  <w:endnote w:id="60">
    <w:p w14:paraId="62C453B3" w14:textId="4132EFC9" w:rsidR="00506E90" w:rsidRPr="00822B79" w:rsidRDefault="00506E90">
      <w:pPr>
        <w:pStyle w:val="EndnoteText"/>
        <w:rPr>
          <w:rFonts w:cs="Open Sans"/>
          <w:lang w:val="en-US"/>
        </w:rPr>
      </w:pPr>
      <w:r w:rsidRPr="00822B79">
        <w:rPr>
          <w:rStyle w:val="EndnoteReference"/>
          <w:rFonts w:cs="Open Sans"/>
        </w:rPr>
        <w:endnoteRef/>
      </w:r>
      <w:r w:rsidRPr="00822B79">
        <w:rPr>
          <w:rFonts w:cs="Open Sans"/>
        </w:rPr>
        <w:t xml:space="preserve"> </w:t>
      </w:r>
      <w:r w:rsidRPr="00822B79">
        <w:rPr>
          <w:rFonts w:cs="Open Sans"/>
          <w:lang w:val="en-US"/>
        </w:rPr>
        <w:t xml:space="preserve">Please note that </w:t>
      </w:r>
      <w:r>
        <w:rPr>
          <w:rFonts w:cs="Open Sans"/>
          <w:lang w:val="en-US"/>
        </w:rPr>
        <w:t>real names are not used.</w:t>
      </w:r>
    </w:p>
  </w:endnote>
  <w:endnote w:id="61">
    <w:p w14:paraId="713DCF5E" w14:textId="08BC3024" w:rsidR="00506E90" w:rsidRPr="006F456B" w:rsidRDefault="00506E90">
      <w:pPr>
        <w:pStyle w:val="EndnoteText"/>
        <w:rPr>
          <w:rFonts w:cs="Open Sans"/>
          <w:lang w:val="en-US"/>
        </w:rPr>
      </w:pPr>
      <w:r w:rsidRPr="00D76839">
        <w:rPr>
          <w:rStyle w:val="EndnoteReference"/>
          <w:rFonts w:cs="Open Sans"/>
        </w:rPr>
        <w:endnoteRef/>
      </w:r>
      <w:r w:rsidRPr="00D76839">
        <w:rPr>
          <w:rFonts w:cs="Open Sans"/>
        </w:rPr>
        <w:t xml:space="preserve"> </w:t>
      </w:r>
      <w:r w:rsidRPr="00921278">
        <w:rPr>
          <w:rFonts w:cs="Open Sans"/>
          <w:i/>
          <w:iCs/>
        </w:rPr>
        <w:t>Convention on the Rights of Persons with Disabilities</w:t>
      </w:r>
      <w:r w:rsidRPr="00921278">
        <w:rPr>
          <w:rFonts w:cs="Open Sans"/>
        </w:rPr>
        <w:t>, opened for signature 30 March 2007, 2515 UNTS 3 (entered into force 3 Ma</w:t>
      </w:r>
      <w:r w:rsidRPr="0073427E">
        <w:rPr>
          <w:rFonts w:cs="Open Sans"/>
        </w:rPr>
        <w:t xml:space="preserve">y 2008) </w:t>
      </w:r>
      <w:r w:rsidRPr="0073427E">
        <w:rPr>
          <w:rFonts w:cs="Open Sans"/>
          <w:lang w:val="en-US"/>
        </w:rPr>
        <w:t>art 5.</w:t>
      </w:r>
    </w:p>
  </w:endnote>
  <w:endnote w:id="62">
    <w:p w14:paraId="10467278" w14:textId="3560168F"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art 20.</w:t>
      </w:r>
    </w:p>
  </w:endnote>
  <w:endnote w:id="63">
    <w:p w14:paraId="4FEC8D24" w14:textId="20D1D884" w:rsidR="00506E90" w:rsidRPr="006F456B" w:rsidRDefault="00506E90" w:rsidP="00315A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25.</w:t>
      </w:r>
    </w:p>
  </w:endnote>
  <w:endnote w:id="64">
    <w:p w14:paraId="43F869BD" w14:textId="5219DC53"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 5</w:t>
      </w:r>
      <w:r w:rsidRPr="0033110E">
        <w:rPr>
          <w:rFonts w:cs="Open Sans"/>
        </w:rPr>
        <w:t>.</w:t>
      </w:r>
    </w:p>
  </w:endnote>
  <w:endnote w:id="65">
    <w:p w14:paraId="68DBBC66" w14:textId="60838528" w:rsidR="00506E90" w:rsidRPr="006F456B" w:rsidRDefault="00506E90" w:rsidP="006E1F8B">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5.</w:t>
      </w:r>
    </w:p>
  </w:endnote>
  <w:endnote w:id="66">
    <w:p w14:paraId="58D0652B" w14:textId="7788B367" w:rsidR="00506E90" w:rsidRPr="0073427E" w:rsidRDefault="00506E90" w:rsidP="00874714">
      <w:pPr>
        <w:pStyle w:val="EndnoteText"/>
        <w:rPr>
          <w:rFonts w:cs="Open San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w:t>
      </w:r>
      <w:r w:rsidRPr="0033110E">
        <w:rPr>
          <w:rFonts w:cs="Open Sans"/>
          <w:lang w:val="en-US"/>
        </w:rPr>
        <w:t xml:space="preserve"> a</w:t>
      </w:r>
      <w:r w:rsidRPr="006F456B">
        <w:rPr>
          <w:rFonts w:cs="Open Sans"/>
          <w:lang w:val="en-US"/>
        </w:rPr>
        <w:t>rt</w:t>
      </w:r>
      <w:r w:rsidRPr="0033110E">
        <w:rPr>
          <w:rFonts w:cs="Open Sans"/>
          <w:lang w:val="en-US"/>
        </w:rPr>
        <w:t>s</w:t>
      </w:r>
      <w:r w:rsidRPr="006F456B">
        <w:rPr>
          <w:rFonts w:cs="Open Sans"/>
          <w:lang w:val="en-US"/>
        </w:rPr>
        <w:t xml:space="preserve"> 9</w:t>
      </w:r>
      <w:r w:rsidRPr="0033110E">
        <w:rPr>
          <w:rFonts w:cs="Open Sans"/>
          <w:lang w:val="en-US"/>
        </w:rPr>
        <w:t>, 21</w:t>
      </w:r>
      <w:r w:rsidRPr="0073427E">
        <w:rPr>
          <w:rFonts w:cs="Open Sans"/>
        </w:rPr>
        <w:t xml:space="preserve">; Committee on the Rights of Persons with Disabilities, </w:t>
      </w:r>
      <w:r w:rsidRPr="0073427E">
        <w:rPr>
          <w:rFonts w:cs="Open Sans"/>
          <w:i/>
        </w:rPr>
        <w:t>General Comment No 2: Article 9: Accessibility</w:t>
      </w:r>
      <w:r w:rsidRPr="0073427E">
        <w:rPr>
          <w:rFonts w:cs="Open Sans"/>
        </w:rPr>
        <w:t>, UN Doc</w:t>
      </w:r>
    </w:p>
    <w:p w14:paraId="332FBBB5" w14:textId="4D294AD6" w:rsidR="00506E90" w:rsidRPr="008013A5" w:rsidRDefault="00506E90" w:rsidP="00874714">
      <w:pPr>
        <w:pStyle w:val="EndnoteText"/>
        <w:rPr>
          <w:rFonts w:cs="Open Sans"/>
          <w:lang w:val="en-US"/>
        </w:rPr>
      </w:pPr>
      <w:r w:rsidRPr="0073427E">
        <w:rPr>
          <w:rFonts w:cs="Open Sans"/>
        </w:rPr>
        <w:t>CRPD/C/GC/2 (22 May 2014) [40].</w:t>
      </w:r>
    </w:p>
  </w:endnote>
  <w:endnote w:id="67">
    <w:p w14:paraId="0CC95F08" w14:textId="3A4434C2" w:rsidR="00506E90" w:rsidRPr="006F456B" w:rsidRDefault="00506E90">
      <w:pPr>
        <w:pStyle w:val="EndnoteText"/>
        <w:rPr>
          <w:rFonts w:cs="Open Sans"/>
          <w:lang w:val="en-US"/>
        </w:rPr>
      </w:pPr>
      <w:r w:rsidRPr="008013A5">
        <w:rPr>
          <w:rStyle w:val="EndnoteReference"/>
          <w:rFonts w:cs="Open Sans"/>
        </w:rPr>
        <w:endnoteRef/>
      </w:r>
      <w:r w:rsidRPr="008013A5">
        <w:rPr>
          <w:rFonts w:cs="Open Sans"/>
        </w:rPr>
        <w:t xml:space="preserve"> </w:t>
      </w:r>
      <w:r w:rsidRPr="008013A5">
        <w:rPr>
          <w:rFonts w:cs="Open Sans"/>
          <w:i/>
          <w:iCs/>
        </w:rPr>
        <w:t>Convention on the Rights of Persons with Disabilities</w:t>
      </w:r>
      <w:r w:rsidRPr="008013A5">
        <w:rPr>
          <w:rFonts w:cs="Open Sans"/>
        </w:rPr>
        <w:t>, opened for</w:t>
      </w:r>
      <w:r w:rsidRPr="006F456B">
        <w:rPr>
          <w:rFonts w:cs="Open Sans"/>
        </w:rPr>
        <w:t xml:space="preserve"> signature 30 March 2007, 2515 UNTS 3 (entered into force 3 May 2008) </w:t>
      </w:r>
      <w:r w:rsidRPr="0033110E">
        <w:rPr>
          <w:rFonts w:cs="Open Sans"/>
          <w:lang w:val="en-US"/>
        </w:rPr>
        <w:t>art</w:t>
      </w:r>
      <w:r w:rsidRPr="006F456B">
        <w:rPr>
          <w:rFonts w:cs="Open Sans"/>
          <w:lang w:val="en-US"/>
        </w:rPr>
        <w:t xml:space="preserve"> 25.</w:t>
      </w:r>
    </w:p>
  </w:endnote>
  <w:endnote w:id="68">
    <w:p w14:paraId="080633A9" w14:textId="65A16210" w:rsidR="00506E90" w:rsidRPr="006F456B" w:rsidRDefault="00506E90" w:rsidP="00DC6578">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art 5.</w:t>
      </w:r>
    </w:p>
  </w:endnote>
  <w:endnote w:id="69">
    <w:p w14:paraId="70F89C67" w14:textId="7965B59D" w:rsidR="00506E90" w:rsidRPr="006F456B" w:rsidRDefault="00506E90" w:rsidP="00DC6578">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art 5.</w:t>
      </w:r>
    </w:p>
  </w:endnote>
  <w:endnote w:id="70">
    <w:p w14:paraId="35B1CB8C" w14:textId="76171FA8" w:rsidR="00506E90" w:rsidRPr="006F456B" w:rsidRDefault="00506E90" w:rsidP="00DC6578">
      <w:pPr>
        <w:pStyle w:val="EndnoteText"/>
        <w:rPr>
          <w:rFonts w:cs="Open Sans"/>
          <w:lang w:val="en-US"/>
        </w:rPr>
      </w:pPr>
      <w:r w:rsidRPr="006F456B">
        <w:rPr>
          <w:rStyle w:val="EndnoteReference"/>
          <w:rFonts w:cs="Open Sans"/>
        </w:rPr>
        <w:endnoteRef/>
      </w:r>
      <w:r w:rsidRPr="006F456B">
        <w:rPr>
          <w:rFonts w:cs="Open Sans"/>
          <w:i/>
          <w:iCs/>
        </w:rPr>
        <w:t xml:space="preserve"> Convention on the Rights of Persons with Disabilities</w:t>
      </w:r>
      <w:r w:rsidRPr="006F456B">
        <w:rPr>
          <w:rFonts w:cs="Open Sans"/>
        </w:rPr>
        <w:t xml:space="preserve">, opened for signature 30 March 2007, 2515 UNTS 3 (entered into force 3 May 2008). </w:t>
      </w:r>
      <w:r w:rsidRPr="0033110E">
        <w:rPr>
          <w:rFonts w:cs="Open Sans"/>
          <w:lang w:val="en-US"/>
        </w:rPr>
        <w:t>a</w:t>
      </w:r>
      <w:r w:rsidRPr="006F456B">
        <w:rPr>
          <w:rFonts w:cs="Open Sans"/>
          <w:lang w:val="en-US"/>
        </w:rPr>
        <w:t>rt 25.</w:t>
      </w:r>
    </w:p>
  </w:endnote>
  <w:endnote w:id="71">
    <w:p w14:paraId="7FF8FFBD" w14:textId="7C148B21"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5</w:t>
      </w:r>
      <w:r w:rsidRPr="0033110E">
        <w:rPr>
          <w:rFonts w:cs="Open Sans"/>
          <w:lang w:val="en-US"/>
        </w:rPr>
        <w:t>.</w:t>
      </w:r>
    </w:p>
  </w:endnote>
  <w:endnote w:id="72">
    <w:p w14:paraId="6A1B9449" w14:textId="69731803"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25</w:t>
      </w:r>
      <w:r w:rsidRPr="0033110E">
        <w:rPr>
          <w:rFonts w:cs="Open Sans"/>
          <w:lang w:val="en-US"/>
        </w:rPr>
        <w:t>.</w:t>
      </w:r>
    </w:p>
  </w:endnote>
  <w:endnote w:id="73">
    <w:p w14:paraId="57C3E43A" w14:textId="514A9527"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 25</w:t>
      </w:r>
      <w:r w:rsidRPr="006F456B">
        <w:rPr>
          <w:rFonts w:cs="Open Sans"/>
          <w:lang w:val="en-US"/>
        </w:rPr>
        <w:t>.</w:t>
      </w:r>
    </w:p>
  </w:endnote>
  <w:endnote w:id="74">
    <w:p w14:paraId="6DD63473" w14:textId="0AC9B3AB"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5</w:t>
      </w:r>
      <w:r w:rsidRPr="0033110E">
        <w:rPr>
          <w:rFonts w:cs="Open Sans"/>
          <w:lang w:val="en-US"/>
        </w:rPr>
        <w:t>.</w:t>
      </w:r>
    </w:p>
  </w:endnote>
  <w:endnote w:id="75">
    <w:p w14:paraId="03FD1E42" w14:textId="1C33E7D4"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25.</w:t>
      </w:r>
    </w:p>
  </w:endnote>
  <w:endnote w:id="76">
    <w:p w14:paraId="1472EEC8" w14:textId="341840F0"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art 10.</w:t>
      </w:r>
    </w:p>
  </w:endnote>
  <w:endnote w:id="77">
    <w:p w14:paraId="169AD4E5" w14:textId="4516397F"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w:t>
      </w:r>
      <w:r w:rsidRPr="006F456B">
        <w:rPr>
          <w:rFonts w:cs="Open Sans"/>
          <w:lang w:val="en-US"/>
        </w:rPr>
        <w:t>art 10.</w:t>
      </w:r>
    </w:p>
  </w:endnote>
  <w:endnote w:id="78">
    <w:p w14:paraId="7B857D87" w14:textId="399321A0"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7.</w:t>
      </w:r>
    </w:p>
  </w:endnote>
  <w:endnote w:id="79">
    <w:p w14:paraId="559D29ED" w14:textId="71C5859C" w:rsidR="00506E90" w:rsidRPr="006F456B" w:rsidRDefault="00506E90" w:rsidP="00886876">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5.</w:t>
      </w:r>
    </w:p>
  </w:endnote>
  <w:endnote w:id="80">
    <w:p w14:paraId="095E43C4" w14:textId="2D809222" w:rsidR="00506E90" w:rsidRPr="006F456B" w:rsidRDefault="00506E90" w:rsidP="00886876">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25.</w:t>
      </w:r>
    </w:p>
  </w:endnote>
  <w:endnote w:id="81">
    <w:p w14:paraId="005A6171" w14:textId="43743BD9" w:rsidR="00506E90" w:rsidRPr="006F456B" w:rsidRDefault="00506E90" w:rsidP="00886876">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xml:space="preserve">, opened for signature 30 March 2007, 2515 UNTS 3 (entered into force 3 May 2008) art </w:t>
      </w:r>
      <w:r w:rsidRPr="006F456B">
        <w:rPr>
          <w:rFonts w:cs="Open Sans"/>
          <w:lang w:val="en-US"/>
        </w:rPr>
        <w:t>10.</w:t>
      </w:r>
    </w:p>
  </w:endnote>
  <w:endnote w:id="82">
    <w:p w14:paraId="1426AE67" w14:textId="2ED647F7"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10.</w:t>
      </w:r>
    </w:p>
  </w:endnote>
  <w:endnote w:id="83">
    <w:p w14:paraId="5C16ADDC" w14:textId="0657DE64" w:rsidR="00506E90" w:rsidRPr="006F456B" w:rsidRDefault="00506E90">
      <w:pPr>
        <w:pStyle w:val="EndnoteText"/>
        <w:rPr>
          <w:rFonts w:cs="Open Sans"/>
          <w:lang w:val="en-US"/>
        </w:rPr>
      </w:pPr>
      <w:r w:rsidRPr="006F456B">
        <w:rPr>
          <w:rStyle w:val="EndnoteReference"/>
          <w:rFonts w:cs="Open Sans"/>
        </w:rPr>
        <w:endnoteRef/>
      </w:r>
      <w:r w:rsidRPr="006F456B">
        <w:rPr>
          <w:rFonts w:cs="Open Sans"/>
        </w:rP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12.</w:t>
      </w:r>
    </w:p>
  </w:endnote>
  <w:endnote w:id="84">
    <w:p w14:paraId="0D9D014E" w14:textId="3EDDB110" w:rsidR="00506E90" w:rsidRPr="00660587" w:rsidRDefault="00506E90">
      <w:pPr>
        <w:pStyle w:val="EndnoteText"/>
        <w:rPr>
          <w:lang w:val="en-US"/>
        </w:rPr>
      </w:pPr>
      <w:r>
        <w:rPr>
          <w:rStyle w:val="EndnoteReference"/>
        </w:rPr>
        <w:endnoteRef/>
      </w:r>
      <w:r>
        <w:t xml:space="preserve"> </w:t>
      </w:r>
      <w:r w:rsidRPr="006F456B">
        <w:rPr>
          <w:rFonts w:cs="Open Sans"/>
          <w:i/>
          <w:iCs/>
        </w:rPr>
        <w:t>Convention on the Rights of Persons with Disabilities</w:t>
      </w:r>
      <w:r w:rsidRPr="006F456B">
        <w:rPr>
          <w:rFonts w:cs="Open Sans"/>
        </w:rPr>
        <w:t>, opened for signature 30 March 2007, 2515 UNTS 3 (entered into force 3 May 2008) art</w:t>
      </w:r>
      <w:r w:rsidRPr="006F456B">
        <w:rPr>
          <w:rFonts w:cs="Open Sans"/>
          <w:lang w:val="en-US"/>
        </w:rPr>
        <w:t xml:space="preserve"> 12</w:t>
      </w:r>
      <w:r>
        <w:rPr>
          <w:rFonts w:cs="Open Sans"/>
          <w:lang w:val="en-US"/>
        </w:rPr>
        <w:t>.</w:t>
      </w:r>
    </w:p>
  </w:endnote>
  <w:endnote w:id="85">
    <w:p w14:paraId="1F6445DD" w14:textId="7883E572" w:rsidR="00506E90" w:rsidRPr="00E25EBE" w:rsidRDefault="00506E90" w:rsidP="00744A6B">
      <w:pPr>
        <w:pStyle w:val="EndnoteText"/>
        <w:rPr>
          <w:rFonts w:cs="Open Sans"/>
          <w:lang w:val="en-US"/>
        </w:rPr>
      </w:pPr>
      <w:r w:rsidRPr="00E25EBE">
        <w:rPr>
          <w:rStyle w:val="EndnoteReference"/>
          <w:rFonts w:cs="Open Sans"/>
        </w:rPr>
        <w:endnoteRef/>
      </w:r>
      <w:r w:rsidRPr="00E25EBE">
        <w:rPr>
          <w:rFonts w:cs="Open Sans"/>
        </w:rPr>
        <w:t xml:space="preserve"> </w:t>
      </w:r>
      <w:r>
        <w:rPr>
          <w:rFonts w:cs="Open Sans"/>
        </w:rPr>
        <w:t>‘</w:t>
      </w:r>
      <w:r w:rsidRPr="008E5421">
        <w:rPr>
          <w:rFonts w:cs="Open Sans"/>
        </w:rPr>
        <w:t>Coronavirus (COVID-19) advice for people with disability</w:t>
      </w:r>
      <w:r>
        <w:rPr>
          <w:rFonts w:cs="Open Sans"/>
        </w:rPr>
        <w:t xml:space="preserve">’, </w:t>
      </w:r>
      <w:r w:rsidRPr="00F950CA">
        <w:rPr>
          <w:rFonts w:cs="Open Sans"/>
          <w:i/>
        </w:rPr>
        <w:t>Australian Government Department of Health</w:t>
      </w:r>
      <w:r>
        <w:rPr>
          <w:rFonts w:cs="Open Sans"/>
        </w:rPr>
        <w:t xml:space="preserve"> (Web Page, 17 July 2020) &lt;</w:t>
      </w:r>
      <w:hyperlink r:id="rId26" w:history="1">
        <w:r w:rsidRPr="008E5421">
          <w:rPr>
            <w:rStyle w:val="Hyperlink"/>
            <w:rFonts w:cs="Open Sans"/>
          </w:rPr>
          <w:t>https://www.health.gov.au/news/health-alerts/novel-coronavirus-2019-ncov-health-alert/advice-for-people-at-risk-of-coronavirus-covid-19/coronavirus-covid-19-advice-for-people-with-disability</w:t>
        </w:r>
      </w:hyperlink>
      <w:r>
        <w:rPr>
          <w:rFonts w:cs="Open Sans"/>
        </w:rPr>
        <w:t>&gt;.</w:t>
      </w:r>
    </w:p>
  </w:endnote>
  <w:endnote w:id="86">
    <w:p w14:paraId="64D8FBC9" w14:textId="7706396D" w:rsidR="00506E90" w:rsidRPr="00E25EBE" w:rsidRDefault="00506E90" w:rsidP="00744A6B">
      <w:pPr>
        <w:pStyle w:val="EndnoteText"/>
        <w:rPr>
          <w:rFonts w:cs="Open Sans"/>
          <w:lang w:val="en-US"/>
        </w:rPr>
      </w:pPr>
      <w:r w:rsidRPr="00E25EBE">
        <w:rPr>
          <w:rStyle w:val="EndnoteReference"/>
          <w:rFonts w:cs="Open Sans"/>
        </w:rPr>
        <w:endnoteRef/>
      </w:r>
      <w:r w:rsidRPr="00E25EBE">
        <w:rPr>
          <w:rFonts w:cs="Open Sans"/>
        </w:rPr>
        <w:t xml:space="preserve"> </w:t>
      </w:r>
      <w:r>
        <w:rPr>
          <w:rFonts w:cs="Open Sans"/>
        </w:rPr>
        <w:t>‘</w:t>
      </w:r>
      <w:r w:rsidRPr="001B639B">
        <w:rPr>
          <w:rFonts w:cs="Open Sans"/>
        </w:rPr>
        <w:t>Information and referrals for people with disability and their supporters about coronavirus (COVID-19)</w:t>
      </w:r>
      <w:r>
        <w:rPr>
          <w:rFonts w:cs="Open Sans"/>
        </w:rPr>
        <w:t xml:space="preserve">’, </w:t>
      </w:r>
      <w:r w:rsidRPr="00F950CA">
        <w:rPr>
          <w:rFonts w:cs="Open Sans"/>
          <w:i/>
        </w:rPr>
        <w:t>Australian Government Department of Social Services</w:t>
      </w:r>
      <w:r>
        <w:rPr>
          <w:rFonts w:cs="Open Sans"/>
        </w:rPr>
        <w:t xml:space="preserve"> (Web Page, 21 July 2020) &lt;</w:t>
      </w:r>
      <w:hyperlink r:id="rId27" w:history="1">
        <w:r w:rsidRPr="001B639B">
          <w:rPr>
            <w:rStyle w:val="Hyperlink"/>
            <w:rFonts w:cs="Open Sans"/>
          </w:rPr>
          <w:t>https://www.dss.gov.au/disability-and-carers/information-and-referrals-for-people-with-disability-and-their-supporters-about-coronavirus-covid-19</w:t>
        </w:r>
      </w:hyperlink>
      <w:r>
        <w:rPr>
          <w:rFonts w:cs="Open Sans"/>
        </w:rPr>
        <w:t>&gt;.</w:t>
      </w:r>
    </w:p>
  </w:endnote>
  <w:endnote w:id="87">
    <w:p w14:paraId="73403950" w14:textId="44D603E8" w:rsidR="00506E90" w:rsidRPr="00E25EBE" w:rsidRDefault="00506E90" w:rsidP="00744A6B">
      <w:pPr>
        <w:pStyle w:val="EndnoteText"/>
        <w:rPr>
          <w:rFonts w:cs="Open Sans"/>
          <w:lang w:val="en-US"/>
        </w:rPr>
      </w:pPr>
      <w:r w:rsidRPr="00E25EBE">
        <w:rPr>
          <w:rStyle w:val="EndnoteReference"/>
          <w:rFonts w:cs="Open Sans"/>
        </w:rPr>
        <w:endnoteRef/>
      </w:r>
      <w:r w:rsidRPr="00E25EBE">
        <w:rPr>
          <w:rFonts w:cs="Open Sans"/>
        </w:rPr>
        <w:t xml:space="preserve"> </w:t>
      </w:r>
      <w:r>
        <w:rPr>
          <w:rFonts w:cs="Open Sans"/>
        </w:rPr>
        <w:t xml:space="preserve">‘COVID-19 Information’, </w:t>
      </w:r>
      <w:r w:rsidRPr="00F950CA">
        <w:rPr>
          <w:rFonts w:cs="Open Sans"/>
          <w:i/>
        </w:rPr>
        <w:t>Australian Human Rights Commission</w:t>
      </w:r>
      <w:r>
        <w:rPr>
          <w:rFonts w:cs="Open Sans"/>
        </w:rPr>
        <w:t xml:space="preserve"> (Web Page, 16 July 2020) &lt;</w:t>
      </w:r>
      <w:hyperlink r:id="rId28" w:history="1">
        <w:r w:rsidRPr="001B639B">
          <w:rPr>
            <w:rStyle w:val="Hyperlink"/>
            <w:rFonts w:cs="Open Sans"/>
          </w:rPr>
          <w:t>https://humanrights.gov.au/our-work/commission-general/covid-19-information</w:t>
        </w:r>
      </w:hyperlink>
      <w:r w:rsidRPr="00836348">
        <w:t>&gt;.</w:t>
      </w:r>
    </w:p>
  </w:endnote>
  <w:endnote w:id="88">
    <w:p w14:paraId="01E3B677" w14:textId="77777777" w:rsidR="00506E90" w:rsidRPr="00E25EBE" w:rsidRDefault="00506E90" w:rsidP="00744A6B">
      <w:pPr>
        <w:pStyle w:val="EndnoteText"/>
        <w:rPr>
          <w:lang w:val="en-US"/>
        </w:rPr>
      </w:pPr>
      <w:r w:rsidRPr="00E25EBE">
        <w:rPr>
          <w:rStyle w:val="EndnoteReference"/>
          <w:rFonts w:cs="Open Sans"/>
        </w:rPr>
        <w:endnoteRef/>
      </w:r>
      <w:r w:rsidRPr="00E25EBE">
        <w:rPr>
          <w:rFonts w:cs="Open Sans"/>
        </w:rPr>
        <w:t xml:space="preserve"> </w:t>
      </w:r>
      <w:r>
        <w:rPr>
          <w:rFonts w:cs="Open Sans"/>
        </w:rPr>
        <w:t xml:space="preserve">‘COVID-19 Crisis’, </w:t>
      </w:r>
      <w:r w:rsidRPr="00F950CA">
        <w:rPr>
          <w:rFonts w:cs="Open Sans"/>
          <w:i/>
        </w:rPr>
        <w:t>Ideas</w:t>
      </w:r>
      <w:r>
        <w:rPr>
          <w:rFonts w:cs="Open Sans"/>
        </w:rPr>
        <w:t xml:space="preserve"> (Web Page, 25 June 2020) &lt;</w:t>
      </w:r>
      <w:hyperlink r:id="rId29" w:history="1">
        <w:r w:rsidRPr="00F16FC1">
          <w:rPr>
            <w:rStyle w:val="Hyperlink"/>
            <w:rFonts w:cs="Open Sans"/>
          </w:rPr>
          <w:t>https://www.ideas.org.au/covid-crisis.html</w:t>
        </w:r>
      </w:hyperlink>
      <w:r w:rsidRPr="00836348">
        <w:t>&gt;.</w:t>
      </w:r>
    </w:p>
  </w:endnote>
  <w:endnote w:id="89">
    <w:p w14:paraId="19D92AD6" w14:textId="672350B5" w:rsidR="00506E90" w:rsidRPr="00143FD4" w:rsidRDefault="00506E90">
      <w:pPr>
        <w:pStyle w:val="EndnoteText"/>
        <w:rPr>
          <w:rFonts w:cs="Open Sans"/>
          <w:lang w:val="en-US"/>
        </w:rPr>
      </w:pPr>
      <w:r w:rsidRPr="00143FD4">
        <w:rPr>
          <w:rStyle w:val="EndnoteReference"/>
          <w:rFonts w:cs="Open Sans"/>
        </w:rPr>
        <w:endnoteRef/>
      </w:r>
      <w:r w:rsidRPr="00143FD4">
        <w:rPr>
          <w:rFonts w:cs="Open Sans"/>
        </w:rPr>
        <w:t xml:space="preserve"> </w:t>
      </w:r>
      <w:r w:rsidRPr="00143FD4">
        <w:rPr>
          <w:rFonts w:cs="Open Sans"/>
          <w:lang w:val="en-US"/>
        </w:rPr>
        <w:t xml:space="preserve">‘Know your rights: A guide for people with disability to get the hospital care they need during COVID-19’, </w:t>
      </w:r>
      <w:r w:rsidRPr="00143FD4">
        <w:rPr>
          <w:rFonts w:cs="Open Sans"/>
          <w:i/>
          <w:iCs/>
          <w:lang w:val="en-US"/>
        </w:rPr>
        <w:t xml:space="preserve">Queenslanders with Disability Network </w:t>
      </w:r>
      <w:r w:rsidRPr="00143FD4">
        <w:rPr>
          <w:rFonts w:cs="Open Sans"/>
          <w:lang w:val="en-US"/>
        </w:rPr>
        <w:t>(Web Page, August 2020)</w:t>
      </w:r>
      <w:r w:rsidRPr="00143FD4">
        <w:rPr>
          <w:rFonts w:cs="Open Sans"/>
          <w:i/>
          <w:iCs/>
          <w:lang w:val="en-US"/>
        </w:rPr>
        <w:t xml:space="preserve"> </w:t>
      </w:r>
      <w:r w:rsidRPr="00143FD4">
        <w:rPr>
          <w:rFonts w:cs="Open Sans"/>
          <w:lang w:val="en-US"/>
        </w:rPr>
        <w:t>&lt;</w:t>
      </w:r>
      <w:hyperlink r:id="rId30" w:history="1">
        <w:r w:rsidRPr="00E501CE">
          <w:rPr>
            <w:rStyle w:val="Hyperlink"/>
            <w:rFonts w:cs="Open Sans"/>
            <w:lang w:val="en-US"/>
          </w:rPr>
          <w:t>https://www.qdn.org.au/knowyourrightscovid19</w:t>
        </w:r>
      </w:hyperlink>
      <w:r w:rsidRPr="00143FD4">
        <w:rPr>
          <w:rFonts w:cs="Open Sans"/>
          <w:lang w:val="en-US"/>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D33B3" w14:textId="42F05F13" w:rsidR="00506E90" w:rsidRDefault="00506E90" w:rsidP="00F277FA">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4FB18" w14:textId="77777777" w:rsidR="00C20151" w:rsidRDefault="00C20151" w:rsidP="00F14C6D">
      <w:r>
        <w:separator/>
      </w:r>
    </w:p>
  </w:footnote>
  <w:footnote w:type="continuationSeparator" w:id="0">
    <w:p w14:paraId="36E8D9B6" w14:textId="77777777" w:rsidR="00C20151" w:rsidRDefault="00C20151" w:rsidP="00F14C6D">
      <w:r>
        <w:continuationSeparator/>
      </w:r>
    </w:p>
  </w:footnote>
  <w:footnote w:type="continuationNotice" w:id="1">
    <w:p w14:paraId="59468E19" w14:textId="77777777" w:rsidR="00C20151" w:rsidRDefault="00C201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82EF" w14:textId="666DA33B" w:rsidR="00506E90" w:rsidRDefault="00506E90">
    <w:pPr>
      <w:pStyle w:val="Header"/>
    </w:pPr>
  </w:p>
  <w:p w14:paraId="77C0B994" w14:textId="77777777" w:rsidR="00506E90" w:rsidRDefault="00506E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3B5D" w14:textId="0119F74A" w:rsidR="00F277FA" w:rsidRPr="00F277FA" w:rsidRDefault="00506E90" w:rsidP="00F277FA">
    <w:pPr>
      <w:pStyle w:val="HeadingInternalTitlePage"/>
      <w:jc w:val="right"/>
      <w:rPr>
        <w:i/>
        <w:color w:val="auto"/>
        <w:sz w:val="21"/>
        <w:szCs w:val="21"/>
      </w:rPr>
    </w:pPr>
    <w:r w:rsidRPr="00660587">
      <w:rPr>
        <w:sz w:val="22"/>
        <w:szCs w:val="22"/>
      </w:rPr>
      <w:t>Australian Human Rights Commission</w:t>
    </w:r>
    <w:r w:rsidRPr="00660587">
      <w:rPr>
        <w:sz w:val="22"/>
        <w:szCs w:val="22"/>
      </w:rPr>
      <w:br/>
    </w:r>
    <w:r w:rsidRPr="00F277FA">
      <w:rPr>
        <w:i/>
        <w:iCs/>
        <w:sz w:val="21"/>
        <w:szCs w:val="21"/>
      </w:rPr>
      <w:t>Guidelines on the rights of people with disability in health</w:t>
    </w:r>
    <w:r w:rsidR="00F277FA">
      <w:rPr>
        <w:i/>
        <w:iCs/>
        <w:sz w:val="21"/>
        <w:szCs w:val="21"/>
      </w:rPr>
      <w:br/>
    </w:r>
    <w:r w:rsidRPr="00F277FA">
      <w:rPr>
        <w:i/>
        <w:iCs/>
        <w:sz w:val="21"/>
        <w:szCs w:val="21"/>
      </w:rPr>
      <w:t xml:space="preserve"> and disability care during COVID-19 – August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506E90" w:rsidRPr="00B85DD4" w14:paraId="1C64B5C8" w14:textId="77777777" w:rsidTr="002B1B65">
      <w:trPr>
        <w:trHeight w:val="1603"/>
      </w:trPr>
      <w:tc>
        <w:tcPr>
          <w:tcW w:w="1508" w:type="dxa"/>
        </w:tcPr>
        <w:p w14:paraId="4B54CC11" w14:textId="77777777" w:rsidR="00506E90" w:rsidRPr="00B85DD4" w:rsidRDefault="00506E90" w:rsidP="00B520BC">
          <w:pPr>
            <w:pStyle w:val="Header"/>
            <w:tabs>
              <w:tab w:val="left" w:pos="4686"/>
              <w:tab w:val="left" w:pos="7088"/>
              <w:tab w:val="left" w:pos="7242"/>
            </w:tabs>
            <w:ind w:left="-108"/>
            <w:rPr>
              <w:rFonts w:cs="ArialMT"/>
              <w:b/>
              <w:spacing w:val="-20"/>
            </w:rPr>
          </w:pPr>
          <w:r>
            <w:rPr>
              <w:noProof/>
            </w:rPr>
            <w:drawing>
              <wp:inline distT="0" distB="0" distL="0" distR="0" wp14:anchorId="53BD16EC" wp14:editId="19386F1B">
                <wp:extent cx="819150" cy="819150"/>
                <wp:effectExtent l="0" t="0" r="0" b="0"/>
                <wp:docPr id="1870606211"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tc>
      <w:tc>
        <w:tcPr>
          <w:tcW w:w="2688" w:type="dxa"/>
          <w:vAlign w:val="center"/>
        </w:tcPr>
        <w:p w14:paraId="0F257967" w14:textId="77777777" w:rsidR="00506E90" w:rsidRPr="00D36BB2" w:rsidRDefault="00506E90" w:rsidP="002B1B65">
          <w:pPr>
            <w:pStyle w:val="LogoType"/>
            <w:pBdr>
              <w:bottom w:val="single" w:sz="4" w:space="1" w:color="808080"/>
            </w:pBdr>
            <w:spacing w:line="240" w:lineRule="auto"/>
          </w:pPr>
          <w:r w:rsidRPr="00D36BB2">
            <w:t>Australian</w:t>
          </w:r>
        </w:p>
        <w:p w14:paraId="2BAF1400" w14:textId="77777777" w:rsidR="00506E90" w:rsidRPr="00D36BB2" w:rsidRDefault="00506E90" w:rsidP="002B1B65">
          <w:pPr>
            <w:pStyle w:val="LogoType"/>
            <w:pBdr>
              <w:bottom w:val="single" w:sz="4" w:space="1" w:color="808080"/>
            </w:pBdr>
            <w:spacing w:line="240" w:lineRule="auto"/>
          </w:pPr>
          <w:r w:rsidRPr="00D36BB2">
            <w:t>Human Rights</w:t>
          </w:r>
        </w:p>
        <w:p w14:paraId="769F0496" w14:textId="77777777" w:rsidR="00506E90" w:rsidRPr="00D36BB2" w:rsidRDefault="00506E90" w:rsidP="002B1B65">
          <w:pPr>
            <w:pStyle w:val="LogoType"/>
            <w:pBdr>
              <w:bottom w:val="single" w:sz="4" w:space="1" w:color="808080"/>
            </w:pBdr>
            <w:spacing w:line="240" w:lineRule="auto"/>
          </w:pPr>
          <w:r w:rsidRPr="00D36BB2">
            <w:t>Commission</w:t>
          </w:r>
        </w:p>
        <w:p w14:paraId="4D7FDE5C" w14:textId="77777777" w:rsidR="00506E90" w:rsidRPr="00B85DD4" w:rsidRDefault="00506E90"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3D82509B" w14:textId="77777777" w:rsidR="00506E90" w:rsidRPr="00B85DD4" w:rsidRDefault="00506E90" w:rsidP="00B520BC">
          <w:pPr>
            <w:pStyle w:val="HeaderFooter"/>
            <w:rPr>
              <w:b/>
              <w:spacing w:val="-20"/>
              <w:sz w:val="40"/>
            </w:rPr>
          </w:pPr>
        </w:p>
      </w:tc>
      <w:tc>
        <w:tcPr>
          <w:tcW w:w="2130" w:type="dxa"/>
        </w:tcPr>
        <w:p w14:paraId="4B5B1456" w14:textId="77777777" w:rsidR="00506E90" w:rsidRPr="00B85DD4" w:rsidRDefault="00506E90" w:rsidP="00B520BC">
          <w:pPr>
            <w:pStyle w:val="HeaderFooter"/>
            <w:rPr>
              <w:b/>
              <w:spacing w:val="-20"/>
              <w:sz w:val="40"/>
            </w:rPr>
          </w:pPr>
        </w:p>
      </w:tc>
      <w:tc>
        <w:tcPr>
          <w:tcW w:w="1721" w:type="dxa"/>
        </w:tcPr>
        <w:p w14:paraId="002812C5" w14:textId="77777777" w:rsidR="00506E90" w:rsidRPr="00B85DD4" w:rsidRDefault="00506E90" w:rsidP="00B520BC">
          <w:pPr>
            <w:pStyle w:val="HeaderFooter"/>
            <w:spacing w:before="227" w:after="340"/>
            <w:rPr>
              <w:b/>
              <w:spacing w:val="-20"/>
              <w:sz w:val="40"/>
            </w:rPr>
          </w:pPr>
        </w:p>
      </w:tc>
    </w:tr>
  </w:tbl>
  <w:p w14:paraId="5E9E858F" w14:textId="185094EA" w:rsidR="00506E90" w:rsidRDefault="00506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6F36045A"/>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D194F"/>
    <w:multiLevelType w:val="hybridMultilevel"/>
    <w:tmpl w:val="3DFE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77D94"/>
    <w:multiLevelType w:val="hybridMultilevel"/>
    <w:tmpl w:val="6B38D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EA3012A"/>
    <w:multiLevelType w:val="hybridMultilevel"/>
    <w:tmpl w:val="911A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2054F43"/>
    <w:multiLevelType w:val="hybridMultilevel"/>
    <w:tmpl w:val="F11C7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22110AA"/>
    <w:multiLevelType w:val="hybridMultilevel"/>
    <w:tmpl w:val="0200279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58D52C5"/>
    <w:multiLevelType w:val="hybridMultilevel"/>
    <w:tmpl w:val="4DE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F41D2"/>
    <w:multiLevelType w:val="hybridMultilevel"/>
    <w:tmpl w:val="B964B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E23A9"/>
    <w:multiLevelType w:val="hybridMultilevel"/>
    <w:tmpl w:val="D854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A61BB"/>
    <w:multiLevelType w:val="hybridMultilevel"/>
    <w:tmpl w:val="AFE6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42FE8"/>
    <w:multiLevelType w:val="hybridMultilevel"/>
    <w:tmpl w:val="0C09001D"/>
    <w:styleLink w:val="1ai"/>
    <w:lvl w:ilvl="0" w:tplc="E4006444">
      <w:start w:val="1"/>
      <w:numFmt w:val="decimal"/>
      <w:lvlText w:val="%1)"/>
      <w:lvlJc w:val="left"/>
      <w:pPr>
        <w:tabs>
          <w:tab w:val="num" w:pos="360"/>
        </w:tabs>
        <w:ind w:left="360" w:hanging="360"/>
      </w:pPr>
    </w:lvl>
    <w:lvl w:ilvl="1" w:tplc="EBD26764">
      <w:start w:val="1"/>
      <w:numFmt w:val="lowerLetter"/>
      <w:lvlText w:val="%2)"/>
      <w:lvlJc w:val="left"/>
      <w:pPr>
        <w:tabs>
          <w:tab w:val="num" w:pos="720"/>
        </w:tabs>
        <w:ind w:left="720" w:hanging="360"/>
      </w:pPr>
    </w:lvl>
    <w:lvl w:ilvl="2" w:tplc="F8FEBB66">
      <w:start w:val="1"/>
      <w:numFmt w:val="lowerRoman"/>
      <w:lvlText w:val="%3)"/>
      <w:lvlJc w:val="left"/>
      <w:pPr>
        <w:tabs>
          <w:tab w:val="num" w:pos="1080"/>
        </w:tabs>
        <w:ind w:left="1080" w:hanging="360"/>
      </w:pPr>
    </w:lvl>
    <w:lvl w:ilvl="3" w:tplc="AFC0F562">
      <w:start w:val="1"/>
      <w:numFmt w:val="decimal"/>
      <w:lvlText w:val="(%4)"/>
      <w:lvlJc w:val="left"/>
      <w:pPr>
        <w:tabs>
          <w:tab w:val="num" w:pos="1440"/>
        </w:tabs>
        <w:ind w:left="1440" w:hanging="360"/>
      </w:pPr>
    </w:lvl>
    <w:lvl w:ilvl="4" w:tplc="4E3EF8D8">
      <w:start w:val="1"/>
      <w:numFmt w:val="lowerLetter"/>
      <w:lvlText w:val="(%5)"/>
      <w:lvlJc w:val="left"/>
      <w:pPr>
        <w:tabs>
          <w:tab w:val="num" w:pos="1800"/>
        </w:tabs>
        <w:ind w:left="1800" w:hanging="360"/>
      </w:pPr>
    </w:lvl>
    <w:lvl w:ilvl="5" w:tplc="1DE8CC8C">
      <w:start w:val="1"/>
      <w:numFmt w:val="lowerRoman"/>
      <w:lvlText w:val="(%6)"/>
      <w:lvlJc w:val="left"/>
      <w:pPr>
        <w:tabs>
          <w:tab w:val="num" w:pos="2160"/>
        </w:tabs>
        <w:ind w:left="2160" w:hanging="360"/>
      </w:pPr>
    </w:lvl>
    <w:lvl w:ilvl="6" w:tplc="B2D4E840">
      <w:start w:val="1"/>
      <w:numFmt w:val="decimal"/>
      <w:lvlText w:val="%7."/>
      <w:lvlJc w:val="left"/>
      <w:pPr>
        <w:tabs>
          <w:tab w:val="num" w:pos="2520"/>
        </w:tabs>
        <w:ind w:left="2520" w:hanging="360"/>
      </w:pPr>
    </w:lvl>
    <w:lvl w:ilvl="7" w:tplc="602017A8">
      <w:start w:val="1"/>
      <w:numFmt w:val="lowerLetter"/>
      <w:lvlText w:val="%8."/>
      <w:lvlJc w:val="left"/>
      <w:pPr>
        <w:tabs>
          <w:tab w:val="num" w:pos="2880"/>
        </w:tabs>
        <w:ind w:left="2880" w:hanging="360"/>
      </w:pPr>
    </w:lvl>
    <w:lvl w:ilvl="8" w:tplc="F976DEE0">
      <w:start w:val="1"/>
      <w:numFmt w:val="lowerRoman"/>
      <w:lvlText w:val="%9."/>
      <w:lvlJc w:val="left"/>
      <w:pPr>
        <w:tabs>
          <w:tab w:val="num" w:pos="3240"/>
        </w:tabs>
        <w:ind w:left="3240" w:hanging="360"/>
      </w:pPr>
    </w:lvl>
  </w:abstractNum>
  <w:abstractNum w:abstractNumId="22" w15:restartNumberingAfterBreak="0">
    <w:nsid w:val="49FF7A73"/>
    <w:multiLevelType w:val="multilevel"/>
    <w:tmpl w:val="226A8AA2"/>
    <w:lvl w:ilvl="0">
      <w:start w:val="1"/>
      <w:numFmt w:val="decimal"/>
      <w:pStyle w:val="Heading1"/>
      <w:lvlText w:val="%1"/>
      <w:lvlJc w:val="left"/>
      <w:pPr>
        <w:ind w:left="851" w:hanging="851"/>
      </w:pPr>
      <w:rPr>
        <w:rFonts w:hint="default"/>
        <w:sz w:val="36"/>
        <w:szCs w:val="28"/>
      </w:rPr>
    </w:lvl>
    <w:lvl w:ilvl="1">
      <w:start w:val="1"/>
      <w:numFmt w:val="decimal"/>
      <w:pStyle w:val="Heading2"/>
      <w:lvlText w:val="%1.%2"/>
      <w:lvlJc w:val="left"/>
      <w:pPr>
        <w:tabs>
          <w:tab w:val="num" w:pos="1135"/>
        </w:tabs>
        <w:ind w:left="1135" w:hanging="851"/>
      </w:pPr>
      <w:rPr>
        <w:rFonts w:hint="default"/>
      </w:rPr>
    </w:lvl>
    <w:lvl w:ilvl="2">
      <w:start w:val="1"/>
      <w:numFmt w:val="lowerLetter"/>
      <w:pStyle w:val="Heading3"/>
      <w:lvlText w:val="(%3)"/>
      <w:lvlJc w:val="left"/>
      <w:pPr>
        <w:tabs>
          <w:tab w:val="num" w:pos="1277"/>
        </w:tabs>
        <w:ind w:left="1277" w:hanging="851"/>
      </w:pPr>
      <w:rPr>
        <w:rFonts w:hint="default"/>
        <w:b w:val="0"/>
      </w:rPr>
    </w:lvl>
    <w:lvl w:ilvl="3">
      <w:start w:val="1"/>
      <w:numFmt w:val="lowerRoman"/>
      <w:pStyle w:val="Heading4"/>
      <w:lvlText w:val="(%4)"/>
      <w:lvlJc w:val="left"/>
      <w:pPr>
        <w:tabs>
          <w:tab w:val="num" w:pos="851"/>
        </w:tabs>
        <w:ind w:left="851" w:hanging="851"/>
      </w:pPr>
      <w:rPr>
        <w:rFonts w:hint="default"/>
        <w:b w:val="0"/>
        <w:bCs/>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15148FE"/>
    <w:multiLevelType w:val="hybridMultilevel"/>
    <w:tmpl w:val="064C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25A98"/>
    <w:multiLevelType w:val="hybridMultilevel"/>
    <w:tmpl w:val="B770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26BC9"/>
    <w:multiLevelType w:val="hybridMultilevel"/>
    <w:tmpl w:val="9A1E1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B31FE"/>
    <w:multiLevelType w:val="hybridMultilevel"/>
    <w:tmpl w:val="4C9E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21174"/>
    <w:multiLevelType w:val="hybridMultilevel"/>
    <w:tmpl w:val="98683A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8414B28"/>
    <w:multiLevelType w:val="multilevel"/>
    <w:tmpl w:val="0E02ABCA"/>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1135"/>
        </w:tabs>
        <w:ind w:left="1135" w:hanging="851"/>
      </w:pPr>
      <w:rPr>
        <w:rFonts w:hint="default"/>
      </w:rPr>
    </w:lvl>
    <w:lvl w:ilvl="2">
      <w:start w:val="1"/>
      <w:numFmt w:val="lowerLetter"/>
      <w:lvlText w:val="(%3)"/>
      <w:lvlJc w:val="left"/>
      <w:pPr>
        <w:tabs>
          <w:tab w:val="num" w:pos="1277"/>
        </w:tabs>
        <w:ind w:left="1277" w:hanging="851"/>
      </w:pPr>
      <w:rPr>
        <w:rFonts w:hint="default"/>
        <w:b w:val="0"/>
      </w:rPr>
    </w:lvl>
    <w:lvl w:ilvl="3">
      <w:start w:val="1"/>
      <w:numFmt w:val="lowerRoman"/>
      <w:lvlText w:val="(%4)"/>
      <w:lvlJc w:val="left"/>
      <w:pPr>
        <w:tabs>
          <w:tab w:val="num" w:pos="851"/>
        </w:tabs>
        <w:ind w:left="851" w:hanging="851"/>
      </w:pPr>
      <w:rPr>
        <w:rFonts w:hint="default"/>
        <w:b w:val="0"/>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0" w15:restartNumberingAfterBreak="0">
    <w:nsid w:val="6E725DBD"/>
    <w:multiLevelType w:val="hybridMultilevel"/>
    <w:tmpl w:val="D7160048"/>
    <w:lvl w:ilvl="0" w:tplc="A7E0AD14">
      <w:start w:val="1"/>
      <w:numFmt w:val="decimal"/>
      <w:lvlText w:val="%1."/>
      <w:lvlJc w:val="left"/>
      <w:pPr>
        <w:tabs>
          <w:tab w:val="num" w:pos="720"/>
        </w:tabs>
        <w:ind w:left="720" w:hanging="360"/>
      </w:pPr>
    </w:lvl>
    <w:lvl w:ilvl="1" w:tplc="6C66F908" w:tentative="1">
      <w:start w:val="1"/>
      <w:numFmt w:val="decimal"/>
      <w:lvlText w:val="%2."/>
      <w:lvlJc w:val="left"/>
      <w:pPr>
        <w:tabs>
          <w:tab w:val="num" w:pos="1440"/>
        </w:tabs>
        <w:ind w:left="1440" w:hanging="360"/>
      </w:pPr>
    </w:lvl>
    <w:lvl w:ilvl="2" w:tplc="65828374" w:tentative="1">
      <w:start w:val="1"/>
      <w:numFmt w:val="decimal"/>
      <w:lvlText w:val="%3."/>
      <w:lvlJc w:val="left"/>
      <w:pPr>
        <w:tabs>
          <w:tab w:val="num" w:pos="2160"/>
        </w:tabs>
        <w:ind w:left="2160" w:hanging="360"/>
      </w:pPr>
    </w:lvl>
    <w:lvl w:ilvl="3" w:tplc="5BBA6918" w:tentative="1">
      <w:start w:val="1"/>
      <w:numFmt w:val="decimal"/>
      <w:lvlText w:val="%4."/>
      <w:lvlJc w:val="left"/>
      <w:pPr>
        <w:tabs>
          <w:tab w:val="num" w:pos="2880"/>
        </w:tabs>
        <w:ind w:left="2880" w:hanging="360"/>
      </w:pPr>
    </w:lvl>
    <w:lvl w:ilvl="4" w:tplc="5DC854C0" w:tentative="1">
      <w:start w:val="1"/>
      <w:numFmt w:val="decimal"/>
      <w:lvlText w:val="%5."/>
      <w:lvlJc w:val="left"/>
      <w:pPr>
        <w:tabs>
          <w:tab w:val="num" w:pos="3600"/>
        </w:tabs>
        <w:ind w:left="3600" w:hanging="360"/>
      </w:pPr>
    </w:lvl>
    <w:lvl w:ilvl="5" w:tplc="B7327022" w:tentative="1">
      <w:start w:val="1"/>
      <w:numFmt w:val="decimal"/>
      <w:lvlText w:val="%6."/>
      <w:lvlJc w:val="left"/>
      <w:pPr>
        <w:tabs>
          <w:tab w:val="num" w:pos="4320"/>
        </w:tabs>
        <w:ind w:left="4320" w:hanging="360"/>
      </w:pPr>
    </w:lvl>
    <w:lvl w:ilvl="6" w:tplc="3DF43C18" w:tentative="1">
      <w:start w:val="1"/>
      <w:numFmt w:val="decimal"/>
      <w:lvlText w:val="%7."/>
      <w:lvlJc w:val="left"/>
      <w:pPr>
        <w:tabs>
          <w:tab w:val="num" w:pos="5040"/>
        </w:tabs>
        <w:ind w:left="5040" w:hanging="360"/>
      </w:pPr>
    </w:lvl>
    <w:lvl w:ilvl="7" w:tplc="B7FE2570" w:tentative="1">
      <w:start w:val="1"/>
      <w:numFmt w:val="decimal"/>
      <w:lvlText w:val="%8."/>
      <w:lvlJc w:val="left"/>
      <w:pPr>
        <w:tabs>
          <w:tab w:val="num" w:pos="5760"/>
        </w:tabs>
        <w:ind w:left="5760" w:hanging="360"/>
      </w:pPr>
    </w:lvl>
    <w:lvl w:ilvl="8" w:tplc="9F60BB6E" w:tentative="1">
      <w:start w:val="1"/>
      <w:numFmt w:val="decimal"/>
      <w:lvlText w:val="%9."/>
      <w:lvlJc w:val="left"/>
      <w:pPr>
        <w:tabs>
          <w:tab w:val="num" w:pos="6480"/>
        </w:tabs>
        <w:ind w:left="6480" w:hanging="360"/>
      </w:pPr>
    </w:lvl>
  </w:abstractNum>
  <w:abstractNum w:abstractNumId="31" w15:restartNumberingAfterBreak="0">
    <w:nsid w:val="7CE36B6A"/>
    <w:multiLevelType w:val="hybridMultilevel"/>
    <w:tmpl w:val="2A9E37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7F3F5623"/>
    <w:multiLevelType w:val="hybridMultilevel"/>
    <w:tmpl w:val="8D6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3"/>
  </w:num>
  <w:num w:numId="13">
    <w:abstractNumId w:val="21"/>
  </w:num>
  <w:num w:numId="14">
    <w:abstractNumId w:val="14"/>
  </w:num>
  <w:num w:numId="15">
    <w:abstractNumId w:val="12"/>
  </w:num>
  <w:num w:numId="16">
    <w:abstractNumId w:val="28"/>
  </w:num>
  <w:num w:numId="17">
    <w:abstractNumId w:val="25"/>
  </w:num>
  <w:num w:numId="18">
    <w:abstractNumId w:val="20"/>
  </w:num>
  <w:num w:numId="19">
    <w:abstractNumId w:val="16"/>
  </w:num>
  <w:num w:numId="20">
    <w:abstractNumId w:val="19"/>
  </w:num>
  <w:num w:numId="21">
    <w:abstractNumId w:val="26"/>
  </w:num>
  <w:num w:numId="22">
    <w:abstractNumId w:val="27"/>
  </w:num>
  <w:num w:numId="23">
    <w:abstractNumId w:val="30"/>
  </w:num>
  <w:num w:numId="24">
    <w:abstractNumId w:val="17"/>
  </w:num>
  <w:num w:numId="25">
    <w:abstractNumId w:val="24"/>
  </w:num>
  <w:num w:numId="26">
    <w:abstractNumId w:val="10"/>
  </w:num>
  <w:num w:numId="27">
    <w:abstractNumId w:val="11"/>
  </w:num>
  <w:num w:numId="28">
    <w:abstractNumId w:val="13"/>
  </w:num>
  <w:num w:numId="29">
    <w:abstractNumId w:val="15"/>
  </w:num>
  <w:num w:numId="30">
    <w:abstractNumId w:val="18"/>
  </w:num>
  <w:num w:numId="31">
    <w:abstractNumId w:val="31"/>
  </w:num>
  <w:num w:numId="32">
    <w:abstractNumId w:val="32"/>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A3"/>
    <w:rsid w:val="000004C9"/>
    <w:rsid w:val="00000DF2"/>
    <w:rsid w:val="00000E21"/>
    <w:rsid w:val="00001471"/>
    <w:rsid w:val="0000168C"/>
    <w:rsid w:val="00001722"/>
    <w:rsid w:val="00001C6E"/>
    <w:rsid w:val="00002EA1"/>
    <w:rsid w:val="00003A77"/>
    <w:rsid w:val="00003B1E"/>
    <w:rsid w:val="00003D5F"/>
    <w:rsid w:val="00005862"/>
    <w:rsid w:val="0000608B"/>
    <w:rsid w:val="000062B6"/>
    <w:rsid w:val="00006872"/>
    <w:rsid w:val="00007077"/>
    <w:rsid w:val="00007206"/>
    <w:rsid w:val="00007868"/>
    <w:rsid w:val="000079E7"/>
    <w:rsid w:val="000121BF"/>
    <w:rsid w:val="00012528"/>
    <w:rsid w:val="00012ADB"/>
    <w:rsid w:val="00013918"/>
    <w:rsid w:val="0001411F"/>
    <w:rsid w:val="0001451E"/>
    <w:rsid w:val="0001528B"/>
    <w:rsid w:val="00015915"/>
    <w:rsid w:val="000159A0"/>
    <w:rsid w:val="000159D0"/>
    <w:rsid w:val="00016068"/>
    <w:rsid w:val="00016283"/>
    <w:rsid w:val="00016317"/>
    <w:rsid w:val="00016710"/>
    <w:rsid w:val="000174A8"/>
    <w:rsid w:val="00017941"/>
    <w:rsid w:val="000204B3"/>
    <w:rsid w:val="00020BCA"/>
    <w:rsid w:val="00020E06"/>
    <w:rsid w:val="00021727"/>
    <w:rsid w:val="000219C3"/>
    <w:rsid w:val="00021EC0"/>
    <w:rsid w:val="000223F0"/>
    <w:rsid w:val="000230BA"/>
    <w:rsid w:val="00024324"/>
    <w:rsid w:val="000244C9"/>
    <w:rsid w:val="00025511"/>
    <w:rsid w:val="000256BB"/>
    <w:rsid w:val="0002588F"/>
    <w:rsid w:val="0002607E"/>
    <w:rsid w:val="00026DF0"/>
    <w:rsid w:val="00026EEE"/>
    <w:rsid w:val="00030394"/>
    <w:rsid w:val="000326E2"/>
    <w:rsid w:val="00034EA2"/>
    <w:rsid w:val="0003580D"/>
    <w:rsid w:val="00035AD2"/>
    <w:rsid w:val="00036237"/>
    <w:rsid w:val="0003714C"/>
    <w:rsid w:val="00037B19"/>
    <w:rsid w:val="00040A9C"/>
    <w:rsid w:val="00040C05"/>
    <w:rsid w:val="00041C46"/>
    <w:rsid w:val="00042C6C"/>
    <w:rsid w:val="000434F8"/>
    <w:rsid w:val="000509AB"/>
    <w:rsid w:val="00050BF4"/>
    <w:rsid w:val="00051A2F"/>
    <w:rsid w:val="000529B6"/>
    <w:rsid w:val="00053119"/>
    <w:rsid w:val="00053F79"/>
    <w:rsid w:val="000542F3"/>
    <w:rsid w:val="0005488C"/>
    <w:rsid w:val="000549A3"/>
    <w:rsid w:val="00054F3D"/>
    <w:rsid w:val="0005538D"/>
    <w:rsid w:val="00056B93"/>
    <w:rsid w:val="00057225"/>
    <w:rsid w:val="000579B1"/>
    <w:rsid w:val="0006113D"/>
    <w:rsid w:val="000613B5"/>
    <w:rsid w:val="00061F96"/>
    <w:rsid w:val="00062120"/>
    <w:rsid w:val="000630E2"/>
    <w:rsid w:val="00063317"/>
    <w:rsid w:val="00063F45"/>
    <w:rsid w:val="00064084"/>
    <w:rsid w:val="00064DE9"/>
    <w:rsid w:val="0006556F"/>
    <w:rsid w:val="00065923"/>
    <w:rsid w:val="000659AE"/>
    <w:rsid w:val="00065F38"/>
    <w:rsid w:val="00070EC4"/>
    <w:rsid w:val="00071195"/>
    <w:rsid w:val="000718F4"/>
    <w:rsid w:val="0007193F"/>
    <w:rsid w:val="00072585"/>
    <w:rsid w:val="00073004"/>
    <w:rsid w:val="0007309D"/>
    <w:rsid w:val="00073DAF"/>
    <w:rsid w:val="000746AB"/>
    <w:rsid w:val="00075022"/>
    <w:rsid w:val="00075FA7"/>
    <w:rsid w:val="00076049"/>
    <w:rsid w:val="00076A0D"/>
    <w:rsid w:val="0007785F"/>
    <w:rsid w:val="0008125C"/>
    <w:rsid w:val="00081962"/>
    <w:rsid w:val="00082C20"/>
    <w:rsid w:val="0008388B"/>
    <w:rsid w:val="00083AAE"/>
    <w:rsid w:val="000851F3"/>
    <w:rsid w:val="000856A4"/>
    <w:rsid w:val="000856C3"/>
    <w:rsid w:val="00087021"/>
    <w:rsid w:val="00087933"/>
    <w:rsid w:val="00087E4E"/>
    <w:rsid w:val="00090A79"/>
    <w:rsid w:val="00090AC2"/>
    <w:rsid w:val="00090FC5"/>
    <w:rsid w:val="00091503"/>
    <w:rsid w:val="00091644"/>
    <w:rsid w:val="00091B8A"/>
    <w:rsid w:val="00091BD0"/>
    <w:rsid w:val="00091C6C"/>
    <w:rsid w:val="000935B9"/>
    <w:rsid w:val="00093745"/>
    <w:rsid w:val="00093886"/>
    <w:rsid w:val="00093D27"/>
    <w:rsid w:val="000953FA"/>
    <w:rsid w:val="00095497"/>
    <w:rsid w:val="000954E0"/>
    <w:rsid w:val="0009618C"/>
    <w:rsid w:val="00097012"/>
    <w:rsid w:val="00097606"/>
    <w:rsid w:val="00097EF3"/>
    <w:rsid w:val="000A0369"/>
    <w:rsid w:val="000A0533"/>
    <w:rsid w:val="000A0F0C"/>
    <w:rsid w:val="000A1317"/>
    <w:rsid w:val="000A1607"/>
    <w:rsid w:val="000A1CD8"/>
    <w:rsid w:val="000A1DB5"/>
    <w:rsid w:val="000A1DB8"/>
    <w:rsid w:val="000A1EB2"/>
    <w:rsid w:val="000A1ED4"/>
    <w:rsid w:val="000A1F03"/>
    <w:rsid w:val="000A2BA7"/>
    <w:rsid w:val="000A2E70"/>
    <w:rsid w:val="000A2EFE"/>
    <w:rsid w:val="000A401B"/>
    <w:rsid w:val="000A48AC"/>
    <w:rsid w:val="000A4D88"/>
    <w:rsid w:val="000A5076"/>
    <w:rsid w:val="000A60F0"/>
    <w:rsid w:val="000A6E71"/>
    <w:rsid w:val="000A77DF"/>
    <w:rsid w:val="000A7B5B"/>
    <w:rsid w:val="000B0088"/>
    <w:rsid w:val="000B055D"/>
    <w:rsid w:val="000B059D"/>
    <w:rsid w:val="000B0A5D"/>
    <w:rsid w:val="000B142E"/>
    <w:rsid w:val="000B18B8"/>
    <w:rsid w:val="000B19D0"/>
    <w:rsid w:val="000B1A18"/>
    <w:rsid w:val="000B2C0F"/>
    <w:rsid w:val="000B3EE4"/>
    <w:rsid w:val="000B6192"/>
    <w:rsid w:val="000B6388"/>
    <w:rsid w:val="000B6880"/>
    <w:rsid w:val="000B7966"/>
    <w:rsid w:val="000B7D77"/>
    <w:rsid w:val="000C00DD"/>
    <w:rsid w:val="000C04E9"/>
    <w:rsid w:val="000C0607"/>
    <w:rsid w:val="000C0E39"/>
    <w:rsid w:val="000C0EE4"/>
    <w:rsid w:val="000C16B4"/>
    <w:rsid w:val="000C1D9D"/>
    <w:rsid w:val="000C1E01"/>
    <w:rsid w:val="000C1FFD"/>
    <w:rsid w:val="000C2264"/>
    <w:rsid w:val="000C23D1"/>
    <w:rsid w:val="000C301E"/>
    <w:rsid w:val="000C31C3"/>
    <w:rsid w:val="000C3F82"/>
    <w:rsid w:val="000C3FB2"/>
    <w:rsid w:val="000C41E0"/>
    <w:rsid w:val="000C4807"/>
    <w:rsid w:val="000C48C2"/>
    <w:rsid w:val="000C7258"/>
    <w:rsid w:val="000D066A"/>
    <w:rsid w:val="000D0726"/>
    <w:rsid w:val="000D1765"/>
    <w:rsid w:val="000D1B2B"/>
    <w:rsid w:val="000D209D"/>
    <w:rsid w:val="000D2579"/>
    <w:rsid w:val="000D2583"/>
    <w:rsid w:val="000D2601"/>
    <w:rsid w:val="000D3442"/>
    <w:rsid w:val="000D5762"/>
    <w:rsid w:val="000D58F8"/>
    <w:rsid w:val="000D6495"/>
    <w:rsid w:val="000D71DE"/>
    <w:rsid w:val="000D72CD"/>
    <w:rsid w:val="000D78C2"/>
    <w:rsid w:val="000D7F8A"/>
    <w:rsid w:val="000D7F9B"/>
    <w:rsid w:val="000E0A61"/>
    <w:rsid w:val="000E130A"/>
    <w:rsid w:val="000E216B"/>
    <w:rsid w:val="000E2C13"/>
    <w:rsid w:val="000E391C"/>
    <w:rsid w:val="000E3D32"/>
    <w:rsid w:val="000E4A0B"/>
    <w:rsid w:val="000E4B91"/>
    <w:rsid w:val="000E52E1"/>
    <w:rsid w:val="000E620F"/>
    <w:rsid w:val="000E7AF5"/>
    <w:rsid w:val="000F0823"/>
    <w:rsid w:val="000F12F9"/>
    <w:rsid w:val="000F2EF7"/>
    <w:rsid w:val="000F306C"/>
    <w:rsid w:val="000F3E48"/>
    <w:rsid w:val="000F50D6"/>
    <w:rsid w:val="000F519A"/>
    <w:rsid w:val="000F5589"/>
    <w:rsid w:val="000F5614"/>
    <w:rsid w:val="000F568F"/>
    <w:rsid w:val="000F61BF"/>
    <w:rsid w:val="000F61EA"/>
    <w:rsid w:val="000F69C9"/>
    <w:rsid w:val="000F7266"/>
    <w:rsid w:val="0010002C"/>
    <w:rsid w:val="00100672"/>
    <w:rsid w:val="001008C1"/>
    <w:rsid w:val="001008CF"/>
    <w:rsid w:val="00100C1F"/>
    <w:rsid w:val="00100D4F"/>
    <w:rsid w:val="00101CEB"/>
    <w:rsid w:val="00102E43"/>
    <w:rsid w:val="001036CD"/>
    <w:rsid w:val="00103B30"/>
    <w:rsid w:val="00104C9F"/>
    <w:rsid w:val="001059BF"/>
    <w:rsid w:val="00105EE2"/>
    <w:rsid w:val="00106648"/>
    <w:rsid w:val="00106D59"/>
    <w:rsid w:val="001106B9"/>
    <w:rsid w:val="001106D3"/>
    <w:rsid w:val="001111F2"/>
    <w:rsid w:val="001121A2"/>
    <w:rsid w:val="00113B1A"/>
    <w:rsid w:val="00113C35"/>
    <w:rsid w:val="001158F2"/>
    <w:rsid w:val="00116D8D"/>
    <w:rsid w:val="00116F29"/>
    <w:rsid w:val="0011755D"/>
    <w:rsid w:val="00117727"/>
    <w:rsid w:val="001177A3"/>
    <w:rsid w:val="001177EA"/>
    <w:rsid w:val="00117907"/>
    <w:rsid w:val="00120D30"/>
    <w:rsid w:val="00120FAF"/>
    <w:rsid w:val="001212F0"/>
    <w:rsid w:val="00122100"/>
    <w:rsid w:val="00122EF5"/>
    <w:rsid w:val="001238DC"/>
    <w:rsid w:val="00123D63"/>
    <w:rsid w:val="00123EE2"/>
    <w:rsid w:val="001241A5"/>
    <w:rsid w:val="00125932"/>
    <w:rsid w:val="00125A0B"/>
    <w:rsid w:val="00125EEF"/>
    <w:rsid w:val="001263F5"/>
    <w:rsid w:val="00126766"/>
    <w:rsid w:val="00127F6C"/>
    <w:rsid w:val="00130BBB"/>
    <w:rsid w:val="00132785"/>
    <w:rsid w:val="0013299D"/>
    <w:rsid w:val="00133216"/>
    <w:rsid w:val="00133FE9"/>
    <w:rsid w:val="001343D6"/>
    <w:rsid w:val="00134774"/>
    <w:rsid w:val="0013541E"/>
    <w:rsid w:val="001362FB"/>
    <w:rsid w:val="00136404"/>
    <w:rsid w:val="0013679A"/>
    <w:rsid w:val="00136B8E"/>
    <w:rsid w:val="00137377"/>
    <w:rsid w:val="001374C2"/>
    <w:rsid w:val="00137617"/>
    <w:rsid w:val="00137AD7"/>
    <w:rsid w:val="00137AF0"/>
    <w:rsid w:val="00140274"/>
    <w:rsid w:val="00140DE5"/>
    <w:rsid w:val="00142A2B"/>
    <w:rsid w:val="00143548"/>
    <w:rsid w:val="00143C2D"/>
    <w:rsid w:val="00143FD4"/>
    <w:rsid w:val="001441A4"/>
    <w:rsid w:val="00145092"/>
    <w:rsid w:val="0014511A"/>
    <w:rsid w:val="00145C65"/>
    <w:rsid w:val="0014632B"/>
    <w:rsid w:val="00150221"/>
    <w:rsid w:val="001503BE"/>
    <w:rsid w:val="001503E4"/>
    <w:rsid w:val="001504D1"/>
    <w:rsid w:val="001506AB"/>
    <w:rsid w:val="00150827"/>
    <w:rsid w:val="00150A2C"/>
    <w:rsid w:val="00151263"/>
    <w:rsid w:val="001513FA"/>
    <w:rsid w:val="00151DE1"/>
    <w:rsid w:val="001530BB"/>
    <w:rsid w:val="00153782"/>
    <w:rsid w:val="001539F0"/>
    <w:rsid w:val="00153A3F"/>
    <w:rsid w:val="00153F41"/>
    <w:rsid w:val="00154C42"/>
    <w:rsid w:val="00155D42"/>
    <w:rsid w:val="00155DCC"/>
    <w:rsid w:val="00155F01"/>
    <w:rsid w:val="001567A9"/>
    <w:rsid w:val="00156FB9"/>
    <w:rsid w:val="00157284"/>
    <w:rsid w:val="001579A2"/>
    <w:rsid w:val="00157CB9"/>
    <w:rsid w:val="0016096D"/>
    <w:rsid w:val="00160A5A"/>
    <w:rsid w:val="00160BA5"/>
    <w:rsid w:val="00160EFE"/>
    <w:rsid w:val="00161679"/>
    <w:rsid w:val="0016259F"/>
    <w:rsid w:val="00162A8D"/>
    <w:rsid w:val="0016391D"/>
    <w:rsid w:val="00163C91"/>
    <w:rsid w:val="00163D2E"/>
    <w:rsid w:val="001645E9"/>
    <w:rsid w:val="001655AD"/>
    <w:rsid w:val="00165690"/>
    <w:rsid w:val="00165E3C"/>
    <w:rsid w:val="00165FEF"/>
    <w:rsid w:val="0016791C"/>
    <w:rsid w:val="00171741"/>
    <w:rsid w:val="00171BC2"/>
    <w:rsid w:val="00172790"/>
    <w:rsid w:val="00172AA6"/>
    <w:rsid w:val="00173406"/>
    <w:rsid w:val="001737C1"/>
    <w:rsid w:val="00173FB5"/>
    <w:rsid w:val="001742F7"/>
    <w:rsid w:val="00175768"/>
    <w:rsid w:val="00176923"/>
    <w:rsid w:val="0017763F"/>
    <w:rsid w:val="00180872"/>
    <w:rsid w:val="00180EF2"/>
    <w:rsid w:val="001813DE"/>
    <w:rsid w:val="00181407"/>
    <w:rsid w:val="00182D1D"/>
    <w:rsid w:val="00182EDF"/>
    <w:rsid w:val="0018343B"/>
    <w:rsid w:val="00184762"/>
    <w:rsid w:val="0018482B"/>
    <w:rsid w:val="00184863"/>
    <w:rsid w:val="00184A45"/>
    <w:rsid w:val="00184B26"/>
    <w:rsid w:val="00186821"/>
    <w:rsid w:val="00186CF4"/>
    <w:rsid w:val="001870DE"/>
    <w:rsid w:val="001905D9"/>
    <w:rsid w:val="0019099A"/>
    <w:rsid w:val="001916CE"/>
    <w:rsid w:val="00192919"/>
    <w:rsid w:val="001929B3"/>
    <w:rsid w:val="00192BDE"/>
    <w:rsid w:val="0019393B"/>
    <w:rsid w:val="00193BE6"/>
    <w:rsid w:val="00194364"/>
    <w:rsid w:val="0019462E"/>
    <w:rsid w:val="00195141"/>
    <w:rsid w:val="001962D3"/>
    <w:rsid w:val="0019641F"/>
    <w:rsid w:val="00196F12"/>
    <w:rsid w:val="00197B7B"/>
    <w:rsid w:val="00197C77"/>
    <w:rsid w:val="00197D3D"/>
    <w:rsid w:val="001A2322"/>
    <w:rsid w:val="001A2D87"/>
    <w:rsid w:val="001A31AD"/>
    <w:rsid w:val="001A3542"/>
    <w:rsid w:val="001A385B"/>
    <w:rsid w:val="001A3CDB"/>
    <w:rsid w:val="001A3E64"/>
    <w:rsid w:val="001A42E9"/>
    <w:rsid w:val="001A53A3"/>
    <w:rsid w:val="001A5FA4"/>
    <w:rsid w:val="001A67B6"/>
    <w:rsid w:val="001A6D6C"/>
    <w:rsid w:val="001A7457"/>
    <w:rsid w:val="001B0353"/>
    <w:rsid w:val="001B0428"/>
    <w:rsid w:val="001B04AA"/>
    <w:rsid w:val="001B1324"/>
    <w:rsid w:val="001B15BF"/>
    <w:rsid w:val="001B1FA1"/>
    <w:rsid w:val="001B37FD"/>
    <w:rsid w:val="001B3AE2"/>
    <w:rsid w:val="001B3CB6"/>
    <w:rsid w:val="001B4035"/>
    <w:rsid w:val="001B43F1"/>
    <w:rsid w:val="001B5055"/>
    <w:rsid w:val="001B50E0"/>
    <w:rsid w:val="001B567E"/>
    <w:rsid w:val="001B5C31"/>
    <w:rsid w:val="001B5DDA"/>
    <w:rsid w:val="001B639B"/>
    <w:rsid w:val="001B6C65"/>
    <w:rsid w:val="001B6D4D"/>
    <w:rsid w:val="001B6E44"/>
    <w:rsid w:val="001B7272"/>
    <w:rsid w:val="001B7BB6"/>
    <w:rsid w:val="001C0E96"/>
    <w:rsid w:val="001C0F2D"/>
    <w:rsid w:val="001C11B0"/>
    <w:rsid w:val="001C1494"/>
    <w:rsid w:val="001C1B4E"/>
    <w:rsid w:val="001C1F8B"/>
    <w:rsid w:val="001C3493"/>
    <w:rsid w:val="001C3B51"/>
    <w:rsid w:val="001C471E"/>
    <w:rsid w:val="001C5D40"/>
    <w:rsid w:val="001C61DC"/>
    <w:rsid w:val="001C6556"/>
    <w:rsid w:val="001C71C8"/>
    <w:rsid w:val="001D0251"/>
    <w:rsid w:val="001D0347"/>
    <w:rsid w:val="001D038D"/>
    <w:rsid w:val="001D0710"/>
    <w:rsid w:val="001D1277"/>
    <w:rsid w:val="001D141F"/>
    <w:rsid w:val="001D1B59"/>
    <w:rsid w:val="001D2877"/>
    <w:rsid w:val="001D2884"/>
    <w:rsid w:val="001D2C4F"/>
    <w:rsid w:val="001D2EB0"/>
    <w:rsid w:val="001D303D"/>
    <w:rsid w:val="001D4710"/>
    <w:rsid w:val="001D4884"/>
    <w:rsid w:val="001D4A5A"/>
    <w:rsid w:val="001D782B"/>
    <w:rsid w:val="001D7AB1"/>
    <w:rsid w:val="001E1F72"/>
    <w:rsid w:val="001E2074"/>
    <w:rsid w:val="001E2186"/>
    <w:rsid w:val="001E2345"/>
    <w:rsid w:val="001E2397"/>
    <w:rsid w:val="001E2F09"/>
    <w:rsid w:val="001E2F26"/>
    <w:rsid w:val="001E3EB8"/>
    <w:rsid w:val="001E40BD"/>
    <w:rsid w:val="001E45F1"/>
    <w:rsid w:val="001E4EB3"/>
    <w:rsid w:val="001E52D2"/>
    <w:rsid w:val="001E5676"/>
    <w:rsid w:val="001E5C8D"/>
    <w:rsid w:val="001E66F9"/>
    <w:rsid w:val="001E6879"/>
    <w:rsid w:val="001E7B9D"/>
    <w:rsid w:val="001F0B8A"/>
    <w:rsid w:val="001F0DAB"/>
    <w:rsid w:val="001F1B06"/>
    <w:rsid w:val="001F1BC3"/>
    <w:rsid w:val="001F1C35"/>
    <w:rsid w:val="001F2189"/>
    <w:rsid w:val="001F22BC"/>
    <w:rsid w:val="001F2BBB"/>
    <w:rsid w:val="001F2D6D"/>
    <w:rsid w:val="001F353B"/>
    <w:rsid w:val="001F44AA"/>
    <w:rsid w:val="001F4BAC"/>
    <w:rsid w:val="001F4C51"/>
    <w:rsid w:val="001F54F7"/>
    <w:rsid w:val="001F57D3"/>
    <w:rsid w:val="001F5B22"/>
    <w:rsid w:val="001F5C7D"/>
    <w:rsid w:val="001F6687"/>
    <w:rsid w:val="001F6CB9"/>
    <w:rsid w:val="001F7157"/>
    <w:rsid w:val="001F7496"/>
    <w:rsid w:val="00200677"/>
    <w:rsid w:val="002011CC"/>
    <w:rsid w:val="00201A31"/>
    <w:rsid w:val="00201BAF"/>
    <w:rsid w:val="00202570"/>
    <w:rsid w:val="00202A9E"/>
    <w:rsid w:val="00203270"/>
    <w:rsid w:val="00203A48"/>
    <w:rsid w:val="002042A8"/>
    <w:rsid w:val="002047D5"/>
    <w:rsid w:val="0020547D"/>
    <w:rsid w:val="00206035"/>
    <w:rsid w:val="0020667B"/>
    <w:rsid w:val="002100ED"/>
    <w:rsid w:val="002108CA"/>
    <w:rsid w:val="002117D7"/>
    <w:rsid w:val="00211DF9"/>
    <w:rsid w:val="00212094"/>
    <w:rsid w:val="002122FF"/>
    <w:rsid w:val="00212AD9"/>
    <w:rsid w:val="002133C1"/>
    <w:rsid w:val="002140A4"/>
    <w:rsid w:val="00214CA6"/>
    <w:rsid w:val="00214F3B"/>
    <w:rsid w:val="00215636"/>
    <w:rsid w:val="00215C97"/>
    <w:rsid w:val="002166F5"/>
    <w:rsid w:val="00216EF3"/>
    <w:rsid w:val="00217554"/>
    <w:rsid w:val="00217B74"/>
    <w:rsid w:val="002207B2"/>
    <w:rsid w:val="002209FB"/>
    <w:rsid w:val="00220BDA"/>
    <w:rsid w:val="00220C00"/>
    <w:rsid w:val="00221E6C"/>
    <w:rsid w:val="00221FCA"/>
    <w:rsid w:val="002221BF"/>
    <w:rsid w:val="00223672"/>
    <w:rsid w:val="00223F9D"/>
    <w:rsid w:val="00225E68"/>
    <w:rsid w:val="00225EED"/>
    <w:rsid w:val="00226B80"/>
    <w:rsid w:val="00227182"/>
    <w:rsid w:val="0022734A"/>
    <w:rsid w:val="002276D7"/>
    <w:rsid w:val="002306C1"/>
    <w:rsid w:val="00230F05"/>
    <w:rsid w:val="0023164E"/>
    <w:rsid w:val="00231694"/>
    <w:rsid w:val="00231D2D"/>
    <w:rsid w:val="00231ED1"/>
    <w:rsid w:val="00232170"/>
    <w:rsid w:val="002328BB"/>
    <w:rsid w:val="00233F07"/>
    <w:rsid w:val="0023442F"/>
    <w:rsid w:val="00234860"/>
    <w:rsid w:val="00234A3F"/>
    <w:rsid w:val="00234B46"/>
    <w:rsid w:val="00234F58"/>
    <w:rsid w:val="00235125"/>
    <w:rsid w:val="0023574B"/>
    <w:rsid w:val="00236E6D"/>
    <w:rsid w:val="002401AB"/>
    <w:rsid w:val="00240771"/>
    <w:rsid w:val="00242624"/>
    <w:rsid w:val="002426F6"/>
    <w:rsid w:val="0024274A"/>
    <w:rsid w:val="002428AB"/>
    <w:rsid w:val="00242A76"/>
    <w:rsid w:val="00243B37"/>
    <w:rsid w:val="00243CC2"/>
    <w:rsid w:val="0024450B"/>
    <w:rsid w:val="002446D1"/>
    <w:rsid w:val="00244C13"/>
    <w:rsid w:val="0024557E"/>
    <w:rsid w:val="00247CAE"/>
    <w:rsid w:val="00250695"/>
    <w:rsid w:val="002507B0"/>
    <w:rsid w:val="002513B8"/>
    <w:rsid w:val="00252E6F"/>
    <w:rsid w:val="002537C9"/>
    <w:rsid w:val="00253D4F"/>
    <w:rsid w:val="0025411A"/>
    <w:rsid w:val="00254D21"/>
    <w:rsid w:val="00255184"/>
    <w:rsid w:val="00255632"/>
    <w:rsid w:val="00255FD3"/>
    <w:rsid w:val="00256093"/>
    <w:rsid w:val="002561BC"/>
    <w:rsid w:val="00256204"/>
    <w:rsid w:val="002568A4"/>
    <w:rsid w:val="002574F6"/>
    <w:rsid w:val="0025794E"/>
    <w:rsid w:val="00257B3B"/>
    <w:rsid w:val="00260034"/>
    <w:rsid w:val="0026049B"/>
    <w:rsid w:val="00260A04"/>
    <w:rsid w:val="00260A2F"/>
    <w:rsid w:val="00260AB4"/>
    <w:rsid w:val="00260EE7"/>
    <w:rsid w:val="002615AF"/>
    <w:rsid w:val="00261617"/>
    <w:rsid w:val="00261654"/>
    <w:rsid w:val="00262652"/>
    <w:rsid w:val="00262C14"/>
    <w:rsid w:val="00262C80"/>
    <w:rsid w:val="00263741"/>
    <w:rsid w:val="00263A06"/>
    <w:rsid w:val="00267E1E"/>
    <w:rsid w:val="00270714"/>
    <w:rsid w:val="00271B3B"/>
    <w:rsid w:val="00271BA2"/>
    <w:rsid w:val="0027274E"/>
    <w:rsid w:val="00272FDC"/>
    <w:rsid w:val="00273029"/>
    <w:rsid w:val="00273052"/>
    <w:rsid w:val="002736FB"/>
    <w:rsid w:val="002737E0"/>
    <w:rsid w:val="00273889"/>
    <w:rsid w:val="0027466F"/>
    <w:rsid w:val="00274948"/>
    <w:rsid w:val="00275457"/>
    <w:rsid w:val="00275E01"/>
    <w:rsid w:val="00276664"/>
    <w:rsid w:val="002771EC"/>
    <w:rsid w:val="00277237"/>
    <w:rsid w:val="0028024C"/>
    <w:rsid w:val="00281153"/>
    <w:rsid w:val="00281404"/>
    <w:rsid w:val="00281C40"/>
    <w:rsid w:val="00282E13"/>
    <w:rsid w:val="00282E4A"/>
    <w:rsid w:val="00282F94"/>
    <w:rsid w:val="002838AA"/>
    <w:rsid w:val="00284081"/>
    <w:rsid w:val="0028432E"/>
    <w:rsid w:val="0028448A"/>
    <w:rsid w:val="002857A5"/>
    <w:rsid w:val="00285F48"/>
    <w:rsid w:val="0028617C"/>
    <w:rsid w:val="002863D7"/>
    <w:rsid w:val="002865D5"/>
    <w:rsid w:val="00286FBE"/>
    <w:rsid w:val="002873B4"/>
    <w:rsid w:val="0028778A"/>
    <w:rsid w:val="00290018"/>
    <w:rsid w:val="00290204"/>
    <w:rsid w:val="00290C44"/>
    <w:rsid w:val="00291F56"/>
    <w:rsid w:val="00292777"/>
    <w:rsid w:val="00292F01"/>
    <w:rsid w:val="00293579"/>
    <w:rsid w:val="00293B03"/>
    <w:rsid w:val="00294413"/>
    <w:rsid w:val="00294794"/>
    <w:rsid w:val="002949BC"/>
    <w:rsid w:val="00294AC6"/>
    <w:rsid w:val="002950DD"/>
    <w:rsid w:val="00295355"/>
    <w:rsid w:val="002955EC"/>
    <w:rsid w:val="0029698E"/>
    <w:rsid w:val="002969EB"/>
    <w:rsid w:val="00296B51"/>
    <w:rsid w:val="00296BDF"/>
    <w:rsid w:val="002971AB"/>
    <w:rsid w:val="002A0133"/>
    <w:rsid w:val="002A02B0"/>
    <w:rsid w:val="002A2375"/>
    <w:rsid w:val="002A4074"/>
    <w:rsid w:val="002A4BEF"/>
    <w:rsid w:val="002A559A"/>
    <w:rsid w:val="002A5894"/>
    <w:rsid w:val="002A5C4E"/>
    <w:rsid w:val="002A676B"/>
    <w:rsid w:val="002A76BD"/>
    <w:rsid w:val="002A77B5"/>
    <w:rsid w:val="002A78A7"/>
    <w:rsid w:val="002A78AD"/>
    <w:rsid w:val="002A7AA9"/>
    <w:rsid w:val="002B10DB"/>
    <w:rsid w:val="002B12CF"/>
    <w:rsid w:val="002B1B65"/>
    <w:rsid w:val="002B22DA"/>
    <w:rsid w:val="002B2F78"/>
    <w:rsid w:val="002B400B"/>
    <w:rsid w:val="002B5245"/>
    <w:rsid w:val="002B5C89"/>
    <w:rsid w:val="002B60EA"/>
    <w:rsid w:val="002B6389"/>
    <w:rsid w:val="002B7B4E"/>
    <w:rsid w:val="002C0198"/>
    <w:rsid w:val="002C0844"/>
    <w:rsid w:val="002C0F16"/>
    <w:rsid w:val="002C10AB"/>
    <w:rsid w:val="002C11C2"/>
    <w:rsid w:val="002C1866"/>
    <w:rsid w:val="002C2320"/>
    <w:rsid w:val="002C336D"/>
    <w:rsid w:val="002C35AE"/>
    <w:rsid w:val="002C3858"/>
    <w:rsid w:val="002C3AC7"/>
    <w:rsid w:val="002C4139"/>
    <w:rsid w:val="002C4DF9"/>
    <w:rsid w:val="002C4E26"/>
    <w:rsid w:val="002C52B8"/>
    <w:rsid w:val="002C52DD"/>
    <w:rsid w:val="002C54D8"/>
    <w:rsid w:val="002C5523"/>
    <w:rsid w:val="002C6B6B"/>
    <w:rsid w:val="002C6DC2"/>
    <w:rsid w:val="002C740D"/>
    <w:rsid w:val="002C7DE5"/>
    <w:rsid w:val="002C7EE8"/>
    <w:rsid w:val="002D0203"/>
    <w:rsid w:val="002D03AD"/>
    <w:rsid w:val="002D0821"/>
    <w:rsid w:val="002D09E2"/>
    <w:rsid w:val="002D1064"/>
    <w:rsid w:val="002D19A0"/>
    <w:rsid w:val="002D2098"/>
    <w:rsid w:val="002D20B6"/>
    <w:rsid w:val="002D2704"/>
    <w:rsid w:val="002D2DD5"/>
    <w:rsid w:val="002D3D89"/>
    <w:rsid w:val="002D406E"/>
    <w:rsid w:val="002D5DB2"/>
    <w:rsid w:val="002D600F"/>
    <w:rsid w:val="002E054A"/>
    <w:rsid w:val="002E1A34"/>
    <w:rsid w:val="002E29DD"/>
    <w:rsid w:val="002E2FAF"/>
    <w:rsid w:val="002E30C4"/>
    <w:rsid w:val="002E3515"/>
    <w:rsid w:val="002E384C"/>
    <w:rsid w:val="002E3DA5"/>
    <w:rsid w:val="002E43D3"/>
    <w:rsid w:val="002E5CAA"/>
    <w:rsid w:val="002E6D71"/>
    <w:rsid w:val="002E6DDC"/>
    <w:rsid w:val="002E7695"/>
    <w:rsid w:val="002E7792"/>
    <w:rsid w:val="002E77ED"/>
    <w:rsid w:val="002E790C"/>
    <w:rsid w:val="002F0113"/>
    <w:rsid w:val="002F0312"/>
    <w:rsid w:val="002F0885"/>
    <w:rsid w:val="002F2CC2"/>
    <w:rsid w:val="002F3006"/>
    <w:rsid w:val="002F377E"/>
    <w:rsid w:val="002F3976"/>
    <w:rsid w:val="002F41A8"/>
    <w:rsid w:val="002F427B"/>
    <w:rsid w:val="002F4ACB"/>
    <w:rsid w:val="002F4CE1"/>
    <w:rsid w:val="002F4F55"/>
    <w:rsid w:val="002F5EB7"/>
    <w:rsid w:val="002F70EE"/>
    <w:rsid w:val="002F7387"/>
    <w:rsid w:val="00300937"/>
    <w:rsid w:val="00300F22"/>
    <w:rsid w:val="00302457"/>
    <w:rsid w:val="0030256D"/>
    <w:rsid w:val="00302ED3"/>
    <w:rsid w:val="0030308B"/>
    <w:rsid w:val="003032DB"/>
    <w:rsid w:val="00303301"/>
    <w:rsid w:val="003039DD"/>
    <w:rsid w:val="00304209"/>
    <w:rsid w:val="00304A37"/>
    <w:rsid w:val="003050B7"/>
    <w:rsid w:val="003052BB"/>
    <w:rsid w:val="003059D7"/>
    <w:rsid w:val="00305C1A"/>
    <w:rsid w:val="00305C69"/>
    <w:rsid w:val="00305DF9"/>
    <w:rsid w:val="00307610"/>
    <w:rsid w:val="00307705"/>
    <w:rsid w:val="00307B83"/>
    <w:rsid w:val="00307D85"/>
    <w:rsid w:val="00310DB0"/>
    <w:rsid w:val="00310ED4"/>
    <w:rsid w:val="00311273"/>
    <w:rsid w:val="0031157E"/>
    <w:rsid w:val="00311963"/>
    <w:rsid w:val="00312301"/>
    <w:rsid w:val="003131BB"/>
    <w:rsid w:val="003133D7"/>
    <w:rsid w:val="003137F6"/>
    <w:rsid w:val="0031427E"/>
    <w:rsid w:val="0031492A"/>
    <w:rsid w:val="003156E7"/>
    <w:rsid w:val="00315A90"/>
    <w:rsid w:val="00316C1A"/>
    <w:rsid w:val="00317A3B"/>
    <w:rsid w:val="00320BB8"/>
    <w:rsid w:val="00321806"/>
    <w:rsid w:val="00321BD9"/>
    <w:rsid w:val="00322102"/>
    <w:rsid w:val="00322369"/>
    <w:rsid w:val="0032379E"/>
    <w:rsid w:val="00323C73"/>
    <w:rsid w:val="00326004"/>
    <w:rsid w:val="00326D08"/>
    <w:rsid w:val="003274B6"/>
    <w:rsid w:val="0032788A"/>
    <w:rsid w:val="0033068D"/>
    <w:rsid w:val="00330953"/>
    <w:rsid w:val="00330CD6"/>
    <w:rsid w:val="0033110E"/>
    <w:rsid w:val="00331141"/>
    <w:rsid w:val="00331BC4"/>
    <w:rsid w:val="00331CE2"/>
    <w:rsid w:val="0033250A"/>
    <w:rsid w:val="0033297F"/>
    <w:rsid w:val="00332A1D"/>
    <w:rsid w:val="003339CC"/>
    <w:rsid w:val="00333F02"/>
    <w:rsid w:val="00335250"/>
    <w:rsid w:val="003360E6"/>
    <w:rsid w:val="003363B7"/>
    <w:rsid w:val="003367CD"/>
    <w:rsid w:val="0033758F"/>
    <w:rsid w:val="0034033A"/>
    <w:rsid w:val="00340B33"/>
    <w:rsid w:val="00341547"/>
    <w:rsid w:val="00341805"/>
    <w:rsid w:val="00342807"/>
    <w:rsid w:val="00342F21"/>
    <w:rsid w:val="00343CF8"/>
    <w:rsid w:val="00343DBD"/>
    <w:rsid w:val="00343F57"/>
    <w:rsid w:val="00344343"/>
    <w:rsid w:val="00344726"/>
    <w:rsid w:val="0034473F"/>
    <w:rsid w:val="00344758"/>
    <w:rsid w:val="00344FED"/>
    <w:rsid w:val="00345B0E"/>
    <w:rsid w:val="00346274"/>
    <w:rsid w:val="00346382"/>
    <w:rsid w:val="00346C2E"/>
    <w:rsid w:val="00347142"/>
    <w:rsid w:val="00347C8B"/>
    <w:rsid w:val="003502D7"/>
    <w:rsid w:val="0035037D"/>
    <w:rsid w:val="0035040D"/>
    <w:rsid w:val="00351230"/>
    <w:rsid w:val="00352209"/>
    <w:rsid w:val="00352A86"/>
    <w:rsid w:val="0035368D"/>
    <w:rsid w:val="00354CD6"/>
    <w:rsid w:val="003553DE"/>
    <w:rsid w:val="00355D2C"/>
    <w:rsid w:val="003565A8"/>
    <w:rsid w:val="003566EA"/>
    <w:rsid w:val="00357037"/>
    <w:rsid w:val="003601D2"/>
    <w:rsid w:val="0036063A"/>
    <w:rsid w:val="003608F1"/>
    <w:rsid w:val="003617EF"/>
    <w:rsid w:val="0036184A"/>
    <w:rsid w:val="00363412"/>
    <w:rsid w:val="0036372A"/>
    <w:rsid w:val="00363985"/>
    <w:rsid w:val="00364537"/>
    <w:rsid w:val="00364DD8"/>
    <w:rsid w:val="00365D8E"/>
    <w:rsid w:val="00365EB0"/>
    <w:rsid w:val="00371599"/>
    <w:rsid w:val="00371951"/>
    <w:rsid w:val="0037261A"/>
    <w:rsid w:val="00372C79"/>
    <w:rsid w:val="003733FB"/>
    <w:rsid w:val="00373BB0"/>
    <w:rsid w:val="003740A6"/>
    <w:rsid w:val="003743E1"/>
    <w:rsid w:val="00374483"/>
    <w:rsid w:val="00374D6B"/>
    <w:rsid w:val="00375048"/>
    <w:rsid w:val="0037524E"/>
    <w:rsid w:val="003752AC"/>
    <w:rsid w:val="00375CE7"/>
    <w:rsid w:val="00375F86"/>
    <w:rsid w:val="00376EFA"/>
    <w:rsid w:val="0037737C"/>
    <w:rsid w:val="00377599"/>
    <w:rsid w:val="00377A6D"/>
    <w:rsid w:val="00377CF5"/>
    <w:rsid w:val="003805BB"/>
    <w:rsid w:val="0038185C"/>
    <w:rsid w:val="00381A94"/>
    <w:rsid w:val="00383C28"/>
    <w:rsid w:val="00384F39"/>
    <w:rsid w:val="0038618E"/>
    <w:rsid w:val="0038642A"/>
    <w:rsid w:val="003869B0"/>
    <w:rsid w:val="00386F09"/>
    <w:rsid w:val="00387D69"/>
    <w:rsid w:val="00390AE2"/>
    <w:rsid w:val="00390DCB"/>
    <w:rsid w:val="00391512"/>
    <w:rsid w:val="00391854"/>
    <w:rsid w:val="003918E5"/>
    <w:rsid w:val="003929E6"/>
    <w:rsid w:val="00393577"/>
    <w:rsid w:val="00393DDC"/>
    <w:rsid w:val="0039474B"/>
    <w:rsid w:val="0039475F"/>
    <w:rsid w:val="003970BA"/>
    <w:rsid w:val="003A0290"/>
    <w:rsid w:val="003A06AC"/>
    <w:rsid w:val="003A14B8"/>
    <w:rsid w:val="003A164B"/>
    <w:rsid w:val="003A1E3B"/>
    <w:rsid w:val="003A20D5"/>
    <w:rsid w:val="003A24DC"/>
    <w:rsid w:val="003A2FC4"/>
    <w:rsid w:val="003A384A"/>
    <w:rsid w:val="003A3B44"/>
    <w:rsid w:val="003A4BA8"/>
    <w:rsid w:val="003A5C6F"/>
    <w:rsid w:val="003A6A1A"/>
    <w:rsid w:val="003A6D73"/>
    <w:rsid w:val="003B114D"/>
    <w:rsid w:val="003B1920"/>
    <w:rsid w:val="003B22B8"/>
    <w:rsid w:val="003B2FAF"/>
    <w:rsid w:val="003B3FFA"/>
    <w:rsid w:val="003B4433"/>
    <w:rsid w:val="003B51B0"/>
    <w:rsid w:val="003B56B5"/>
    <w:rsid w:val="003B575A"/>
    <w:rsid w:val="003B58D1"/>
    <w:rsid w:val="003B6DBA"/>
    <w:rsid w:val="003C0705"/>
    <w:rsid w:val="003C09BD"/>
    <w:rsid w:val="003C0B89"/>
    <w:rsid w:val="003C11B3"/>
    <w:rsid w:val="003C1CED"/>
    <w:rsid w:val="003C2178"/>
    <w:rsid w:val="003C261C"/>
    <w:rsid w:val="003C292A"/>
    <w:rsid w:val="003C2A3F"/>
    <w:rsid w:val="003C31EC"/>
    <w:rsid w:val="003C3DB5"/>
    <w:rsid w:val="003C40A5"/>
    <w:rsid w:val="003C48D9"/>
    <w:rsid w:val="003C528A"/>
    <w:rsid w:val="003C55E3"/>
    <w:rsid w:val="003C6356"/>
    <w:rsid w:val="003C674F"/>
    <w:rsid w:val="003C6942"/>
    <w:rsid w:val="003D09BC"/>
    <w:rsid w:val="003D0A84"/>
    <w:rsid w:val="003D0CD7"/>
    <w:rsid w:val="003D0DF1"/>
    <w:rsid w:val="003D181E"/>
    <w:rsid w:val="003D1DE9"/>
    <w:rsid w:val="003D1E90"/>
    <w:rsid w:val="003D24FE"/>
    <w:rsid w:val="003D3672"/>
    <w:rsid w:val="003D37FE"/>
    <w:rsid w:val="003D38BB"/>
    <w:rsid w:val="003D38CE"/>
    <w:rsid w:val="003D3BA4"/>
    <w:rsid w:val="003D4841"/>
    <w:rsid w:val="003D4AD7"/>
    <w:rsid w:val="003D531E"/>
    <w:rsid w:val="003D67E6"/>
    <w:rsid w:val="003D6CD1"/>
    <w:rsid w:val="003D72AF"/>
    <w:rsid w:val="003D77F7"/>
    <w:rsid w:val="003E04A6"/>
    <w:rsid w:val="003E0871"/>
    <w:rsid w:val="003E1747"/>
    <w:rsid w:val="003E192A"/>
    <w:rsid w:val="003E1F47"/>
    <w:rsid w:val="003E21DA"/>
    <w:rsid w:val="003E2C7D"/>
    <w:rsid w:val="003E2F85"/>
    <w:rsid w:val="003E30A5"/>
    <w:rsid w:val="003E36E0"/>
    <w:rsid w:val="003E3818"/>
    <w:rsid w:val="003E431B"/>
    <w:rsid w:val="003E5113"/>
    <w:rsid w:val="003E5401"/>
    <w:rsid w:val="003E5A33"/>
    <w:rsid w:val="003E76CE"/>
    <w:rsid w:val="003F0583"/>
    <w:rsid w:val="003F11F6"/>
    <w:rsid w:val="003F1ADC"/>
    <w:rsid w:val="003F242E"/>
    <w:rsid w:val="003F2E12"/>
    <w:rsid w:val="003F2FFF"/>
    <w:rsid w:val="003F4188"/>
    <w:rsid w:val="003F4EC3"/>
    <w:rsid w:val="003F5057"/>
    <w:rsid w:val="003F5544"/>
    <w:rsid w:val="003F7A9A"/>
    <w:rsid w:val="004002A3"/>
    <w:rsid w:val="00400C22"/>
    <w:rsid w:val="004013CE"/>
    <w:rsid w:val="004041C3"/>
    <w:rsid w:val="0040422E"/>
    <w:rsid w:val="004042EF"/>
    <w:rsid w:val="00404D95"/>
    <w:rsid w:val="00404DF3"/>
    <w:rsid w:val="004055CD"/>
    <w:rsid w:val="0040621D"/>
    <w:rsid w:val="00406341"/>
    <w:rsid w:val="00406D9B"/>
    <w:rsid w:val="00407892"/>
    <w:rsid w:val="00407F47"/>
    <w:rsid w:val="00411AFF"/>
    <w:rsid w:val="0041210C"/>
    <w:rsid w:val="00412AAB"/>
    <w:rsid w:val="0041414C"/>
    <w:rsid w:val="00414298"/>
    <w:rsid w:val="004142F3"/>
    <w:rsid w:val="0041607E"/>
    <w:rsid w:val="004162B8"/>
    <w:rsid w:val="00416E3A"/>
    <w:rsid w:val="00417AD6"/>
    <w:rsid w:val="00417D54"/>
    <w:rsid w:val="00420859"/>
    <w:rsid w:val="00420868"/>
    <w:rsid w:val="00420A20"/>
    <w:rsid w:val="00420F72"/>
    <w:rsid w:val="00421066"/>
    <w:rsid w:val="00421540"/>
    <w:rsid w:val="004222A9"/>
    <w:rsid w:val="00422417"/>
    <w:rsid w:val="00422C33"/>
    <w:rsid w:val="00423675"/>
    <w:rsid w:val="00423A18"/>
    <w:rsid w:val="004241FD"/>
    <w:rsid w:val="00424233"/>
    <w:rsid w:val="0042443A"/>
    <w:rsid w:val="00424616"/>
    <w:rsid w:val="00425073"/>
    <w:rsid w:val="00425173"/>
    <w:rsid w:val="00425D3E"/>
    <w:rsid w:val="00426212"/>
    <w:rsid w:val="00426416"/>
    <w:rsid w:val="004269A9"/>
    <w:rsid w:val="00427183"/>
    <w:rsid w:val="0042738F"/>
    <w:rsid w:val="00430480"/>
    <w:rsid w:val="00430C69"/>
    <w:rsid w:val="00430F39"/>
    <w:rsid w:val="004321CB"/>
    <w:rsid w:val="004327D7"/>
    <w:rsid w:val="004344BA"/>
    <w:rsid w:val="00434968"/>
    <w:rsid w:val="00436167"/>
    <w:rsid w:val="0043652D"/>
    <w:rsid w:val="00436E71"/>
    <w:rsid w:val="00436F55"/>
    <w:rsid w:val="004412A5"/>
    <w:rsid w:val="004427B7"/>
    <w:rsid w:val="00442C73"/>
    <w:rsid w:val="00443719"/>
    <w:rsid w:val="00443C95"/>
    <w:rsid w:val="0044454C"/>
    <w:rsid w:val="004448CF"/>
    <w:rsid w:val="004449B0"/>
    <w:rsid w:val="0044525F"/>
    <w:rsid w:val="00446064"/>
    <w:rsid w:val="004466C0"/>
    <w:rsid w:val="00446941"/>
    <w:rsid w:val="004502D8"/>
    <w:rsid w:val="00450A56"/>
    <w:rsid w:val="00451065"/>
    <w:rsid w:val="00451EA6"/>
    <w:rsid w:val="00452A3C"/>
    <w:rsid w:val="00452CDF"/>
    <w:rsid w:val="00453C0B"/>
    <w:rsid w:val="00453D61"/>
    <w:rsid w:val="00454337"/>
    <w:rsid w:val="004557C1"/>
    <w:rsid w:val="00455E50"/>
    <w:rsid w:val="00456D97"/>
    <w:rsid w:val="00456E8F"/>
    <w:rsid w:val="00456E95"/>
    <w:rsid w:val="00457D6C"/>
    <w:rsid w:val="004604D2"/>
    <w:rsid w:val="00460AFA"/>
    <w:rsid w:val="00460B22"/>
    <w:rsid w:val="0046190A"/>
    <w:rsid w:val="00462761"/>
    <w:rsid w:val="00462940"/>
    <w:rsid w:val="004633CC"/>
    <w:rsid w:val="0046370F"/>
    <w:rsid w:val="004637F5"/>
    <w:rsid w:val="00463AAC"/>
    <w:rsid w:val="00464A95"/>
    <w:rsid w:val="004652AA"/>
    <w:rsid w:val="00465BCA"/>
    <w:rsid w:val="004664D2"/>
    <w:rsid w:val="00467D22"/>
    <w:rsid w:val="00470E43"/>
    <w:rsid w:val="00471128"/>
    <w:rsid w:val="004711C4"/>
    <w:rsid w:val="004712FB"/>
    <w:rsid w:val="00471923"/>
    <w:rsid w:val="00471BF3"/>
    <w:rsid w:val="00471F5B"/>
    <w:rsid w:val="0047224D"/>
    <w:rsid w:val="004727FB"/>
    <w:rsid w:val="004728CB"/>
    <w:rsid w:val="00472EFF"/>
    <w:rsid w:val="00474063"/>
    <w:rsid w:val="0047469C"/>
    <w:rsid w:val="00474C06"/>
    <w:rsid w:val="00474F3B"/>
    <w:rsid w:val="00475397"/>
    <w:rsid w:val="00475429"/>
    <w:rsid w:val="004756F5"/>
    <w:rsid w:val="00476620"/>
    <w:rsid w:val="00476793"/>
    <w:rsid w:val="004769C5"/>
    <w:rsid w:val="004769C6"/>
    <w:rsid w:val="004778FF"/>
    <w:rsid w:val="004806A9"/>
    <w:rsid w:val="00480700"/>
    <w:rsid w:val="0048182C"/>
    <w:rsid w:val="0048232D"/>
    <w:rsid w:val="004829AC"/>
    <w:rsid w:val="004830FE"/>
    <w:rsid w:val="00483458"/>
    <w:rsid w:val="0048363F"/>
    <w:rsid w:val="00485283"/>
    <w:rsid w:val="00485E58"/>
    <w:rsid w:val="00485FB8"/>
    <w:rsid w:val="00486352"/>
    <w:rsid w:val="00486930"/>
    <w:rsid w:val="0048714B"/>
    <w:rsid w:val="004876AD"/>
    <w:rsid w:val="004878E2"/>
    <w:rsid w:val="00487E91"/>
    <w:rsid w:val="00490052"/>
    <w:rsid w:val="00490443"/>
    <w:rsid w:val="0049072E"/>
    <w:rsid w:val="0049111F"/>
    <w:rsid w:val="004927AB"/>
    <w:rsid w:val="00493350"/>
    <w:rsid w:val="00493503"/>
    <w:rsid w:val="00494365"/>
    <w:rsid w:val="004946A5"/>
    <w:rsid w:val="00495143"/>
    <w:rsid w:val="00495248"/>
    <w:rsid w:val="00495AC8"/>
    <w:rsid w:val="00495FE3"/>
    <w:rsid w:val="004960ED"/>
    <w:rsid w:val="004967BB"/>
    <w:rsid w:val="004A01A7"/>
    <w:rsid w:val="004A0A09"/>
    <w:rsid w:val="004A0E06"/>
    <w:rsid w:val="004A187B"/>
    <w:rsid w:val="004A2464"/>
    <w:rsid w:val="004A2594"/>
    <w:rsid w:val="004A2A53"/>
    <w:rsid w:val="004A2CA6"/>
    <w:rsid w:val="004A2D3C"/>
    <w:rsid w:val="004A31B2"/>
    <w:rsid w:val="004A3BD4"/>
    <w:rsid w:val="004A4D8D"/>
    <w:rsid w:val="004A5147"/>
    <w:rsid w:val="004A583F"/>
    <w:rsid w:val="004A5BA9"/>
    <w:rsid w:val="004A62D2"/>
    <w:rsid w:val="004A646B"/>
    <w:rsid w:val="004A68EF"/>
    <w:rsid w:val="004A6EA8"/>
    <w:rsid w:val="004A6ECD"/>
    <w:rsid w:val="004A77D9"/>
    <w:rsid w:val="004B0B53"/>
    <w:rsid w:val="004B1701"/>
    <w:rsid w:val="004B2048"/>
    <w:rsid w:val="004B2266"/>
    <w:rsid w:val="004B33D6"/>
    <w:rsid w:val="004B36AA"/>
    <w:rsid w:val="004B4930"/>
    <w:rsid w:val="004B4C18"/>
    <w:rsid w:val="004B4FC7"/>
    <w:rsid w:val="004B5062"/>
    <w:rsid w:val="004B592F"/>
    <w:rsid w:val="004B599C"/>
    <w:rsid w:val="004B6544"/>
    <w:rsid w:val="004B752E"/>
    <w:rsid w:val="004B785D"/>
    <w:rsid w:val="004B7FED"/>
    <w:rsid w:val="004C0546"/>
    <w:rsid w:val="004C0834"/>
    <w:rsid w:val="004C0957"/>
    <w:rsid w:val="004C108C"/>
    <w:rsid w:val="004C1CE4"/>
    <w:rsid w:val="004C1F20"/>
    <w:rsid w:val="004C1F8F"/>
    <w:rsid w:val="004C1FB7"/>
    <w:rsid w:val="004C2335"/>
    <w:rsid w:val="004C26DA"/>
    <w:rsid w:val="004C2CE1"/>
    <w:rsid w:val="004C2D0C"/>
    <w:rsid w:val="004C2F14"/>
    <w:rsid w:val="004C2F34"/>
    <w:rsid w:val="004C3041"/>
    <w:rsid w:val="004C33CD"/>
    <w:rsid w:val="004C33F8"/>
    <w:rsid w:val="004C3E3E"/>
    <w:rsid w:val="004C51FD"/>
    <w:rsid w:val="004C5957"/>
    <w:rsid w:val="004C5F22"/>
    <w:rsid w:val="004C6146"/>
    <w:rsid w:val="004C62F7"/>
    <w:rsid w:val="004C6CD4"/>
    <w:rsid w:val="004C6EA8"/>
    <w:rsid w:val="004C7412"/>
    <w:rsid w:val="004C7583"/>
    <w:rsid w:val="004C7647"/>
    <w:rsid w:val="004D04BF"/>
    <w:rsid w:val="004D1028"/>
    <w:rsid w:val="004D136F"/>
    <w:rsid w:val="004D3910"/>
    <w:rsid w:val="004D3B15"/>
    <w:rsid w:val="004D4AFC"/>
    <w:rsid w:val="004D5003"/>
    <w:rsid w:val="004D59CF"/>
    <w:rsid w:val="004D5B83"/>
    <w:rsid w:val="004D5C01"/>
    <w:rsid w:val="004D6D13"/>
    <w:rsid w:val="004D7D38"/>
    <w:rsid w:val="004E062E"/>
    <w:rsid w:val="004E0CC8"/>
    <w:rsid w:val="004E0DF7"/>
    <w:rsid w:val="004E0DF9"/>
    <w:rsid w:val="004E0DFF"/>
    <w:rsid w:val="004E0F23"/>
    <w:rsid w:val="004E1ADA"/>
    <w:rsid w:val="004E1D26"/>
    <w:rsid w:val="004E1F0F"/>
    <w:rsid w:val="004E2BA5"/>
    <w:rsid w:val="004E306D"/>
    <w:rsid w:val="004E33A7"/>
    <w:rsid w:val="004E35B0"/>
    <w:rsid w:val="004E37BD"/>
    <w:rsid w:val="004E39D4"/>
    <w:rsid w:val="004E3E38"/>
    <w:rsid w:val="004E4DE4"/>
    <w:rsid w:val="004E5132"/>
    <w:rsid w:val="004E6D02"/>
    <w:rsid w:val="004F026A"/>
    <w:rsid w:val="004F1088"/>
    <w:rsid w:val="004F1381"/>
    <w:rsid w:val="004F16DB"/>
    <w:rsid w:val="004F1C7C"/>
    <w:rsid w:val="004F2484"/>
    <w:rsid w:val="004F2521"/>
    <w:rsid w:val="004F2FDB"/>
    <w:rsid w:val="004F313E"/>
    <w:rsid w:val="004F376A"/>
    <w:rsid w:val="004F3C21"/>
    <w:rsid w:val="004F3EF3"/>
    <w:rsid w:val="004F42FA"/>
    <w:rsid w:val="004F43FF"/>
    <w:rsid w:val="004F5544"/>
    <w:rsid w:val="004F5B17"/>
    <w:rsid w:val="004F5B4A"/>
    <w:rsid w:val="004F692A"/>
    <w:rsid w:val="004F6B39"/>
    <w:rsid w:val="004F768D"/>
    <w:rsid w:val="00500C0B"/>
    <w:rsid w:val="005013A6"/>
    <w:rsid w:val="00501A8E"/>
    <w:rsid w:val="00501CC4"/>
    <w:rsid w:val="00501D51"/>
    <w:rsid w:val="00501EBD"/>
    <w:rsid w:val="00503698"/>
    <w:rsid w:val="005042A7"/>
    <w:rsid w:val="00505220"/>
    <w:rsid w:val="005056A8"/>
    <w:rsid w:val="005059C0"/>
    <w:rsid w:val="00506209"/>
    <w:rsid w:val="00506847"/>
    <w:rsid w:val="00506C22"/>
    <w:rsid w:val="00506C8F"/>
    <w:rsid w:val="00506E90"/>
    <w:rsid w:val="005075BA"/>
    <w:rsid w:val="00507F74"/>
    <w:rsid w:val="00510275"/>
    <w:rsid w:val="005106EF"/>
    <w:rsid w:val="00510C7E"/>
    <w:rsid w:val="00511631"/>
    <w:rsid w:val="00511653"/>
    <w:rsid w:val="00511D32"/>
    <w:rsid w:val="005123F0"/>
    <w:rsid w:val="00512ADE"/>
    <w:rsid w:val="00513248"/>
    <w:rsid w:val="00513540"/>
    <w:rsid w:val="00513941"/>
    <w:rsid w:val="005148FA"/>
    <w:rsid w:val="00515704"/>
    <w:rsid w:val="005162AF"/>
    <w:rsid w:val="00516A10"/>
    <w:rsid w:val="00516AFC"/>
    <w:rsid w:val="0051705B"/>
    <w:rsid w:val="0051769D"/>
    <w:rsid w:val="00517750"/>
    <w:rsid w:val="00517C11"/>
    <w:rsid w:val="00520122"/>
    <w:rsid w:val="00520459"/>
    <w:rsid w:val="0052056B"/>
    <w:rsid w:val="00520F23"/>
    <w:rsid w:val="00521422"/>
    <w:rsid w:val="00522927"/>
    <w:rsid w:val="00524084"/>
    <w:rsid w:val="005241EC"/>
    <w:rsid w:val="0052436A"/>
    <w:rsid w:val="00526A18"/>
    <w:rsid w:val="00526E41"/>
    <w:rsid w:val="00527029"/>
    <w:rsid w:val="0052750E"/>
    <w:rsid w:val="005277BA"/>
    <w:rsid w:val="00527895"/>
    <w:rsid w:val="0053051D"/>
    <w:rsid w:val="00530FF6"/>
    <w:rsid w:val="00531104"/>
    <w:rsid w:val="00531154"/>
    <w:rsid w:val="005313B5"/>
    <w:rsid w:val="00532396"/>
    <w:rsid w:val="0053253C"/>
    <w:rsid w:val="00533D6C"/>
    <w:rsid w:val="00535458"/>
    <w:rsid w:val="00536CCF"/>
    <w:rsid w:val="00536EE1"/>
    <w:rsid w:val="005371F0"/>
    <w:rsid w:val="00537E9F"/>
    <w:rsid w:val="00540B78"/>
    <w:rsid w:val="00540D3E"/>
    <w:rsid w:val="00540EA9"/>
    <w:rsid w:val="0054121A"/>
    <w:rsid w:val="00541C28"/>
    <w:rsid w:val="005424FD"/>
    <w:rsid w:val="00542C30"/>
    <w:rsid w:val="005431B4"/>
    <w:rsid w:val="005432C8"/>
    <w:rsid w:val="00543314"/>
    <w:rsid w:val="00543BBF"/>
    <w:rsid w:val="0054424E"/>
    <w:rsid w:val="00544471"/>
    <w:rsid w:val="00545510"/>
    <w:rsid w:val="00545CE8"/>
    <w:rsid w:val="005470CC"/>
    <w:rsid w:val="00547161"/>
    <w:rsid w:val="0054740A"/>
    <w:rsid w:val="00550619"/>
    <w:rsid w:val="00552DEB"/>
    <w:rsid w:val="00552ED1"/>
    <w:rsid w:val="00553340"/>
    <w:rsid w:val="00553C04"/>
    <w:rsid w:val="0055524C"/>
    <w:rsid w:val="0055556C"/>
    <w:rsid w:val="00555C73"/>
    <w:rsid w:val="00556905"/>
    <w:rsid w:val="00557ADE"/>
    <w:rsid w:val="00557EF7"/>
    <w:rsid w:val="00560C6F"/>
    <w:rsid w:val="00560EDA"/>
    <w:rsid w:val="005628D7"/>
    <w:rsid w:val="00562BC9"/>
    <w:rsid w:val="00563923"/>
    <w:rsid w:val="00563E21"/>
    <w:rsid w:val="00564208"/>
    <w:rsid w:val="00564C0F"/>
    <w:rsid w:val="00565540"/>
    <w:rsid w:val="0056568C"/>
    <w:rsid w:val="005656B6"/>
    <w:rsid w:val="005661BD"/>
    <w:rsid w:val="00566AB2"/>
    <w:rsid w:val="00566C70"/>
    <w:rsid w:val="00566E94"/>
    <w:rsid w:val="00570275"/>
    <w:rsid w:val="00570371"/>
    <w:rsid w:val="00570DFC"/>
    <w:rsid w:val="005712DA"/>
    <w:rsid w:val="00571568"/>
    <w:rsid w:val="00571CEB"/>
    <w:rsid w:val="0057209A"/>
    <w:rsid w:val="00572264"/>
    <w:rsid w:val="00572928"/>
    <w:rsid w:val="00572FC7"/>
    <w:rsid w:val="00574AC2"/>
    <w:rsid w:val="00574C8C"/>
    <w:rsid w:val="005753EF"/>
    <w:rsid w:val="00575560"/>
    <w:rsid w:val="005755D5"/>
    <w:rsid w:val="00575B0A"/>
    <w:rsid w:val="005768BB"/>
    <w:rsid w:val="00576C68"/>
    <w:rsid w:val="00577B5B"/>
    <w:rsid w:val="00580251"/>
    <w:rsid w:val="00580E92"/>
    <w:rsid w:val="0058179A"/>
    <w:rsid w:val="00581C38"/>
    <w:rsid w:val="00582323"/>
    <w:rsid w:val="00584ACD"/>
    <w:rsid w:val="00584BE9"/>
    <w:rsid w:val="00585CE8"/>
    <w:rsid w:val="00586DFD"/>
    <w:rsid w:val="005901C3"/>
    <w:rsid w:val="00590DCC"/>
    <w:rsid w:val="005918F5"/>
    <w:rsid w:val="00591951"/>
    <w:rsid w:val="005919E3"/>
    <w:rsid w:val="005919F8"/>
    <w:rsid w:val="005920E8"/>
    <w:rsid w:val="005933FE"/>
    <w:rsid w:val="005936E1"/>
    <w:rsid w:val="00593874"/>
    <w:rsid w:val="00594B72"/>
    <w:rsid w:val="00595725"/>
    <w:rsid w:val="005966C8"/>
    <w:rsid w:val="005969DB"/>
    <w:rsid w:val="0059783B"/>
    <w:rsid w:val="00597C22"/>
    <w:rsid w:val="00597D35"/>
    <w:rsid w:val="005A0711"/>
    <w:rsid w:val="005A1BD8"/>
    <w:rsid w:val="005A22D1"/>
    <w:rsid w:val="005A2775"/>
    <w:rsid w:val="005A366A"/>
    <w:rsid w:val="005A3695"/>
    <w:rsid w:val="005A53E2"/>
    <w:rsid w:val="005A55BC"/>
    <w:rsid w:val="005A5997"/>
    <w:rsid w:val="005A5FAC"/>
    <w:rsid w:val="005A688F"/>
    <w:rsid w:val="005A7230"/>
    <w:rsid w:val="005A7539"/>
    <w:rsid w:val="005A76E2"/>
    <w:rsid w:val="005B0683"/>
    <w:rsid w:val="005B095A"/>
    <w:rsid w:val="005B1403"/>
    <w:rsid w:val="005B1BAC"/>
    <w:rsid w:val="005B3227"/>
    <w:rsid w:val="005B35E6"/>
    <w:rsid w:val="005B4C91"/>
    <w:rsid w:val="005B5947"/>
    <w:rsid w:val="005C00DE"/>
    <w:rsid w:val="005C0102"/>
    <w:rsid w:val="005C0CFE"/>
    <w:rsid w:val="005C1BB7"/>
    <w:rsid w:val="005C1FFA"/>
    <w:rsid w:val="005C2D49"/>
    <w:rsid w:val="005C352E"/>
    <w:rsid w:val="005C3BF9"/>
    <w:rsid w:val="005C42A6"/>
    <w:rsid w:val="005C43D6"/>
    <w:rsid w:val="005C4D80"/>
    <w:rsid w:val="005C58AA"/>
    <w:rsid w:val="005C5D41"/>
    <w:rsid w:val="005C60CE"/>
    <w:rsid w:val="005C632B"/>
    <w:rsid w:val="005C7507"/>
    <w:rsid w:val="005C7E0E"/>
    <w:rsid w:val="005D0D84"/>
    <w:rsid w:val="005D1451"/>
    <w:rsid w:val="005D1586"/>
    <w:rsid w:val="005D1ADB"/>
    <w:rsid w:val="005D1F34"/>
    <w:rsid w:val="005D255A"/>
    <w:rsid w:val="005D2657"/>
    <w:rsid w:val="005D2D1D"/>
    <w:rsid w:val="005D335B"/>
    <w:rsid w:val="005D383D"/>
    <w:rsid w:val="005D3F3A"/>
    <w:rsid w:val="005D44C3"/>
    <w:rsid w:val="005D458C"/>
    <w:rsid w:val="005D5D1C"/>
    <w:rsid w:val="005D6697"/>
    <w:rsid w:val="005D6A60"/>
    <w:rsid w:val="005E01DD"/>
    <w:rsid w:val="005E088B"/>
    <w:rsid w:val="005E0907"/>
    <w:rsid w:val="005E0D2A"/>
    <w:rsid w:val="005E0D45"/>
    <w:rsid w:val="005E18FD"/>
    <w:rsid w:val="005E1C7B"/>
    <w:rsid w:val="005E2F0F"/>
    <w:rsid w:val="005E34C4"/>
    <w:rsid w:val="005E44AE"/>
    <w:rsid w:val="005E543A"/>
    <w:rsid w:val="005E5AE9"/>
    <w:rsid w:val="005F04F6"/>
    <w:rsid w:val="005F1B54"/>
    <w:rsid w:val="005F3738"/>
    <w:rsid w:val="005F4BA0"/>
    <w:rsid w:val="005F4BCB"/>
    <w:rsid w:val="005F4DB7"/>
    <w:rsid w:val="005F4E11"/>
    <w:rsid w:val="005F574C"/>
    <w:rsid w:val="005F5AA2"/>
    <w:rsid w:val="005F5E22"/>
    <w:rsid w:val="005F62FD"/>
    <w:rsid w:val="005F7353"/>
    <w:rsid w:val="00600C96"/>
    <w:rsid w:val="00601608"/>
    <w:rsid w:val="00601A0C"/>
    <w:rsid w:val="00602862"/>
    <w:rsid w:val="006028CA"/>
    <w:rsid w:val="00602908"/>
    <w:rsid w:val="00602CAF"/>
    <w:rsid w:val="0060553B"/>
    <w:rsid w:val="00606946"/>
    <w:rsid w:val="00607455"/>
    <w:rsid w:val="00607F5D"/>
    <w:rsid w:val="0061053C"/>
    <w:rsid w:val="00611B25"/>
    <w:rsid w:val="00613128"/>
    <w:rsid w:val="006136E7"/>
    <w:rsid w:val="006140BA"/>
    <w:rsid w:val="00614361"/>
    <w:rsid w:val="00614770"/>
    <w:rsid w:val="00614DBE"/>
    <w:rsid w:val="00615228"/>
    <w:rsid w:val="0061527C"/>
    <w:rsid w:val="00615673"/>
    <w:rsid w:val="006161E0"/>
    <w:rsid w:val="0061679E"/>
    <w:rsid w:val="006177BF"/>
    <w:rsid w:val="00617A4B"/>
    <w:rsid w:val="00617AC4"/>
    <w:rsid w:val="00617C66"/>
    <w:rsid w:val="006215BD"/>
    <w:rsid w:val="00621D9D"/>
    <w:rsid w:val="00621EA1"/>
    <w:rsid w:val="00622011"/>
    <w:rsid w:val="00622095"/>
    <w:rsid w:val="006225C8"/>
    <w:rsid w:val="00623083"/>
    <w:rsid w:val="00623EC1"/>
    <w:rsid w:val="006254E0"/>
    <w:rsid w:val="00625909"/>
    <w:rsid w:val="00625D20"/>
    <w:rsid w:val="00625DBA"/>
    <w:rsid w:val="00626111"/>
    <w:rsid w:val="006267DD"/>
    <w:rsid w:val="00626C8D"/>
    <w:rsid w:val="00627D8D"/>
    <w:rsid w:val="00630686"/>
    <w:rsid w:val="006308F1"/>
    <w:rsid w:val="00631592"/>
    <w:rsid w:val="00631A8C"/>
    <w:rsid w:val="00631CFA"/>
    <w:rsid w:val="0063233E"/>
    <w:rsid w:val="00632AEE"/>
    <w:rsid w:val="006330DB"/>
    <w:rsid w:val="00633115"/>
    <w:rsid w:val="00634590"/>
    <w:rsid w:val="006350A0"/>
    <w:rsid w:val="006353EA"/>
    <w:rsid w:val="00635C45"/>
    <w:rsid w:val="00636229"/>
    <w:rsid w:val="00636DC9"/>
    <w:rsid w:val="0063746D"/>
    <w:rsid w:val="006375AB"/>
    <w:rsid w:val="006403FD"/>
    <w:rsid w:val="0064041D"/>
    <w:rsid w:val="0064062B"/>
    <w:rsid w:val="006406E0"/>
    <w:rsid w:val="00641E0F"/>
    <w:rsid w:val="00642851"/>
    <w:rsid w:val="00643463"/>
    <w:rsid w:val="00643670"/>
    <w:rsid w:val="00643BA7"/>
    <w:rsid w:val="0064442E"/>
    <w:rsid w:val="006445D0"/>
    <w:rsid w:val="00644673"/>
    <w:rsid w:val="00644743"/>
    <w:rsid w:val="00644955"/>
    <w:rsid w:val="00644F50"/>
    <w:rsid w:val="006454F2"/>
    <w:rsid w:val="00646366"/>
    <w:rsid w:val="00646EC4"/>
    <w:rsid w:val="006470B2"/>
    <w:rsid w:val="00651778"/>
    <w:rsid w:val="006525BF"/>
    <w:rsid w:val="00652840"/>
    <w:rsid w:val="00653DDF"/>
    <w:rsid w:val="0065475F"/>
    <w:rsid w:val="00654793"/>
    <w:rsid w:val="00654F7A"/>
    <w:rsid w:val="00655284"/>
    <w:rsid w:val="00655459"/>
    <w:rsid w:val="006554F6"/>
    <w:rsid w:val="00655A65"/>
    <w:rsid w:val="0065736C"/>
    <w:rsid w:val="00657CB0"/>
    <w:rsid w:val="00660189"/>
    <w:rsid w:val="0066055B"/>
    <w:rsid w:val="00660587"/>
    <w:rsid w:val="00660596"/>
    <w:rsid w:val="0066285B"/>
    <w:rsid w:val="0066292A"/>
    <w:rsid w:val="0066351B"/>
    <w:rsid w:val="00663572"/>
    <w:rsid w:val="0066420A"/>
    <w:rsid w:val="00664456"/>
    <w:rsid w:val="00665ED7"/>
    <w:rsid w:val="00666072"/>
    <w:rsid w:val="0066675F"/>
    <w:rsid w:val="00667AEE"/>
    <w:rsid w:val="0067093F"/>
    <w:rsid w:val="00671264"/>
    <w:rsid w:val="006724BD"/>
    <w:rsid w:val="0067385D"/>
    <w:rsid w:val="0067402A"/>
    <w:rsid w:val="00674210"/>
    <w:rsid w:val="006748C7"/>
    <w:rsid w:val="00675A51"/>
    <w:rsid w:val="00677054"/>
    <w:rsid w:val="00680898"/>
    <w:rsid w:val="00680E18"/>
    <w:rsid w:val="006814F7"/>
    <w:rsid w:val="0068210E"/>
    <w:rsid w:val="006825BD"/>
    <w:rsid w:val="00682640"/>
    <w:rsid w:val="00682A33"/>
    <w:rsid w:val="006832F4"/>
    <w:rsid w:val="00683EE5"/>
    <w:rsid w:val="0068604B"/>
    <w:rsid w:val="00687C73"/>
    <w:rsid w:val="006902E2"/>
    <w:rsid w:val="006909C4"/>
    <w:rsid w:val="0069153D"/>
    <w:rsid w:val="00692378"/>
    <w:rsid w:val="006928E8"/>
    <w:rsid w:val="00692E16"/>
    <w:rsid w:val="006942BE"/>
    <w:rsid w:val="006947CF"/>
    <w:rsid w:val="00695847"/>
    <w:rsid w:val="00695BDC"/>
    <w:rsid w:val="00695C04"/>
    <w:rsid w:val="006969A8"/>
    <w:rsid w:val="00697FD6"/>
    <w:rsid w:val="006A04CF"/>
    <w:rsid w:val="006A0790"/>
    <w:rsid w:val="006A0927"/>
    <w:rsid w:val="006A1262"/>
    <w:rsid w:val="006A2AAA"/>
    <w:rsid w:val="006A2F69"/>
    <w:rsid w:val="006A3E01"/>
    <w:rsid w:val="006A468C"/>
    <w:rsid w:val="006A4F90"/>
    <w:rsid w:val="006A5111"/>
    <w:rsid w:val="006A51F2"/>
    <w:rsid w:val="006A521C"/>
    <w:rsid w:val="006A5ECB"/>
    <w:rsid w:val="006A6353"/>
    <w:rsid w:val="006A6ABB"/>
    <w:rsid w:val="006A6BB3"/>
    <w:rsid w:val="006A7F0D"/>
    <w:rsid w:val="006B05EF"/>
    <w:rsid w:val="006B1E1A"/>
    <w:rsid w:val="006B1EAF"/>
    <w:rsid w:val="006B218A"/>
    <w:rsid w:val="006B2973"/>
    <w:rsid w:val="006B31D1"/>
    <w:rsid w:val="006B486C"/>
    <w:rsid w:val="006B4BF1"/>
    <w:rsid w:val="006B4D50"/>
    <w:rsid w:val="006B56D7"/>
    <w:rsid w:val="006B5938"/>
    <w:rsid w:val="006B5947"/>
    <w:rsid w:val="006B642F"/>
    <w:rsid w:val="006B7989"/>
    <w:rsid w:val="006B7B2F"/>
    <w:rsid w:val="006B7E1C"/>
    <w:rsid w:val="006C0892"/>
    <w:rsid w:val="006C0DA8"/>
    <w:rsid w:val="006C147C"/>
    <w:rsid w:val="006C1735"/>
    <w:rsid w:val="006C204D"/>
    <w:rsid w:val="006C241C"/>
    <w:rsid w:val="006C2C70"/>
    <w:rsid w:val="006C418A"/>
    <w:rsid w:val="006C46B4"/>
    <w:rsid w:val="006C4841"/>
    <w:rsid w:val="006C49A2"/>
    <w:rsid w:val="006C49CD"/>
    <w:rsid w:val="006C5165"/>
    <w:rsid w:val="006C5870"/>
    <w:rsid w:val="006C59DB"/>
    <w:rsid w:val="006C7539"/>
    <w:rsid w:val="006C7A27"/>
    <w:rsid w:val="006C7E8C"/>
    <w:rsid w:val="006C7F42"/>
    <w:rsid w:val="006D0B73"/>
    <w:rsid w:val="006D102E"/>
    <w:rsid w:val="006D11A7"/>
    <w:rsid w:val="006D1227"/>
    <w:rsid w:val="006D138F"/>
    <w:rsid w:val="006D2C9D"/>
    <w:rsid w:val="006D3571"/>
    <w:rsid w:val="006D3AC6"/>
    <w:rsid w:val="006D3E02"/>
    <w:rsid w:val="006D41BD"/>
    <w:rsid w:val="006D5699"/>
    <w:rsid w:val="006D5EE5"/>
    <w:rsid w:val="006D6121"/>
    <w:rsid w:val="006D7C5D"/>
    <w:rsid w:val="006E06C4"/>
    <w:rsid w:val="006E1565"/>
    <w:rsid w:val="006E18CD"/>
    <w:rsid w:val="006E1F8B"/>
    <w:rsid w:val="006E2168"/>
    <w:rsid w:val="006E2E9F"/>
    <w:rsid w:val="006E342A"/>
    <w:rsid w:val="006E3D76"/>
    <w:rsid w:val="006E3E4B"/>
    <w:rsid w:val="006E3E87"/>
    <w:rsid w:val="006E457B"/>
    <w:rsid w:val="006E5D32"/>
    <w:rsid w:val="006E68B3"/>
    <w:rsid w:val="006E6D3B"/>
    <w:rsid w:val="006E6D57"/>
    <w:rsid w:val="006F1124"/>
    <w:rsid w:val="006F1CFB"/>
    <w:rsid w:val="006F2325"/>
    <w:rsid w:val="006F296F"/>
    <w:rsid w:val="006F315D"/>
    <w:rsid w:val="006F325D"/>
    <w:rsid w:val="006F3BCA"/>
    <w:rsid w:val="006F456B"/>
    <w:rsid w:val="006F4782"/>
    <w:rsid w:val="006F51A4"/>
    <w:rsid w:val="006F5B21"/>
    <w:rsid w:val="006F648A"/>
    <w:rsid w:val="006F78A9"/>
    <w:rsid w:val="006F7E99"/>
    <w:rsid w:val="00700F43"/>
    <w:rsid w:val="00701690"/>
    <w:rsid w:val="00701707"/>
    <w:rsid w:val="00702011"/>
    <w:rsid w:val="0070219C"/>
    <w:rsid w:val="00703696"/>
    <w:rsid w:val="0070397C"/>
    <w:rsid w:val="0070402B"/>
    <w:rsid w:val="00704F97"/>
    <w:rsid w:val="00705063"/>
    <w:rsid w:val="0070537C"/>
    <w:rsid w:val="00705B08"/>
    <w:rsid w:val="00705C0B"/>
    <w:rsid w:val="0070658C"/>
    <w:rsid w:val="00707BA6"/>
    <w:rsid w:val="007118A4"/>
    <w:rsid w:val="007136F2"/>
    <w:rsid w:val="007147CA"/>
    <w:rsid w:val="007152E8"/>
    <w:rsid w:val="00715AAB"/>
    <w:rsid w:val="00715E66"/>
    <w:rsid w:val="00715F1D"/>
    <w:rsid w:val="007169B9"/>
    <w:rsid w:val="00716D48"/>
    <w:rsid w:val="00716FAF"/>
    <w:rsid w:val="00717769"/>
    <w:rsid w:val="00717C38"/>
    <w:rsid w:val="0072058A"/>
    <w:rsid w:val="00720E57"/>
    <w:rsid w:val="00721093"/>
    <w:rsid w:val="007210A6"/>
    <w:rsid w:val="00721149"/>
    <w:rsid w:val="007224FA"/>
    <w:rsid w:val="007227A1"/>
    <w:rsid w:val="007239AA"/>
    <w:rsid w:val="00723C98"/>
    <w:rsid w:val="00723F30"/>
    <w:rsid w:val="00724231"/>
    <w:rsid w:val="00724F07"/>
    <w:rsid w:val="00724F7E"/>
    <w:rsid w:val="00725280"/>
    <w:rsid w:val="00725327"/>
    <w:rsid w:val="00725937"/>
    <w:rsid w:val="00726864"/>
    <w:rsid w:val="00726C7A"/>
    <w:rsid w:val="007271E7"/>
    <w:rsid w:val="00727E0B"/>
    <w:rsid w:val="00730870"/>
    <w:rsid w:val="007309C2"/>
    <w:rsid w:val="00730BD2"/>
    <w:rsid w:val="0073151A"/>
    <w:rsid w:val="007328BD"/>
    <w:rsid w:val="00732E0F"/>
    <w:rsid w:val="00732F7B"/>
    <w:rsid w:val="00733F71"/>
    <w:rsid w:val="00734062"/>
    <w:rsid w:val="0073427E"/>
    <w:rsid w:val="0073604E"/>
    <w:rsid w:val="00740015"/>
    <w:rsid w:val="0074005C"/>
    <w:rsid w:val="0074085C"/>
    <w:rsid w:val="007412B9"/>
    <w:rsid w:val="0074145E"/>
    <w:rsid w:val="00741B85"/>
    <w:rsid w:val="00742284"/>
    <w:rsid w:val="00744A6B"/>
    <w:rsid w:val="00745A68"/>
    <w:rsid w:val="00746DE6"/>
    <w:rsid w:val="00746E9B"/>
    <w:rsid w:val="00750344"/>
    <w:rsid w:val="00750F0D"/>
    <w:rsid w:val="00751410"/>
    <w:rsid w:val="00751F19"/>
    <w:rsid w:val="007527A6"/>
    <w:rsid w:val="00752DC7"/>
    <w:rsid w:val="00753604"/>
    <w:rsid w:val="00753CD7"/>
    <w:rsid w:val="007540BD"/>
    <w:rsid w:val="007540BF"/>
    <w:rsid w:val="00754425"/>
    <w:rsid w:val="0075497B"/>
    <w:rsid w:val="007553E9"/>
    <w:rsid w:val="00755748"/>
    <w:rsid w:val="007562B5"/>
    <w:rsid w:val="00756F06"/>
    <w:rsid w:val="00756F0B"/>
    <w:rsid w:val="0075707C"/>
    <w:rsid w:val="0075724F"/>
    <w:rsid w:val="007575E7"/>
    <w:rsid w:val="007579F7"/>
    <w:rsid w:val="00757AC9"/>
    <w:rsid w:val="00757F7A"/>
    <w:rsid w:val="0076086B"/>
    <w:rsid w:val="00760C9A"/>
    <w:rsid w:val="0076127D"/>
    <w:rsid w:val="00761A13"/>
    <w:rsid w:val="00762269"/>
    <w:rsid w:val="0076242A"/>
    <w:rsid w:val="00762A44"/>
    <w:rsid w:val="00764427"/>
    <w:rsid w:val="00764889"/>
    <w:rsid w:val="00765347"/>
    <w:rsid w:val="00765DCC"/>
    <w:rsid w:val="00766184"/>
    <w:rsid w:val="00767D0F"/>
    <w:rsid w:val="00767F47"/>
    <w:rsid w:val="00770DCB"/>
    <w:rsid w:val="00771375"/>
    <w:rsid w:val="00772478"/>
    <w:rsid w:val="00772AE1"/>
    <w:rsid w:val="00772D61"/>
    <w:rsid w:val="00773ACC"/>
    <w:rsid w:val="007742B0"/>
    <w:rsid w:val="00775485"/>
    <w:rsid w:val="00776710"/>
    <w:rsid w:val="00776761"/>
    <w:rsid w:val="007767AC"/>
    <w:rsid w:val="00776AB7"/>
    <w:rsid w:val="00780153"/>
    <w:rsid w:val="007825B1"/>
    <w:rsid w:val="007832DF"/>
    <w:rsid w:val="0078368F"/>
    <w:rsid w:val="00783BC9"/>
    <w:rsid w:val="00783EFA"/>
    <w:rsid w:val="0078415B"/>
    <w:rsid w:val="007845C7"/>
    <w:rsid w:val="00784E39"/>
    <w:rsid w:val="007851CE"/>
    <w:rsid w:val="007859DF"/>
    <w:rsid w:val="00785BA9"/>
    <w:rsid w:val="00785BEF"/>
    <w:rsid w:val="00785C2A"/>
    <w:rsid w:val="007870F1"/>
    <w:rsid w:val="007873C8"/>
    <w:rsid w:val="007902CD"/>
    <w:rsid w:val="00791617"/>
    <w:rsid w:val="00792B02"/>
    <w:rsid w:val="007939DD"/>
    <w:rsid w:val="00793B4E"/>
    <w:rsid w:val="00793D9F"/>
    <w:rsid w:val="007941DC"/>
    <w:rsid w:val="00795338"/>
    <w:rsid w:val="0079627D"/>
    <w:rsid w:val="00796A35"/>
    <w:rsid w:val="00796D4F"/>
    <w:rsid w:val="0079763B"/>
    <w:rsid w:val="007A063F"/>
    <w:rsid w:val="007A1298"/>
    <w:rsid w:val="007A1491"/>
    <w:rsid w:val="007A253A"/>
    <w:rsid w:val="007A29F6"/>
    <w:rsid w:val="007A32CB"/>
    <w:rsid w:val="007A336A"/>
    <w:rsid w:val="007A37C5"/>
    <w:rsid w:val="007A3C11"/>
    <w:rsid w:val="007A4411"/>
    <w:rsid w:val="007A443E"/>
    <w:rsid w:val="007A45CB"/>
    <w:rsid w:val="007A509B"/>
    <w:rsid w:val="007A57BB"/>
    <w:rsid w:val="007A5A2F"/>
    <w:rsid w:val="007A5D7A"/>
    <w:rsid w:val="007A5EA5"/>
    <w:rsid w:val="007A6CCF"/>
    <w:rsid w:val="007A711D"/>
    <w:rsid w:val="007B0181"/>
    <w:rsid w:val="007B06FB"/>
    <w:rsid w:val="007B12A9"/>
    <w:rsid w:val="007B1306"/>
    <w:rsid w:val="007B160B"/>
    <w:rsid w:val="007B1A6B"/>
    <w:rsid w:val="007B1BB7"/>
    <w:rsid w:val="007B1CC7"/>
    <w:rsid w:val="007B1FC9"/>
    <w:rsid w:val="007B2379"/>
    <w:rsid w:val="007B27E0"/>
    <w:rsid w:val="007B291A"/>
    <w:rsid w:val="007B2BB6"/>
    <w:rsid w:val="007B38B5"/>
    <w:rsid w:val="007B3A7D"/>
    <w:rsid w:val="007B3B63"/>
    <w:rsid w:val="007B3C84"/>
    <w:rsid w:val="007B3E8E"/>
    <w:rsid w:val="007B4A74"/>
    <w:rsid w:val="007B4FE9"/>
    <w:rsid w:val="007B5945"/>
    <w:rsid w:val="007B64C0"/>
    <w:rsid w:val="007B6E0C"/>
    <w:rsid w:val="007B7FE2"/>
    <w:rsid w:val="007C0520"/>
    <w:rsid w:val="007C05A2"/>
    <w:rsid w:val="007C0F1C"/>
    <w:rsid w:val="007C13D3"/>
    <w:rsid w:val="007C15F4"/>
    <w:rsid w:val="007C21D3"/>
    <w:rsid w:val="007C2D46"/>
    <w:rsid w:val="007C310B"/>
    <w:rsid w:val="007C34BF"/>
    <w:rsid w:val="007C372B"/>
    <w:rsid w:val="007C3756"/>
    <w:rsid w:val="007C3A9C"/>
    <w:rsid w:val="007C3F1F"/>
    <w:rsid w:val="007C44DA"/>
    <w:rsid w:val="007C520D"/>
    <w:rsid w:val="007C6537"/>
    <w:rsid w:val="007C6888"/>
    <w:rsid w:val="007C7447"/>
    <w:rsid w:val="007C7F97"/>
    <w:rsid w:val="007D00F8"/>
    <w:rsid w:val="007D1259"/>
    <w:rsid w:val="007D1E7C"/>
    <w:rsid w:val="007D2D70"/>
    <w:rsid w:val="007D30A5"/>
    <w:rsid w:val="007D352E"/>
    <w:rsid w:val="007D3673"/>
    <w:rsid w:val="007D39CB"/>
    <w:rsid w:val="007D3B47"/>
    <w:rsid w:val="007D3C91"/>
    <w:rsid w:val="007D4468"/>
    <w:rsid w:val="007D488C"/>
    <w:rsid w:val="007D564A"/>
    <w:rsid w:val="007D57B1"/>
    <w:rsid w:val="007D615D"/>
    <w:rsid w:val="007D6555"/>
    <w:rsid w:val="007D6C49"/>
    <w:rsid w:val="007E0254"/>
    <w:rsid w:val="007E1805"/>
    <w:rsid w:val="007E510B"/>
    <w:rsid w:val="007E5440"/>
    <w:rsid w:val="007E58A3"/>
    <w:rsid w:val="007E5B88"/>
    <w:rsid w:val="007E67A4"/>
    <w:rsid w:val="007E6C38"/>
    <w:rsid w:val="007E7DF3"/>
    <w:rsid w:val="007F0C52"/>
    <w:rsid w:val="007F0D0B"/>
    <w:rsid w:val="007F1280"/>
    <w:rsid w:val="007F1515"/>
    <w:rsid w:val="007F1DBB"/>
    <w:rsid w:val="007F2E90"/>
    <w:rsid w:val="007F386A"/>
    <w:rsid w:val="007F3D50"/>
    <w:rsid w:val="007F422D"/>
    <w:rsid w:val="007F64AA"/>
    <w:rsid w:val="007F69FE"/>
    <w:rsid w:val="00800244"/>
    <w:rsid w:val="008007A8"/>
    <w:rsid w:val="008013A5"/>
    <w:rsid w:val="00801CA2"/>
    <w:rsid w:val="008026AD"/>
    <w:rsid w:val="00802D2B"/>
    <w:rsid w:val="00803A63"/>
    <w:rsid w:val="008042D9"/>
    <w:rsid w:val="0080493A"/>
    <w:rsid w:val="008049DE"/>
    <w:rsid w:val="008055E2"/>
    <w:rsid w:val="00807057"/>
    <w:rsid w:val="00807BB3"/>
    <w:rsid w:val="0081052B"/>
    <w:rsid w:val="00810564"/>
    <w:rsid w:val="00812014"/>
    <w:rsid w:val="008122DF"/>
    <w:rsid w:val="0081268C"/>
    <w:rsid w:val="008138CC"/>
    <w:rsid w:val="00813A03"/>
    <w:rsid w:val="00814969"/>
    <w:rsid w:val="00814FC0"/>
    <w:rsid w:val="00816A28"/>
    <w:rsid w:val="00816E40"/>
    <w:rsid w:val="00817FFB"/>
    <w:rsid w:val="00820972"/>
    <w:rsid w:val="00822B79"/>
    <w:rsid w:val="00824455"/>
    <w:rsid w:val="00824CE5"/>
    <w:rsid w:val="00824F2A"/>
    <w:rsid w:val="008254D5"/>
    <w:rsid w:val="00827456"/>
    <w:rsid w:val="008302C4"/>
    <w:rsid w:val="00830D49"/>
    <w:rsid w:val="00831B69"/>
    <w:rsid w:val="00831F8A"/>
    <w:rsid w:val="00832D5E"/>
    <w:rsid w:val="008332B1"/>
    <w:rsid w:val="00833D76"/>
    <w:rsid w:val="0083496C"/>
    <w:rsid w:val="00834ED1"/>
    <w:rsid w:val="00834FBF"/>
    <w:rsid w:val="00836348"/>
    <w:rsid w:val="00836F6B"/>
    <w:rsid w:val="008370DF"/>
    <w:rsid w:val="0083762C"/>
    <w:rsid w:val="008403A0"/>
    <w:rsid w:val="008412DB"/>
    <w:rsid w:val="00841610"/>
    <w:rsid w:val="00841E70"/>
    <w:rsid w:val="008429A6"/>
    <w:rsid w:val="00842E69"/>
    <w:rsid w:val="008432A2"/>
    <w:rsid w:val="00844494"/>
    <w:rsid w:val="0084473C"/>
    <w:rsid w:val="00844D62"/>
    <w:rsid w:val="0084605A"/>
    <w:rsid w:val="00846CA4"/>
    <w:rsid w:val="00847F54"/>
    <w:rsid w:val="00850040"/>
    <w:rsid w:val="0085074B"/>
    <w:rsid w:val="00850C5C"/>
    <w:rsid w:val="00850F23"/>
    <w:rsid w:val="008514BB"/>
    <w:rsid w:val="00851A6C"/>
    <w:rsid w:val="00851D66"/>
    <w:rsid w:val="008524A4"/>
    <w:rsid w:val="008526A0"/>
    <w:rsid w:val="00852DB3"/>
    <w:rsid w:val="00853734"/>
    <w:rsid w:val="00855E62"/>
    <w:rsid w:val="00856111"/>
    <w:rsid w:val="0085642C"/>
    <w:rsid w:val="008564CC"/>
    <w:rsid w:val="00856655"/>
    <w:rsid w:val="00856A48"/>
    <w:rsid w:val="008576DD"/>
    <w:rsid w:val="00857B65"/>
    <w:rsid w:val="008609A7"/>
    <w:rsid w:val="00861CEC"/>
    <w:rsid w:val="00861E5C"/>
    <w:rsid w:val="00863883"/>
    <w:rsid w:val="00863A82"/>
    <w:rsid w:val="008645FD"/>
    <w:rsid w:val="00864B78"/>
    <w:rsid w:val="00864EA4"/>
    <w:rsid w:val="00864F9A"/>
    <w:rsid w:val="00865728"/>
    <w:rsid w:val="00865AC6"/>
    <w:rsid w:val="00866606"/>
    <w:rsid w:val="008668FC"/>
    <w:rsid w:val="00867278"/>
    <w:rsid w:val="00867754"/>
    <w:rsid w:val="00870F94"/>
    <w:rsid w:val="00870FF7"/>
    <w:rsid w:val="008724DE"/>
    <w:rsid w:val="00873147"/>
    <w:rsid w:val="00873848"/>
    <w:rsid w:val="00873CC2"/>
    <w:rsid w:val="00873F4C"/>
    <w:rsid w:val="00874001"/>
    <w:rsid w:val="00874714"/>
    <w:rsid w:val="008748FB"/>
    <w:rsid w:val="00875416"/>
    <w:rsid w:val="00875D43"/>
    <w:rsid w:val="00876182"/>
    <w:rsid w:val="008766C5"/>
    <w:rsid w:val="00876A98"/>
    <w:rsid w:val="00876D9D"/>
    <w:rsid w:val="00877928"/>
    <w:rsid w:val="008809EE"/>
    <w:rsid w:val="0088113E"/>
    <w:rsid w:val="00881344"/>
    <w:rsid w:val="00882A53"/>
    <w:rsid w:val="00883176"/>
    <w:rsid w:val="008839D9"/>
    <w:rsid w:val="00883B57"/>
    <w:rsid w:val="00884239"/>
    <w:rsid w:val="00884349"/>
    <w:rsid w:val="00884A4B"/>
    <w:rsid w:val="00884F7C"/>
    <w:rsid w:val="0088503D"/>
    <w:rsid w:val="008858BC"/>
    <w:rsid w:val="00885F34"/>
    <w:rsid w:val="00886876"/>
    <w:rsid w:val="00886877"/>
    <w:rsid w:val="00886E70"/>
    <w:rsid w:val="008901EA"/>
    <w:rsid w:val="00890D0B"/>
    <w:rsid w:val="0089124B"/>
    <w:rsid w:val="00891C08"/>
    <w:rsid w:val="00892886"/>
    <w:rsid w:val="00892CB7"/>
    <w:rsid w:val="008932B8"/>
    <w:rsid w:val="008935AE"/>
    <w:rsid w:val="00893F8E"/>
    <w:rsid w:val="0089475D"/>
    <w:rsid w:val="008950C4"/>
    <w:rsid w:val="00895BB3"/>
    <w:rsid w:val="008967C6"/>
    <w:rsid w:val="008A123B"/>
    <w:rsid w:val="008A1D5E"/>
    <w:rsid w:val="008A2977"/>
    <w:rsid w:val="008A3364"/>
    <w:rsid w:val="008A34C9"/>
    <w:rsid w:val="008A3A23"/>
    <w:rsid w:val="008A3D57"/>
    <w:rsid w:val="008A419C"/>
    <w:rsid w:val="008A4486"/>
    <w:rsid w:val="008A563A"/>
    <w:rsid w:val="008A5A6A"/>
    <w:rsid w:val="008A5DBC"/>
    <w:rsid w:val="008A6774"/>
    <w:rsid w:val="008A6957"/>
    <w:rsid w:val="008B0EFC"/>
    <w:rsid w:val="008B1292"/>
    <w:rsid w:val="008B13AA"/>
    <w:rsid w:val="008B1AED"/>
    <w:rsid w:val="008B230B"/>
    <w:rsid w:val="008B23BC"/>
    <w:rsid w:val="008B271C"/>
    <w:rsid w:val="008B2E22"/>
    <w:rsid w:val="008B31F8"/>
    <w:rsid w:val="008B40C0"/>
    <w:rsid w:val="008B422C"/>
    <w:rsid w:val="008B4FDC"/>
    <w:rsid w:val="008B564A"/>
    <w:rsid w:val="008B6691"/>
    <w:rsid w:val="008B74E0"/>
    <w:rsid w:val="008B76E0"/>
    <w:rsid w:val="008B78EB"/>
    <w:rsid w:val="008C1876"/>
    <w:rsid w:val="008C1C62"/>
    <w:rsid w:val="008C2526"/>
    <w:rsid w:val="008C30ED"/>
    <w:rsid w:val="008C690D"/>
    <w:rsid w:val="008C6E13"/>
    <w:rsid w:val="008C7F6F"/>
    <w:rsid w:val="008D031F"/>
    <w:rsid w:val="008D09FE"/>
    <w:rsid w:val="008D249A"/>
    <w:rsid w:val="008D2825"/>
    <w:rsid w:val="008D2E53"/>
    <w:rsid w:val="008D3619"/>
    <w:rsid w:val="008D3CA6"/>
    <w:rsid w:val="008D43AE"/>
    <w:rsid w:val="008D4795"/>
    <w:rsid w:val="008D48C5"/>
    <w:rsid w:val="008D5559"/>
    <w:rsid w:val="008D55FC"/>
    <w:rsid w:val="008D5912"/>
    <w:rsid w:val="008D63D8"/>
    <w:rsid w:val="008D6CA5"/>
    <w:rsid w:val="008E00D8"/>
    <w:rsid w:val="008E0457"/>
    <w:rsid w:val="008E10A0"/>
    <w:rsid w:val="008E23EF"/>
    <w:rsid w:val="008E2CD4"/>
    <w:rsid w:val="008E2D37"/>
    <w:rsid w:val="008E339E"/>
    <w:rsid w:val="008E3D60"/>
    <w:rsid w:val="008E3F4C"/>
    <w:rsid w:val="008E4A80"/>
    <w:rsid w:val="008E52BE"/>
    <w:rsid w:val="008E5421"/>
    <w:rsid w:val="008E5E1C"/>
    <w:rsid w:val="008E630B"/>
    <w:rsid w:val="008E633B"/>
    <w:rsid w:val="008E64DC"/>
    <w:rsid w:val="008E6716"/>
    <w:rsid w:val="008E68D0"/>
    <w:rsid w:val="008E6C28"/>
    <w:rsid w:val="008E7141"/>
    <w:rsid w:val="008E73B0"/>
    <w:rsid w:val="008E7A8E"/>
    <w:rsid w:val="008E7B61"/>
    <w:rsid w:val="008F0EF9"/>
    <w:rsid w:val="008F1910"/>
    <w:rsid w:val="008F2864"/>
    <w:rsid w:val="008F4A79"/>
    <w:rsid w:val="008F4EF1"/>
    <w:rsid w:val="008F5612"/>
    <w:rsid w:val="008F5B29"/>
    <w:rsid w:val="008F5E88"/>
    <w:rsid w:val="008F5EBC"/>
    <w:rsid w:val="008F70EE"/>
    <w:rsid w:val="008F75F4"/>
    <w:rsid w:val="008F763A"/>
    <w:rsid w:val="0090003A"/>
    <w:rsid w:val="009001AF"/>
    <w:rsid w:val="009009BD"/>
    <w:rsid w:val="00900EA0"/>
    <w:rsid w:val="0090165F"/>
    <w:rsid w:val="00901B82"/>
    <w:rsid w:val="009022E6"/>
    <w:rsid w:val="00902A16"/>
    <w:rsid w:val="00903090"/>
    <w:rsid w:val="0090328F"/>
    <w:rsid w:val="00903505"/>
    <w:rsid w:val="00903D1D"/>
    <w:rsid w:val="0090439C"/>
    <w:rsid w:val="00904D1B"/>
    <w:rsid w:val="00904F01"/>
    <w:rsid w:val="00905485"/>
    <w:rsid w:val="009055FC"/>
    <w:rsid w:val="00906379"/>
    <w:rsid w:val="00906657"/>
    <w:rsid w:val="00906BD6"/>
    <w:rsid w:val="00906D39"/>
    <w:rsid w:val="00907786"/>
    <w:rsid w:val="00907A23"/>
    <w:rsid w:val="00907DF6"/>
    <w:rsid w:val="009111A2"/>
    <w:rsid w:val="0091181B"/>
    <w:rsid w:val="0091197B"/>
    <w:rsid w:val="00911CA7"/>
    <w:rsid w:val="00912978"/>
    <w:rsid w:val="00912B09"/>
    <w:rsid w:val="0091344B"/>
    <w:rsid w:val="0091393C"/>
    <w:rsid w:val="009141C2"/>
    <w:rsid w:val="00914350"/>
    <w:rsid w:val="00914BC5"/>
    <w:rsid w:val="00915F2D"/>
    <w:rsid w:val="0091614E"/>
    <w:rsid w:val="00917318"/>
    <w:rsid w:val="00917901"/>
    <w:rsid w:val="00917A8E"/>
    <w:rsid w:val="00921278"/>
    <w:rsid w:val="00921D7A"/>
    <w:rsid w:val="00922208"/>
    <w:rsid w:val="009225E7"/>
    <w:rsid w:val="00922E93"/>
    <w:rsid w:val="00922F34"/>
    <w:rsid w:val="009236B4"/>
    <w:rsid w:val="009238B6"/>
    <w:rsid w:val="00924CDD"/>
    <w:rsid w:val="0092595A"/>
    <w:rsid w:val="009262EE"/>
    <w:rsid w:val="0092649A"/>
    <w:rsid w:val="0092669B"/>
    <w:rsid w:val="00926C9E"/>
    <w:rsid w:val="00926FB8"/>
    <w:rsid w:val="00930D82"/>
    <w:rsid w:val="00931091"/>
    <w:rsid w:val="00931873"/>
    <w:rsid w:val="00932329"/>
    <w:rsid w:val="00932676"/>
    <w:rsid w:val="009326CD"/>
    <w:rsid w:val="0093292D"/>
    <w:rsid w:val="009329AD"/>
    <w:rsid w:val="00932FE7"/>
    <w:rsid w:val="00933F7C"/>
    <w:rsid w:val="009341B7"/>
    <w:rsid w:val="0093449C"/>
    <w:rsid w:val="00934A79"/>
    <w:rsid w:val="00934B7B"/>
    <w:rsid w:val="009356C4"/>
    <w:rsid w:val="0093607C"/>
    <w:rsid w:val="00936424"/>
    <w:rsid w:val="009364A8"/>
    <w:rsid w:val="00936C53"/>
    <w:rsid w:val="00936F53"/>
    <w:rsid w:val="00936FF2"/>
    <w:rsid w:val="00937298"/>
    <w:rsid w:val="00937523"/>
    <w:rsid w:val="0094091A"/>
    <w:rsid w:val="00940EE7"/>
    <w:rsid w:val="0094174F"/>
    <w:rsid w:val="00942503"/>
    <w:rsid w:val="00942798"/>
    <w:rsid w:val="0094320B"/>
    <w:rsid w:val="00943781"/>
    <w:rsid w:val="00944297"/>
    <w:rsid w:val="00944C96"/>
    <w:rsid w:val="009452F8"/>
    <w:rsid w:val="00945B57"/>
    <w:rsid w:val="00945BF0"/>
    <w:rsid w:val="0094764E"/>
    <w:rsid w:val="00947787"/>
    <w:rsid w:val="0095086D"/>
    <w:rsid w:val="00950E6C"/>
    <w:rsid w:val="00951320"/>
    <w:rsid w:val="009515AC"/>
    <w:rsid w:val="00951CA4"/>
    <w:rsid w:val="00951DCE"/>
    <w:rsid w:val="00952292"/>
    <w:rsid w:val="00952D2E"/>
    <w:rsid w:val="00953972"/>
    <w:rsid w:val="00953B3C"/>
    <w:rsid w:val="00953B81"/>
    <w:rsid w:val="00955851"/>
    <w:rsid w:val="00957907"/>
    <w:rsid w:val="00957A12"/>
    <w:rsid w:val="0096011C"/>
    <w:rsid w:val="0096298A"/>
    <w:rsid w:val="00962CFF"/>
    <w:rsid w:val="00963277"/>
    <w:rsid w:val="009639D4"/>
    <w:rsid w:val="009644EF"/>
    <w:rsid w:val="0096474D"/>
    <w:rsid w:val="009649FE"/>
    <w:rsid w:val="00964CB0"/>
    <w:rsid w:val="00965D5A"/>
    <w:rsid w:val="00965F6E"/>
    <w:rsid w:val="009668AC"/>
    <w:rsid w:val="00966C2F"/>
    <w:rsid w:val="00967150"/>
    <w:rsid w:val="009678D1"/>
    <w:rsid w:val="00967954"/>
    <w:rsid w:val="009679D5"/>
    <w:rsid w:val="00967E6C"/>
    <w:rsid w:val="009700C6"/>
    <w:rsid w:val="00970338"/>
    <w:rsid w:val="00970369"/>
    <w:rsid w:val="00970633"/>
    <w:rsid w:val="00970A0D"/>
    <w:rsid w:val="0097160A"/>
    <w:rsid w:val="00972D6A"/>
    <w:rsid w:val="00972F20"/>
    <w:rsid w:val="00973A4C"/>
    <w:rsid w:val="0097404D"/>
    <w:rsid w:val="0097512B"/>
    <w:rsid w:val="00975E72"/>
    <w:rsid w:val="00975EA9"/>
    <w:rsid w:val="00976B01"/>
    <w:rsid w:val="0097708E"/>
    <w:rsid w:val="00977137"/>
    <w:rsid w:val="0098077D"/>
    <w:rsid w:val="00980E0E"/>
    <w:rsid w:val="0098154F"/>
    <w:rsid w:val="00981923"/>
    <w:rsid w:val="00981ABF"/>
    <w:rsid w:val="00982354"/>
    <w:rsid w:val="0098300F"/>
    <w:rsid w:val="009830B8"/>
    <w:rsid w:val="00983767"/>
    <w:rsid w:val="00983DA1"/>
    <w:rsid w:val="009842F8"/>
    <w:rsid w:val="00984479"/>
    <w:rsid w:val="00984896"/>
    <w:rsid w:val="00984BF5"/>
    <w:rsid w:val="00984DB1"/>
    <w:rsid w:val="00985A99"/>
    <w:rsid w:val="00985E70"/>
    <w:rsid w:val="009865CD"/>
    <w:rsid w:val="00986D5F"/>
    <w:rsid w:val="00987AE1"/>
    <w:rsid w:val="009907CC"/>
    <w:rsid w:val="00990B75"/>
    <w:rsid w:val="00990B93"/>
    <w:rsid w:val="00990BBE"/>
    <w:rsid w:val="00990E98"/>
    <w:rsid w:val="00991929"/>
    <w:rsid w:val="00991956"/>
    <w:rsid w:val="00991CE8"/>
    <w:rsid w:val="009920F7"/>
    <w:rsid w:val="0099229D"/>
    <w:rsid w:val="009928FB"/>
    <w:rsid w:val="00992FF2"/>
    <w:rsid w:val="00993DE6"/>
    <w:rsid w:val="00994177"/>
    <w:rsid w:val="00994F3D"/>
    <w:rsid w:val="00995DC7"/>
    <w:rsid w:val="0099610D"/>
    <w:rsid w:val="009965E5"/>
    <w:rsid w:val="009977C9"/>
    <w:rsid w:val="00997834"/>
    <w:rsid w:val="009A0170"/>
    <w:rsid w:val="009A017F"/>
    <w:rsid w:val="009A0C57"/>
    <w:rsid w:val="009A145C"/>
    <w:rsid w:val="009A2078"/>
    <w:rsid w:val="009A25DB"/>
    <w:rsid w:val="009A343E"/>
    <w:rsid w:val="009A3EA4"/>
    <w:rsid w:val="009A49F8"/>
    <w:rsid w:val="009A5F77"/>
    <w:rsid w:val="009A67EF"/>
    <w:rsid w:val="009A7DDB"/>
    <w:rsid w:val="009B0BAF"/>
    <w:rsid w:val="009B1B17"/>
    <w:rsid w:val="009B26F0"/>
    <w:rsid w:val="009B2BC6"/>
    <w:rsid w:val="009B3F0C"/>
    <w:rsid w:val="009B3FA5"/>
    <w:rsid w:val="009B455B"/>
    <w:rsid w:val="009B4AC2"/>
    <w:rsid w:val="009B4C29"/>
    <w:rsid w:val="009B53D0"/>
    <w:rsid w:val="009B5B6D"/>
    <w:rsid w:val="009B628B"/>
    <w:rsid w:val="009B7B17"/>
    <w:rsid w:val="009C0105"/>
    <w:rsid w:val="009C0498"/>
    <w:rsid w:val="009C09F6"/>
    <w:rsid w:val="009C0FAC"/>
    <w:rsid w:val="009C1C75"/>
    <w:rsid w:val="009C264E"/>
    <w:rsid w:val="009C31CF"/>
    <w:rsid w:val="009C4820"/>
    <w:rsid w:val="009C4E8C"/>
    <w:rsid w:val="009C4F2E"/>
    <w:rsid w:val="009C5412"/>
    <w:rsid w:val="009C6F25"/>
    <w:rsid w:val="009C7B5C"/>
    <w:rsid w:val="009C7F0A"/>
    <w:rsid w:val="009D0510"/>
    <w:rsid w:val="009D056F"/>
    <w:rsid w:val="009D06CA"/>
    <w:rsid w:val="009D2C42"/>
    <w:rsid w:val="009D36D7"/>
    <w:rsid w:val="009D36DF"/>
    <w:rsid w:val="009D3704"/>
    <w:rsid w:val="009D3734"/>
    <w:rsid w:val="009D3D42"/>
    <w:rsid w:val="009D592B"/>
    <w:rsid w:val="009D5BC1"/>
    <w:rsid w:val="009D5DD4"/>
    <w:rsid w:val="009D6672"/>
    <w:rsid w:val="009D67F6"/>
    <w:rsid w:val="009D6FB0"/>
    <w:rsid w:val="009E0B9C"/>
    <w:rsid w:val="009E0FE1"/>
    <w:rsid w:val="009E18E4"/>
    <w:rsid w:val="009E216D"/>
    <w:rsid w:val="009E7257"/>
    <w:rsid w:val="009E77F6"/>
    <w:rsid w:val="009E7BC4"/>
    <w:rsid w:val="009F024A"/>
    <w:rsid w:val="009F0E67"/>
    <w:rsid w:val="009F11A1"/>
    <w:rsid w:val="009F2114"/>
    <w:rsid w:val="009F243D"/>
    <w:rsid w:val="009F2764"/>
    <w:rsid w:val="009F27DF"/>
    <w:rsid w:val="009F2B7F"/>
    <w:rsid w:val="009F30BD"/>
    <w:rsid w:val="009F3A33"/>
    <w:rsid w:val="009F4D41"/>
    <w:rsid w:val="009F534D"/>
    <w:rsid w:val="009F5E85"/>
    <w:rsid w:val="009F6E00"/>
    <w:rsid w:val="009F7282"/>
    <w:rsid w:val="009F78EE"/>
    <w:rsid w:val="009F7E5D"/>
    <w:rsid w:val="00A00025"/>
    <w:rsid w:val="00A00378"/>
    <w:rsid w:val="00A00778"/>
    <w:rsid w:val="00A00B60"/>
    <w:rsid w:val="00A0146F"/>
    <w:rsid w:val="00A02AAD"/>
    <w:rsid w:val="00A038BC"/>
    <w:rsid w:val="00A0406E"/>
    <w:rsid w:val="00A049B0"/>
    <w:rsid w:val="00A04DE7"/>
    <w:rsid w:val="00A04FC0"/>
    <w:rsid w:val="00A05CE0"/>
    <w:rsid w:val="00A05DA3"/>
    <w:rsid w:val="00A062CC"/>
    <w:rsid w:val="00A10D0D"/>
    <w:rsid w:val="00A10ED6"/>
    <w:rsid w:val="00A11307"/>
    <w:rsid w:val="00A11364"/>
    <w:rsid w:val="00A11F24"/>
    <w:rsid w:val="00A11F7A"/>
    <w:rsid w:val="00A124F1"/>
    <w:rsid w:val="00A1264E"/>
    <w:rsid w:val="00A12BEA"/>
    <w:rsid w:val="00A12F11"/>
    <w:rsid w:val="00A13AF3"/>
    <w:rsid w:val="00A13DB5"/>
    <w:rsid w:val="00A153DE"/>
    <w:rsid w:val="00A16AF8"/>
    <w:rsid w:val="00A20145"/>
    <w:rsid w:val="00A20466"/>
    <w:rsid w:val="00A20793"/>
    <w:rsid w:val="00A207E4"/>
    <w:rsid w:val="00A21388"/>
    <w:rsid w:val="00A21C29"/>
    <w:rsid w:val="00A226D1"/>
    <w:rsid w:val="00A230E0"/>
    <w:rsid w:val="00A2383C"/>
    <w:rsid w:val="00A23E31"/>
    <w:rsid w:val="00A24375"/>
    <w:rsid w:val="00A24830"/>
    <w:rsid w:val="00A254B5"/>
    <w:rsid w:val="00A2562F"/>
    <w:rsid w:val="00A2678F"/>
    <w:rsid w:val="00A2702C"/>
    <w:rsid w:val="00A27134"/>
    <w:rsid w:val="00A27366"/>
    <w:rsid w:val="00A275F5"/>
    <w:rsid w:val="00A27791"/>
    <w:rsid w:val="00A3010A"/>
    <w:rsid w:val="00A30EC9"/>
    <w:rsid w:val="00A3102F"/>
    <w:rsid w:val="00A310FA"/>
    <w:rsid w:val="00A31A7A"/>
    <w:rsid w:val="00A31D2E"/>
    <w:rsid w:val="00A3333B"/>
    <w:rsid w:val="00A34208"/>
    <w:rsid w:val="00A346A9"/>
    <w:rsid w:val="00A348DB"/>
    <w:rsid w:val="00A34D1F"/>
    <w:rsid w:val="00A35123"/>
    <w:rsid w:val="00A356AE"/>
    <w:rsid w:val="00A3658C"/>
    <w:rsid w:val="00A37B2B"/>
    <w:rsid w:val="00A37C89"/>
    <w:rsid w:val="00A40A33"/>
    <w:rsid w:val="00A40B2C"/>
    <w:rsid w:val="00A41355"/>
    <w:rsid w:val="00A41867"/>
    <w:rsid w:val="00A41B38"/>
    <w:rsid w:val="00A424AB"/>
    <w:rsid w:val="00A43653"/>
    <w:rsid w:val="00A43805"/>
    <w:rsid w:val="00A43915"/>
    <w:rsid w:val="00A43B92"/>
    <w:rsid w:val="00A4417B"/>
    <w:rsid w:val="00A4503D"/>
    <w:rsid w:val="00A46915"/>
    <w:rsid w:val="00A478AD"/>
    <w:rsid w:val="00A47D50"/>
    <w:rsid w:val="00A50280"/>
    <w:rsid w:val="00A51836"/>
    <w:rsid w:val="00A528B8"/>
    <w:rsid w:val="00A52A29"/>
    <w:rsid w:val="00A530C9"/>
    <w:rsid w:val="00A54251"/>
    <w:rsid w:val="00A54659"/>
    <w:rsid w:val="00A54FA5"/>
    <w:rsid w:val="00A55F16"/>
    <w:rsid w:val="00A560E2"/>
    <w:rsid w:val="00A56984"/>
    <w:rsid w:val="00A56EF7"/>
    <w:rsid w:val="00A57223"/>
    <w:rsid w:val="00A614F0"/>
    <w:rsid w:val="00A6179E"/>
    <w:rsid w:val="00A61D7E"/>
    <w:rsid w:val="00A61D7F"/>
    <w:rsid w:val="00A629B5"/>
    <w:rsid w:val="00A62A30"/>
    <w:rsid w:val="00A62C8A"/>
    <w:rsid w:val="00A63431"/>
    <w:rsid w:val="00A63FA0"/>
    <w:rsid w:val="00A64316"/>
    <w:rsid w:val="00A64757"/>
    <w:rsid w:val="00A66390"/>
    <w:rsid w:val="00A67A4F"/>
    <w:rsid w:val="00A710DD"/>
    <w:rsid w:val="00A711C6"/>
    <w:rsid w:val="00A71380"/>
    <w:rsid w:val="00A716AC"/>
    <w:rsid w:val="00A71A24"/>
    <w:rsid w:val="00A7207A"/>
    <w:rsid w:val="00A726E3"/>
    <w:rsid w:val="00A72B90"/>
    <w:rsid w:val="00A72BED"/>
    <w:rsid w:val="00A732BA"/>
    <w:rsid w:val="00A75004"/>
    <w:rsid w:val="00A7552F"/>
    <w:rsid w:val="00A7592A"/>
    <w:rsid w:val="00A75D7B"/>
    <w:rsid w:val="00A76444"/>
    <w:rsid w:val="00A77F94"/>
    <w:rsid w:val="00A800A1"/>
    <w:rsid w:val="00A804D9"/>
    <w:rsid w:val="00A8103F"/>
    <w:rsid w:val="00A8175A"/>
    <w:rsid w:val="00A81E09"/>
    <w:rsid w:val="00A82177"/>
    <w:rsid w:val="00A82C52"/>
    <w:rsid w:val="00A83E0D"/>
    <w:rsid w:val="00A8451D"/>
    <w:rsid w:val="00A8507E"/>
    <w:rsid w:val="00A85180"/>
    <w:rsid w:val="00A852B4"/>
    <w:rsid w:val="00A85680"/>
    <w:rsid w:val="00A8602E"/>
    <w:rsid w:val="00A864F1"/>
    <w:rsid w:val="00A865BC"/>
    <w:rsid w:val="00A866A8"/>
    <w:rsid w:val="00A8730C"/>
    <w:rsid w:val="00A9083C"/>
    <w:rsid w:val="00A9096F"/>
    <w:rsid w:val="00A90DDC"/>
    <w:rsid w:val="00A91B6D"/>
    <w:rsid w:val="00A92915"/>
    <w:rsid w:val="00A92B88"/>
    <w:rsid w:val="00A92D21"/>
    <w:rsid w:val="00A92F92"/>
    <w:rsid w:val="00A93D73"/>
    <w:rsid w:val="00A9402A"/>
    <w:rsid w:val="00A941CD"/>
    <w:rsid w:val="00A946CE"/>
    <w:rsid w:val="00A94BC1"/>
    <w:rsid w:val="00A95F6A"/>
    <w:rsid w:val="00A96608"/>
    <w:rsid w:val="00A96892"/>
    <w:rsid w:val="00A96A47"/>
    <w:rsid w:val="00A9777C"/>
    <w:rsid w:val="00A97EE5"/>
    <w:rsid w:val="00AA0492"/>
    <w:rsid w:val="00AA06F9"/>
    <w:rsid w:val="00AA149F"/>
    <w:rsid w:val="00AA1810"/>
    <w:rsid w:val="00AA1D01"/>
    <w:rsid w:val="00AA2051"/>
    <w:rsid w:val="00AA208C"/>
    <w:rsid w:val="00AA259E"/>
    <w:rsid w:val="00AA3082"/>
    <w:rsid w:val="00AA3E6A"/>
    <w:rsid w:val="00AA3F55"/>
    <w:rsid w:val="00AA42FA"/>
    <w:rsid w:val="00AA4521"/>
    <w:rsid w:val="00AA74C5"/>
    <w:rsid w:val="00AA7BEB"/>
    <w:rsid w:val="00AA7C4F"/>
    <w:rsid w:val="00AA7E86"/>
    <w:rsid w:val="00AB0762"/>
    <w:rsid w:val="00AB0B21"/>
    <w:rsid w:val="00AB1330"/>
    <w:rsid w:val="00AB15FA"/>
    <w:rsid w:val="00AB1E3B"/>
    <w:rsid w:val="00AB3D1E"/>
    <w:rsid w:val="00AB3E1A"/>
    <w:rsid w:val="00AB402D"/>
    <w:rsid w:val="00AB40F6"/>
    <w:rsid w:val="00AB4943"/>
    <w:rsid w:val="00AB54F8"/>
    <w:rsid w:val="00AB689D"/>
    <w:rsid w:val="00AB6AF0"/>
    <w:rsid w:val="00AB700B"/>
    <w:rsid w:val="00AB722F"/>
    <w:rsid w:val="00AC0C54"/>
    <w:rsid w:val="00AC3630"/>
    <w:rsid w:val="00AC37D1"/>
    <w:rsid w:val="00AC3992"/>
    <w:rsid w:val="00AC3A93"/>
    <w:rsid w:val="00AC3A9C"/>
    <w:rsid w:val="00AC4FDF"/>
    <w:rsid w:val="00AC5391"/>
    <w:rsid w:val="00AC5420"/>
    <w:rsid w:val="00AC5FEC"/>
    <w:rsid w:val="00AC6B0A"/>
    <w:rsid w:val="00AC70CB"/>
    <w:rsid w:val="00AD0711"/>
    <w:rsid w:val="00AD0879"/>
    <w:rsid w:val="00AD100A"/>
    <w:rsid w:val="00AD131F"/>
    <w:rsid w:val="00AD2661"/>
    <w:rsid w:val="00AD328F"/>
    <w:rsid w:val="00AD4281"/>
    <w:rsid w:val="00AD45B0"/>
    <w:rsid w:val="00AD48DA"/>
    <w:rsid w:val="00AD50CA"/>
    <w:rsid w:val="00AD5BE3"/>
    <w:rsid w:val="00AD5E37"/>
    <w:rsid w:val="00AD5FD1"/>
    <w:rsid w:val="00AD612E"/>
    <w:rsid w:val="00AD69A0"/>
    <w:rsid w:val="00AD7066"/>
    <w:rsid w:val="00AD70E6"/>
    <w:rsid w:val="00AD750D"/>
    <w:rsid w:val="00AD759F"/>
    <w:rsid w:val="00AD7808"/>
    <w:rsid w:val="00AD7C74"/>
    <w:rsid w:val="00AE02A9"/>
    <w:rsid w:val="00AE20D7"/>
    <w:rsid w:val="00AE22ED"/>
    <w:rsid w:val="00AE2790"/>
    <w:rsid w:val="00AE28A4"/>
    <w:rsid w:val="00AE2AEE"/>
    <w:rsid w:val="00AE3BD0"/>
    <w:rsid w:val="00AE3E5D"/>
    <w:rsid w:val="00AE47FD"/>
    <w:rsid w:val="00AE4A44"/>
    <w:rsid w:val="00AE4B22"/>
    <w:rsid w:val="00AE526F"/>
    <w:rsid w:val="00AE5535"/>
    <w:rsid w:val="00AE5A33"/>
    <w:rsid w:val="00AE5FA2"/>
    <w:rsid w:val="00AE65D2"/>
    <w:rsid w:val="00AE694E"/>
    <w:rsid w:val="00AE72D2"/>
    <w:rsid w:val="00AE7699"/>
    <w:rsid w:val="00AE7CCF"/>
    <w:rsid w:val="00AF0835"/>
    <w:rsid w:val="00AF0ECF"/>
    <w:rsid w:val="00AF1435"/>
    <w:rsid w:val="00AF2625"/>
    <w:rsid w:val="00AF2900"/>
    <w:rsid w:val="00AF2C31"/>
    <w:rsid w:val="00AF54AC"/>
    <w:rsid w:val="00AF59AE"/>
    <w:rsid w:val="00AF64EF"/>
    <w:rsid w:val="00AF691F"/>
    <w:rsid w:val="00AF6C2B"/>
    <w:rsid w:val="00AF710A"/>
    <w:rsid w:val="00B001EA"/>
    <w:rsid w:val="00B00AF1"/>
    <w:rsid w:val="00B0173C"/>
    <w:rsid w:val="00B01A04"/>
    <w:rsid w:val="00B01FCC"/>
    <w:rsid w:val="00B0237B"/>
    <w:rsid w:val="00B02680"/>
    <w:rsid w:val="00B026D0"/>
    <w:rsid w:val="00B027FD"/>
    <w:rsid w:val="00B0293E"/>
    <w:rsid w:val="00B02A8C"/>
    <w:rsid w:val="00B02D07"/>
    <w:rsid w:val="00B03244"/>
    <w:rsid w:val="00B03765"/>
    <w:rsid w:val="00B03F21"/>
    <w:rsid w:val="00B04284"/>
    <w:rsid w:val="00B04665"/>
    <w:rsid w:val="00B049B4"/>
    <w:rsid w:val="00B04D6E"/>
    <w:rsid w:val="00B05795"/>
    <w:rsid w:val="00B067A5"/>
    <w:rsid w:val="00B06919"/>
    <w:rsid w:val="00B071C8"/>
    <w:rsid w:val="00B0768C"/>
    <w:rsid w:val="00B07DEC"/>
    <w:rsid w:val="00B1109D"/>
    <w:rsid w:val="00B1260E"/>
    <w:rsid w:val="00B12626"/>
    <w:rsid w:val="00B12744"/>
    <w:rsid w:val="00B1296D"/>
    <w:rsid w:val="00B12AF8"/>
    <w:rsid w:val="00B130B3"/>
    <w:rsid w:val="00B13B12"/>
    <w:rsid w:val="00B1515D"/>
    <w:rsid w:val="00B15BC4"/>
    <w:rsid w:val="00B15E2C"/>
    <w:rsid w:val="00B1698E"/>
    <w:rsid w:val="00B17553"/>
    <w:rsid w:val="00B179B9"/>
    <w:rsid w:val="00B17CA2"/>
    <w:rsid w:val="00B17CEC"/>
    <w:rsid w:val="00B2075B"/>
    <w:rsid w:val="00B21967"/>
    <w:rsid w:val="00B220C3"/>
    <w:rsid w:val="00B224FC"/>
    <w:rsid w:val="00B22A87"/>
    <w:rsid w:val="00B22B39"/>
    <w:rsid w:val="00B22C47"/>
    <w:rsid w:val="00B24B1D"/>
    <w:rsid w:val="00B2547E"/>
    <w:rsid w:val="00B25670"/>
    <w:rsid w:val="00B26E4F"/>
    <w:rsid w:val="00B27278"/>
    <w:rsid w:val="00B2744F"/>
    <w:rsid w:val="00B277E0"/>
    <w:rsid w:val="00B279B2"/>
    <w:rsid w:val="00B3099A"/>
    <w:rsid w:val="00B31AF1"/>
    <w:rsid w:val="00B33DC1"/>
    <w:rsid w:val="00B3462E"/>
    <w:rsid w:val="00B348A0"/>
    <w:rsid w:val="00B34946"/>
    <w:rsid w:val="00B34EB7"/>
    <w:rsid w:val="00B359B6"/>
    <w:rsid w:val="00B35A98"/>
    <w:rsid w:val="00B366A3"/>
    <w:rsid w:val="00B36D23"/>
    <w:rsid w:val="00B378AA"/>
    <w:rsid w:val="00B37AE8"/>
    <w:rsid w:val="00B37DF4"/>
    <w:rsid w:val="00B4078B"/>
    <w:rsid w:val="00B40B2E"/>
    <w:rsid w:val="00B41F63"/>
    <w:rsid w:val="00B424CE"/>
    <w:rsid w:val="00B43C5D"/>
    <w:rsid w:val="00B43D98"/>
    <w:rsid w:val="00B44AF9"/>
    <w:rsid w:val="00B45069"/>
    <w:rsid w:val="00B459AE"/>
    <w:rsid w:val="00B469DF"/>
    <w:rsid w:val="00B46C62"/>
    <w:rsid w:val="00B47322"/>
    <w:rsid w:val="00B47D64"/>
    <w:rsid w:val="00B47D83"/>
    <w:rsid w:val="00B47F3D"/>
    <w:rsid w:val="00B50FFA"/>
    <w:rsid w:val="00B514EC"/>
    <w:rsid w:val="00B5150C"/>
    <w:rsid w:val="00B519FD"/>
    <w:rsid w:val="00B520BC"/>
    <w:rsid w:val="00B52A74"/>
    <w:rsid w:val="00B52FDF"/>
    <w:rsid w:val="00B5358C"/>
    <w:rsid w:val="00B5482B"/>
    <w:rsid w:val="00B554E4"/>
    <w:rsid w:val="00B55934"/>
    <w:rsid w:val="00B56214"/>
    <w:rsid w:val="00B57133"/>
    <w:rsid w:val="00B578F1"/>
    <w:rsid w:val="00B600C2"/>
    <w:rsid w:val="00B60834"/>
    <w:rsid w:val="00B6151C"/>
    <w:rsid w:val="00B633B1"/>
    <w:rsid w:val="00B6387D"/>
    <w:rsid w:val="00B63D24"/>
    <w:rsid w:val="00B64BDD"/>
    <w:rsid w:val="00B65DDB"/>
    <w:rsid w:val="00B70942"/>
    <w:rsid w:val="00B70D44"/>
    <w:rsid w:val="00B71194"/>
    <w:rsid w:val="00B716D5"/>
    <w:rsid w:val="00B718FF"/>
    <w:rsid w:val="00B71BEB"/>
    <w:rsid w:val="00B720E7"/>
    <w:rsid w:val="00B72240"/>
    <w:rsid w:val="00B72D07"/>
    <w:rsid w:val="00B72E49"/>
    <w:rsid w:val="00B72EA9"/>
    <w:rsid w:val="00B72F44"/>
    <w:rsid w:val="00B73075"/>
    <w:rsid w:val="00B733FB"/>
    <w:rsid w:val="00B7344D"/>
    <w:rsid w:val="00B742FA"/>
    <w:rsid w:val="00B7463A"/>
    <w:rsid w:val="00B80789"/>
    <w:rsid w:val="00B8110C"/>
    <w:rsid w:val="00B81F99"/>
    <w:rsid w:val="00B82845"/>
    <w:rsid w:val="00B83154"/>
    <w:rsid w:val="00B8382F"/>
    <w:rsid w:val="00B83870"/>
    <w:rsid w:val="00B83E33"/>
    <w:rsid w:val="00B85465"/>
    <w:rsid w:val="00B85DDF"/>
    <w:rsid w:val="00B862CF"/>
    <w:rsid w:val="00B86315"/>
    <w:rsid w:val="00B86A8A"/>
    <w:rsid w:val="00B87F5A"/>
    <w:rsid w:val="00B91E5C"/>
    <w:rsid w:val="00B91FF1"/>
    <w:rsid w:val="00B924E6"/>
    <w:rsid w:val="00B929AA"/>
    <w:rsid w:val="00B92E62"/>
    <w:rsid w:val="00B9321B"/>
    <w:rsid w:val="00B93638"/>
    <w:rsid w:val="00B9371E"/>
    <w:rsid w:val="00B93D47"/>
    <w:rsid w:val="00B940D9"/>
    <w:rsid w:val="00B945F4"/>
    <w:rsid w:val="00B9489A"/>
    <w:rsid w:val="00B94FC7"/>
    <w:rsid w:val="00B953C2"/>
    <w:rsid w:val="00B95D04"/>
    <w:rsid w:val="00B95D12"/>
    <w:rsid w:val="00B95D92"/>
    <w:rsid w:val="00B96186"/>
    <w:rsid w:val="00B96951"/>
    <w:rsid w:val="00B96D7C"/>
    <w:rsid w:val="00B971D7"/>
    <w:rsid w:val="00B97C76"/>
    <w:rsid w:val="00B97FDD"/>
    <w:rsid w:val="00BA02A9"/>
    <w:rsid w:val="00BA0B26"/>
    <w:rsid w:val="00BA0F62"/>
    <w:rsid w:val="00BA179F"/>
    <w:rsid w:val="00BA262D"/>
    <w:rsid w:val="00BA3A77"/>
    <w:rsid w:val="00BA3E02"/>
    <w:rsid w:val="00BA40DD"/>
    <w:rsid w:val="00BA4179"/>
    <w:rsid w:val="00BA4399"/>
    <w:rsid w:val="00BA4BE3"/>
    <w:rsid w:val="00BA4E87"/>
    <w:rsid w:val="00BA5698"/>
    <w:rsid w:val="00BA7141"/>
    <w:rsid w:val="00BA7DE0"/>
    <w:rsid w:val="00BB00EA"/>
    <w:rsid w:val="00BB04EB"/>
    <w:rsid w:val="00BB23F1"/>
    <w:rsid w:val="00BB35BF"/>
    <w:rsid w:val="00BB38E2"/>
    <w:rsid w:val="00BB3A54"/>
    <w:rsid w:val="00BB501A"/>
    <w:rsid w:val="00BB59B6"/>
    <w:rsid w:val="00BB5C85"/>
    <w:rsid w:val="00BB6511"/>
    <w:rsid w:val="00BB65E0"/>
    <w:rsid w:val="00BB70B2"/>
    <w:rsid w:val="00BB7148"/>
    <w:rsid w:val="00BB732E"/>
    <w:rsid w:val="00BC05C4"/>
    <w:rsid w:val="00BC08F1"/>
    <w:rsid w:val="00BC12FD"/>
    <w:rsid w:val="00BC1503"/>
    <w:rsid w:val="00BC1EFB"/>
    <w:rsid w:val="00BC25A1"/>
    <w:rsid w:val="00BC307C"/>
    <w:rsid w:val="00BC47EF"/>
    <w:rsid w:val="00BC48FC"/>
    <w:rsid w:val="00BC5AB8"/>
    <w:rsid w:val="00BC6330"/>
    <w:rsid w:val="00BC64C8"/>
    <w:rsid w:val="00BC6A1F"/>
    <w:rsid w:val="00BC6D8C"/>
    <w:rsid w:val="00BC6F2A"/>
    <w:rsid w:val="00BC79EB"/>
    <w:rsid w:val="00BC7C9F"/>
    <w:rsid w:val="00BC7F12"/>
    <w:rsid w:val="00BD01F6"/>
    <w:rsid w:val="00BD0304"/>
    <w:rsid w:val="00BD0979"/>
    <w:rsid w:val="00BD0B46"/>
    <w:rsid w:val="00BD0B6E"/>
    <w:rsid w:val="00BD0C54"/>
    <w:rsid w:val="00BD1B61"/>
    <w:rsid w:val="00BD2D47"/>
    <w:rsid w:val="00BD370F"/>
    <w:rsid w:val="00BD3EFA"/>
    <w:rsid w:val="00BD4CDB"/>
    <w:rsid w:val="00BD4F19"/>
    <w:rsid w:val="00BD5463"/>
    <w:rsid w:val="00BD5752"/>
    <w:rsid w:val="00BD6ED8"/>
    <w:rsid w:val="00BD7BA0"/>
    <w:rsid w:val="00BD7FCF"/>
    <w:rsid w:val="00BE0894"/>
    <w:rsid w:val="00BE0ABE"/>
    <w:rsid w:val="00BE0C06"/>
    <w:rsid w:val="00BE266A"/>
    <w:rsid w:val="00BE3BEA"/>
    <w:rsid w:val="00BE3E36"/>
    <w:rsid w:val="00BE4071"/>
    <w:rsid w:val="00BE41BD"/>
    <w:rsid w:val="00BE4706"/>
    <w:rsid w:val="00BE4CED"/>
    <w:rsid w:val="00BE63C0"/>
    <w:rsid w:val="00BE7403"/>
    <w:rsid w:val="00BE76BE"/>
    <w:rsid w:val="00BF0637"/>
    <w:rsid w:val="00BF08DF"/>
    <w:rsid w:val="00BF1251"/>
    <w:rsid w:val="00BF14D4"/>
    <w:rsid w:val="00BF1B4A"/>
    <w:rsid w:val="00BF1E0D"/>
    <w:rsid w:val="00BF210D"/>
    <w:rsid w:val="00BF4702"/>
    <w:rsid w:val="00BF4796"/>
    <w:rsid w:val="00BF5053"/>
    <w:rsid w:val="00BF523D"/>
    <w:rsid w:val="00BF5617"/>
    <w:rsid w:val="00BF74C8"/>
    <w:rsid w:val="00BF7D88"/>
    <w:rsid w:val="00C00158"/>
    <w:rsid w:val="00C0082B"/>
    <w:rsid w:val="00C02373"/>
    <w:rsid w:val="00C02A70"/>
    <w:rsid w:val="00C045B3"/>
    <w:rsid w:val="00C04864"/>
    <w:rsid w:val="00C05705"/>
    <w:rsid w:val="00C061B2"/>
    <w:rsid w:val="00C064DC"/>
    <w:rsid w:val="00C06BD7"/>
    <w:rsid w:val="00C077F8"/>
    <w:rsid w:val="00C10EC6"/>
    <w:rsid w:val="00C12376"/>
    <w:rsid w:val="00C13692"/>
    <w:rsid w:val="00C14CA3"/>
    <w:rsid w:val="00C15180"/>
    <w:rsid w:val="00C15F29"/>
    <w:rsid w:val="00C166F1"/>
    <w:rsid w:val="00C16843"/>
    <w:rsid w:val="00C17262"/>
    <w:rsid w:val="00C17436"/>
    <w:rsid w:val="00C17802"/>
    <w:rsid w:val="00C20151"/>
    <w:rsid w:val="00C20A6D"/>
    <w:rsid w:val="00C20C3E"/>
    <w:rsid w:val="00C21638"/>
    <w:rsid w:val="00C22879"/>
    <w:rsid w:val="00C22EFD"/>
    <w:rsid w:val="00C23528"/>
    <w:rsid w:val="00C23FF6"/>
    <w:rsid w:val="00C2489C"/>
    <w:rsid w:val="00C25500"/>
    <w:rsid w:val="00C257DE"/>
    <w:rsid w:val="00C25BDA"/>
    <w:rsid w:val="00C26CB0"/>
    <w:rsid w:val="00C27BB6"/>
    <w:rsid w:val="00C27E86"/>
    <w:rsid w:val="00C30437"/>
    <w:rsid w:val="00C30E9C"/>
    <w:rsid w:val="00C31D85"/>
    <w:rsid w:val="00C326FF"/>
    <w:rsid w:val="00C32BFA"/>
    <w:rsid w:val="00C33104"/>
    <w:rsid w:val="00C332D4"/>
    <w:rsid w:val="00C348C2"/>
    <w:rsid w:val="00C35345"/>
    <w:rsid w:val="00C353A5"/>
    <w:rsid w:val="00C364F0"/>
    <w:rsid w:val="00C368AE"/>
    <w:rsid w:val="00C37421"/>
    <w:rsid w:val="00C40650"/>
    <w:rsid w:val="00C416A2"/>
    <w:rsid w:val="00C42C36"/>
    <w:rsid w:val="00C42FD3"/>
    <w:rsid w:val="00C4322A"/>
    <w:rsid w:val="00C43521"/>
    <w:rsid w:val="00C435E3"/>
    <w:rsid w:val="00C4488B"/>
    <w:rsid w:val="00C44AEC"/>
    <w:rsid w:val="00C450B9"/>
    <w:rsid w:val="00C460F2"/>
    <w:rsid w:val="00C4617C"/>
    <w:rsid w:val="00C46BD8"/>
    <w:rsid w:val="00C46ECD"/>
    <w:rsid w:val="00C47B78"/>
    <w:rsid w:val="00C50600"/>
    <w:rsid w:val="00C5136F"/>
    <w:rsid w:val="00C516FF"/>
    <w:rsid w:val="00C51A96"/>
    <w:rsid w:val="00C51C1F"/>
    <w:rsid w:val="00C52C00"/>
    <w:rsid w:val="00C54AAE"/>
    <w:rsid w:val="00C55137"/>
    <w:rsid w:val="00C560DB"/>
    <w:rsid w:val="00C561D5"/>
    <w:rsid w:val="00C562FC"/>
    <w:rsid w:val="00C5706E"/>
    <w:rsid w:val="00C5710E"/>
    <w:rsid w:val="00C601B2"/>
    <w:rsid w:val="00C60F7B"/>
    <w:rsid w:val="00C6140C"/>
    <w:rsid w:val="00C6237D"/>
    <w:rsid w:val="00C6277E"/>
    <w:rsid w:val="00C63909"/>
    <w:rsid w:val="00C643DA"/>
    <w:rsid w:val="00C649AF"/>
    <w:rsid w:val="00C64D06"/>
    <w:rsid w:val="00C66BC3"/>
    <w:rsid w:val="00C66D1C"/>
    <w:rsid w:val="00C678DC"/>
    <w:rsid w:val="00C67FAC"/>
    <w:rsid w:val="00C70297"/>
    <w:rsid w:val="00C7158E"/>
    <w:rsid w:val="00C71E63"/>
    <w:rsid w:val="00C72D01"/>
    <w:rsid w:val="00C73738"/>
    <w:rsid w:val="00C73875"/>
    <w:rsid w:val="00C74389"/>
    <w:rsid w:val="00C74639"/>
    <w:rsid w:val="00C7492C"/>
    <w:rsid w:val="00C75ED2"/>
    <w:rsid w:val="00C7683C"/>
    <w:rsid w:val="00C76A1F"/>
    <w:rsid w:val="00C779A0"/>
    <w:rsid w:val="00C80F02"/>
    <w:rsid w:val="00C812C6"/>
    <w:rsid w:val="00C8169B"/>
    <w:rsid w:val="00C8176F"/>
    <w:rsid w:val="00C81D6B"/>
    <w:rsid w:val="00C81FA4"/>
    <w:rsid w:val="00C82266"/>
    <w:rsid w:val="00C82F6B"/>
    <w:rsid w:val="00C84450"/>
    <w:rsid w:val="00C854D4"/>
    <w:rsid w:val="00C8585B"/>
    <w:rsid w:val="00C85BF8"/>
    <w:rsid w:val="00C87C4E"/>
    <w:rsid w:val="00C87FB1"/>
    <w:rsid w:val="00C901DE"/>
    <w:rsid w:val="00C90556"/>
    <w:rsid w:val="00C912E1"/>
    <w:rsid w:val="00C92B35"/>
    <w:rsid w:val="00C93F4B"/>
    <w:rsid w:val="00C94194"/>
    <w:rsid w:val="00C9581A"/>
    <w:rsid w:val="00C96CC1"/>
    <w:rsid w:val="00C97A37"/>
    <w:rsid w:val="00C97D6A"/>
    <w:rsid w:val="00CA07AA"/>
    <w:rsid w:val="00CA0986"/>
    <w:rsid w:val="00CA0D78"/>
    <w:rsid w:val="00CA116F"/>
    <w:rsid w:val="00CA15A3"/>
    <w:rsid w:val="00CA3853"/>
    <w:rsid w:val="00CA3F73"/>
    <w:rsid w:val="00CA4855"/>
    <w:rsid w:val="00CA5653"/>
    <w:rsid w:val="00CA57FD"/>
    <w:rsid w:val="00CA6BA3"/>
    <w:rsid w:val="00CA73F5"/>
    <w:rsid w:val="00CB093E"/>
    <w:rsid w:val="00CB0CA5"/>
    <w:rsid w:val="00CB0FCE"/>
    <w:rsid w:val="00CB12B4"/>
    <w:rsid w:val="00CB1644"/>
    <w:rsid w:val="00CB215D"/>
    <w:rsid w:val="00CB24FE"/>
    <w:rsid w:val="00CB31B9"/>
    <w:rsid w:val="00CB3B4C"/>
    <w:rsid w:val="00CB3D97"/>
    <w:rsid w:val="00CB43B9"/>
    <w:rsid w:val="00CB4DF9"/>
    <w:rsid w:val="00CB589F"/>
    <w:rsid w:val="00CB5E69"/>
    <w:rsid w:val="00CB6C0D"/>
    <w:rsid w:val="00CB6E07"/>
    <w:rsid w:val="00CB7256"/>
    <w:rsid w:val="00CB7478"/>
    <w:rsid w:val="00CC0401"/>
    <w:rsid w:val="00CC0483"/>
    <w:rsid w:val="00CC0883"/>
    <w:rsid w:val="00CC0B7D"/>
    <w:rsid w:val="00CC1743"/>
    <w:rsid w:val="00CC34BC"/>
    <w:rsid w:val="00CC378B"/>
    <w:rsid w:val="00CC3860"/>
    <w:rsid w:val="00CC3CC9"/>
    <w:rsid w:val="00CC41A5"/>
    <w:rsid w:val="00CC45D9"/>
    <w:rsid w:val="00CC4EE6"/>
    <w:rsid w:val="00CC5D98"/>
    <w:rsid w:val="00CC6BF0"/>
    <w:rsid w:val="00CC7592"/>
    <w:rsid w:val="00CC7671"/>
    <w:rsid w:val="00CD013A"/>
    <w:rsid w:val="00CD08AF"/>
    <w:rsid w:val="00CD1E08"/>
    <w:rsid w:val="00CD26B0"/>
    <w:rsid w:val="00CD2AA9"/>
    <w:rsid w:val="00CD330D"/>
    <w:rsid w:val="00CD3716"/>
    <w:rsid w:val="00CD3759"/>
    <w:rsid w:val="00CD3F2E"/>
    <w:rsid w:val="00CD4677"/>
    <w:rsid w:val="00CD49E1"/>
    <w:rsid w:val="00CD58FD"/>
    <w:rsid w:val="00CD6200"/>
    <w:rsid w:val="00CD64B3"/>
    <w:rsid w:val="00CD6DB4"/>
    <w:rsid w:val="00CD751D"/>
    <w:rsid w:val="00CD7B92"/>
    <w:rsid w:val="00CD7DF3"/>
    <w:rsid w:val="00CD7F1B"/>
    <w:rsid w:val="00CE013F"/>
    <w:rsid w:val="00CE08DC"/>
    <w:rsid w:val="00CE0A84"/>
    <w:rsid w:val="00CE14CD"/>
    <w:rsid w:val="00CE1531"/>
    <w:rsid w:val="00CE2170"/>
    <w:rsid w:val="00CE23D1"/>
    <w:rsid w:val="00CE244A"/>
    <w:rsid w:val="00CE2AD5"/>
    <w:rsid w:val="00CE2FF1"/>
    <w:rsid w:val="00CE3C34"/>
    <w:rsid w:val="00CE3EC6"/>
    <w:rsid w:val="00CE4765"/>
    <w:rsid w:val="00CE5F0C"/>
    <w:rsid w:val="00CE64D5"/>
    <w:rsid w:val="00CE6DD9"/>
    <w:rsid w:val="00CF0143"/>
    <w:rsid w:val="00CF02D4"/>
    <w:rsid w:val="00CF0994"/>
    <w:rsid w:val="00CF0CE1"/>
    <w:rsid w:val="00CF1D69"/>
    <w:rsid w:val="00CF23D8"/>
    <w:rsid w:val="00CF2B16"/>
    <w:rsid w:val="00CF2C8E"/>
    <w:rsid w:val="00CF4972"/>
    <w:rsid w:val="00CF4A95"/>
    <w:rsid w:val="00CF606D"/>
    <w:rsid w:val="00CF622A"/>
    <w:rsid w:val="00CF6457"/>
    <w:rsid w:val="00CF6E45"/>
    <w:rsid w:val="00CF72C8"/>
    <w:rsid w:val="00D007B6"/>
    <w:rsid w:val="00D00AA9"/>
    <w:rsid w:val="00D00B15"/>
    <w:rsid w:val="00D00B98"/>
    <w:rsid w:val="00D0106E"/>
    <w:rsid w:val="00D02FCE"/>
    <w:rsid w:val="00D031DE"/>
    <w:rsid w:val="00D04807"/>
    <w:rsid w:val="00D04C76"/>
    <w:rsid w:val="00D062CC"/>
    <w:rsid w:val="00D06BCD"/>
    <w:rsid w:val="00D113B7"/>
    <w:rsid w:val="00D11598"/>
    <w:rsid w:val="00D11758"/>
    <w:rsid w:val="00D119CF"/>
    <w:rsid w:val="00D1215B"/>
    <w:rsid w:val="00D127BE"/>
    <w:rsid w:val="00D12AEB"/>
    <w:rsid w:val="00D12AEE"/>
    <w:rsid w:val="00D12C01"/>
    <w:rsid w:val="00D147BB"/>
    <w:rsid w:val="00D14A48"/>
    <w:rsid w:val="00D14C49"/>
    <w:rsid w:val="00D14F82"/>
    <w:rsid w:val="00D15117"/>
    <w:rsid w:val="00D16399"/>
    <w:rsid w:val="00D170AD"/>
    <w:rsid w:val="00D17558"/>
    <w:rsid w:val="00D176AA"/>
    <w:rsid w:val="00D2029D"/>
    <w:rsid w:val="00D210DC"/>
    <w:rsid w:val="00D21EB1"/>
    <w:rsid w:val="00D22434"/>
    <w:rsid w:val="00D232B9"/>
    <w:rsid w:val="00D23977"/>
    <w:rsid w:val="00D2466D"/>
    <w:rsid w:val="00D25641"/>
    <w:rsid w:val="00D25E94"/>
    <w:rsid w:val="00D27B61"/>
    <w:rsid w:val="00D30795"/>
    <w:rsid w:val="00D319C4"/>
    <w:rsid w:val="00D31A08"/>
    <w:rsid w:val="00D31CB4"/>
    <w:rsid w:val="00D31CFB"/>
    <w:rsid w:val="00D31F2B"/>
    <w:rsid w:val="00D327E2"/>
    <w:rsid w:val="00D329BF"/>
    <w:rsid w:val="00D34351"/>
    <w:rsid w:val="00D343FA"/>
    <w:rsid w:val="00D349C8"/>
    <w:rsid w:val="00D35DF5"/>
    <w:rsid w:val="00D35FDA"/>
    <w:rsid w:val="00D36117"/>
    <w:rsid w:val="00D36598"/>
    <w:rsid w:val="00D36F1B"/>
    <w:rsid w:val="00D40CB9"/>
    <w:rsid w:val="00D41515"/>
    <w:rsid w:val="00D418FF"/>
    <w:rsid w:val="00D41A0F"/>
    <w:rsid w:val="00D4304C"/>
    <w:rsid w:val="00D43479"/>
    <w:rsid w:val="00D437AA"/>
    <w:rsid w:val="00D43E95"/>
    <w:rsid w:val="00D442F1"/>
    <w:rsid w:val="00D444D0"/>
    <w:rsid w:val="00D44880"/>
    <w:rsid w:val="00D4592F"/>
    <w:rsid w:val="00D46190"/>
    <w:rsid w:val="00D4637B"/>
    <w:rsid w:val="00D464E4"/>
    <w:rsid w:val="00D4663A"/>
    <w:rsid w:val="00D4688C"/>
    <w:rsid w:val="00D47231"/>
    <w:rsid w:val="00D47AC4"/>
    <w:rsid w:val="00D47C35"/>
    <w:rsid w:val="00D47D68"/>
    <w:rsid w:val="00D50376"/>
    <w:rsid w:val="00D5083F"/>
    <w:rsid w:val="00D50B07"/>
    <w:rsid w:val="00D50E0F"/>
    <w:rsid w:val="00D51233"/>
    <w:rsid w:val="00D51411"/>
    <w:rsid w:val="00D51669"/>
    <w:rsid w:val="00D51E53"/>
    <w:rsid w:val="00D52EF7"/>
    <w:rsid w:val="00D53453"/>
    <w:rsid w:val="00D53FBA"/>
    <w:rsid w:val="00D5499E"/>
    <w:rsid w:val="00D54CD7"/>
    <w:rsid w:val="00D55717"/>
    <w:rsid w:val="00D55A86"/>
    <w:rsid w:val="00D55FEA"/>
    <w:rsid w:val="00D56564"/>
    <w:rsid w:val="00D57897"/>
    <w:rsid w:val="00D60BD5"/>
    <w:rsid w:val="00D60C14"/>
    <w:rsid w:val="00D612F2"/>
    <w:rsid w:val="00D61F78"/>
    <w:rsid w:val="00D628A0"/>
    <w:rsid w:val="00D6330C"/>
    <w:rsid w:val="00D640BE"/>
    <w:rsid w:val="00D648FA"/>
    <w:rsid w:val="00D65C76"/>
    <w:rsid w:val="00D66074"/>
    <w:rsid w:val="00D671DE"/>
    <w:rsid w:val="00D67E10"/>
    <w:rsid w:val="00D7054A"/>
    <w:rsid w:val="00D70CE0"/>
    <w:rsid w:val="00D70E0F"/>
    <w:rsid w:val="00D70F88"/>
    <w:rsid w:val="00D713B6"/>
    <w:rsid w:val="00D71411"/>
    <w:rsid w:val="00D71847"/>
    <w:rsid w:val="00D72FC3"/>
    <w:rsid w:val="00D73015"/>
    <w:rsid w:val="00D734C7"/>
    <w:rsid w:val="00D73B2D"/>
    <w:rsid w:val="00D73FA4"/>
    <w:rsid w:val="00D746D3"/>
    <w:rsid w:val="00D749EA"/>
    <w:rsid w:val="00D76839"/>
    <w:rsid w:val="00D76C98"/>
    <w:rsid w:val="00D77730"/>
    <w:rsid w:val="00D77A2C"/>
    <w:rsid w:val="00D8009E"/>
    <w:rsid w:val="00D81175"/>
    <w:rsid w:val="00D81A67"/>
    <w:rsid w:val="00D81C7D"/>
    <w:rsid w:val="00D82298"/>
    <w:rsid w:val="00D824C4"/>
    <w:rsid w:val="00D8283B"/>
    <w:rsid w:val="00D8305F"/>
    <w:rsid w:val="00D835E9"/>
    <w:rsid w:val="00D83DC9"/>
    <w:rsid w:val="00D84735"/>
    <w:rsid w:val="00D8557F"/>
    <w:rsid w:val="00D860E3"/>
    <w:rsid w:val="00D8633C"/>
    <w:rsid w:val="00D86D3D"/>
    <w:rsid w:val="00D8729A"/>
    <w:rsid w:val="00D877C0"/>
    <w:rsid w:val="00D91C43"/>
    <w:rsid w:val="00D92DC7"/>
    <w:rsid w:val="00D94B5A"/>
    <w:rsid w:val="00D94FC9"/>
    <w:rsid w:val="00D95A99"/>
    <w:rsid w:val="00D95BEF"/>
    <w:rsid w:val="00D96732"/>
    <w:rsid w:val="00D96F2C"/>
    <w:rsid w:val="00DA059C"/>
    <w:rsid w:val="00DA092C"/>
    <w:rsid w:val="00DA0DBB"/>
    <w:rsid w:val="00DA1430"/>
    <w:rsid w:val="00DA23C5"/>
    <w:rsid w:val="00DA284F"/>
    <w:rsid w:val="00DA2F73"/>
    <w:rsid w:val="00DA352A"/>
    <w:rsid w:val="00DA65DE"/>
    <w:rsid w:val="00DA79CB"/>
    <w:rsid w:val="00DA7F76"/>
    <w:rsid w:val="00DB0E9B"/>
    <w:rsid w:val="00DB0F33"/>
    <w:rsid w:val="00DB1507"/>
    <w:rsid w:val="00DB17F8"/>
    <w:rsid w:val="00DB1926"/>
    <w:rsid w:val="00DB1DE3"/>
    <w:rsid w:val="00DB1FAF"/>
    <w:rsid w:val="00DB21A7"/>
    <w:rsid w:val="00DB21F1"/>
    <w:rsid w:val="00DB3282"/>
    <w:rsid w:val="00DB3B3C"/>
    <w:rsid w:val="00DB3DB9"/>
    <w:rsid w:val="00DB53AC"/>
    <w:rsid w:val="00DB553D"/>
    <w:rsid w:val="00DB5F11"/>
    <w:rsid w:val="00DB6D6F"/>
    <w:rsid w:val="00DB7ED9"/>
    <w:rsid w:val="00DC137A"/>
    <w:rsid w:val="00DC20B9"/>
    <w:rsid w:val="00DC2229"/>
    <w:rsid w:val="00DC26F4"/>
    <w:rsid w:val="00DC462F"/>
    <w:rsid w:val="00DC51FC"/>
    <w:rsid w:val="00DC5456"/>
    <w:rsid w:val="00DC555C"/>
    <w:rsid w:val="00DC637F"/>
    <w:rsid w:val="00DC6578"/>
    <w:rsid w:val="00DC7235"/>
    <w:rsid w:val="00DC76E5"/>
    <w:rsid w:val="00DC7BD3"/>
    <w:rsid w:val="00DD17D4"/>
    <w:rsid w:val="00DD1CFA"/>
    <w:rsid w:val="00DD28A0"/>
    <w:rsid w:val="00DD28C1"/>
    <w:rsid w:val="00DD291E"/>
    <w:rsid w:val="00DD2D65"/>
    <w:rsid w:val="00DD3363"/>
    <w:rsid w:val="00DD47A4"/>
    <w:rsid w:val="00DD61ED"/>
    <w:rsid w:val="00DD6A21"/>
    <w:rsid w:val="00DD79AE"/>
    <w:rsid w:val="00DD7C8D"/>
    <w:rsid w:val="00DD7DB0"/>
    <w:rsid w:val="00DE0424"/>
    <w:rsid w:val="00DE06B4"/>
    <w:rsid w:val="00DE0C78"/>
    <w:rsid w:val="00DE0EB0"/>
    <w:rsid w:val="00DE198C"/>
    <w:rsid w:val="00DE2396"/>
    <w:rsid w:val="00DE2727"/>
    <w:rsid w:val="00DE2E33"/>
    <w:rsid w:val="00DE3660"/>
    <w:rsid w:val="00DE3A01"/>
    <w:rsid w:val="00DE3D00"/>
    <w:rsid w:val="00DE498B"/>
    <w:rsid w:val="00DE4D3E"/>
    <w:rsid w:val="00DE538E"/>
    <w:rsid w:val="00DE54D4"/>
    <w:rsid w:val="00DE57B3"/>
    <w:rsid w:val="00DE5A67"/>
    <w:rsid w:val="00DE5F6C"/>
    <w:rsid w:val="00DE60CA"/>
    <w:rsid w:val="00DE62DF"/>
    <w:rsid w:val="00DE7787"/>
    <w:rsid w:val="00DE77AD"/>
    <w:rsid w:val="00DE7B1D"/>
    <w:rsid w:val="00DF0155"/>
    <w:rsid w:val="00DF03CE"/>
    <w:rsid w:val="00DF0808"/>
    <w:rsid w:val="00DF0A2B"/>
    <w:rsid w:val="00DF13C2"/>
    <w:rsid w:val="00DF1D29"/>
    <w:rsid w:val="00DF3A23"/>
    <w:rsid w:val="00DF3C89"/>
    <w:rsid w:val="00DF4030"/>
    <w:rsid w:val="00DF41EE"/>
    <w:rsid w:val="00DF4D55"/>
    <w:rsid w:val="00DF4E18"/>
    <w:rsid w:val="00DF53CC"/>
    <w:rsid w:val="00DF5C78"/>
    <w:rsid w:val="00DF5DF9"/>
    <w:rsid w:val="00DF5EBD"/>
    <w:rsid w:val="00DF614C"/>
    <w:rsid w:val="00DF6291"/>
    <w:rsid w:val="00DF6635"/>
    <w:rsid w:val="00DF69F4"/>
    <w:rsid w:val="00DF7309"/>
    <w:rsid w:val="00E006AC"/>
    <w:rsid w:val="00E00956"/>
    <w:rsid w:val="00E009EF"/>
    <w:rsid w:val="00E00FCF"/>
    <w:rsid w:val="00E00FE8"/>
    <w:rsid w:val="00E01076"/>
    <w:rsid w:val="00E0138E"/>
    <w:rsid w:val="00E013CE"/>
    <w:rsid w:val="00E0181F"/>
    <w:rsid w:val="00E02181"/>
    <w:rsid w:val="00E021A2"/>
    <w:rsid w:val="00E02585"/>
    <w:rsid w:val="00E02C96"/>
    <w:rsid w:val="00E02DF7"/>
    <w:rsid w:val="00E0481C"/>
    <w:rsid w:val="00E0568A"/>
    <w:rsid w:val="00E0575C"/>
    <w:rsid w:val="00E07737"/>
    <w:rsid w:val="00E115B2"/>
    <w:rsid w:val="00E118BB"/>
    <w:rsid w:val="00E11AB2"/>
    <w:rsid w:val="00E12258"/>
    <w:rsid w:val="00E12398"/>
    <w:rsid w:val="00E12601"/>
    <w:rsid w:val="00E132FD"/>
    <w:rsid w:val="00E13E69"/>
    <w:rsid w:val="00E140FE"/>
    <w:rsid w:val="00E14214"/>
    <w:rsid w:val="00E143A9"/>
    <w:rsid w:val="00E15069"/>
    <w:rsid w:val="00E1591C"/>
    <w:rsid w:val="00E15E45"/>
    <w:rsid w:val="00E15F56"/>
    <w:rsid w:val="00E16F8E"/>
    <w:rsid w:val="00E17266"/>
    <w:rsid w:val="00E20834"/>
    <w:rsid w:val="00E20890"/>
    <w:rsid w:val="00E20AB9"/>
    <w:rsid w:val="00E2119A"/>
    <w:rsid w:val="00E220BE"/>
    <w:rsid w:val="00E22D7A"/>
    <w:rsid w:val="00E23F8B"/>
    <w:rsid w:val="00E2444B"/>
    <w:rsid w:val="00E24FA3"/>
    <w:rsid w:val="00E2548A"/>
    <w:rsid w:val="00E25AEE"/>
    <w:rsid w:val="00E25EBE"/>
    <w:rsid w:val="00E26390"/>
    <w:rsid w:val="00E26B28"/>
    <w:rsid w:val="00E26C0E"/>
    <w:rsid w:val="00E27164"/>
    <w:rsid w:val="00E2777E"/>
    <w:rsid w:val="00E3075F"/>
    <w:rsid w:val="00E31043"/>
    <w:rsid w:val="00E31465"/>
    <w:rsid w:val="00E31EF4"/>
    <w:rsid w:val="00E3262F"/>
    <w:rsid w:val="00E328CD"/>
    <w:rsid w:val="00E32904"/>
    <w:rsid w:val="00E32BA2"/>
    <w:rsid w:val="00E32EF6"/>
    <w:rsid w:val="00E33E5F"/>
    <w:rsid w:val="00E3486B"/>
    <w:rsid w:val="00E34FD8"/>
    <w:rsid w:val="00E365D9"/>
    <w:rsid w:val="00E36B95"/>
    <w:rsid w:val="00E36C64"/>
    <w:rsid w:val="00E373D1"/>
    <w:rsid w:val="00E375EF"/>
    <w:rsid w:val="00E37D3E"/>
    <w:rsid w:val="00E4003F"/>
    <w:rsid w:val="00E41F42"/>
    <w:rsid w:val="00E422DA"/>
    <w:rsid w:val="00E42658"/>
    <w:rsid w:val="00E44F6C"/>
    <w:rsid w:val="00E44F96"/>
    <w:rsid w:val="00E45223"/>
    <w:rsid w:val="00E45413"/>
    <w:rsid w:val="00E458F6"/>
    <w:rsid w:val="00E45954"/>
    <w:rsid w:val="00E459A1"/>
    <w:rsid w:val="00E45B8C"/>
    <w:rsid w:val="00E463CC"/>
    <w:rsid w:val="00E46756"/>
    <w:rsid w:val="00E4725F"/>
    <w:rsid w:val="00E47395"/>
    <w:rsid w:val="00E501CE"/>
    <w:rsid w:val="00E50BC4"/>
    <w:rsid w:val="00E50D6B"/>
    <w:rsid w:val="00E514AF"/>
    <w:rsid w:val="00E51729"/>
    <w:rsid w:val="00E51BB4"/>
    <w:rsid w:val="00E52B92"/>
    <w:rsid w:val="00E531C8"/>
    <w:rsid w:val="00E53692"/>
    <w:rsid w:val="00E53C53"/>
    <w:rsid w:val="00E54587"/>
    <w:rsid w:val="00E545AE"/>
    <w:rsid w:val="00E54700"/>
    <w:rsid w:val="00E55DB3"/>
    <w:rsid w:val="00E56B09"/>
    <w:rsid w:val="00E56ED3"/>
    <w:rsid w:val="00E57375"/>
    <w:rsid w:val="00E57412"/>
    <w:rsid w:val="00E57B00"/>
    <w:rsid w:val="00E6019A"/>
    <w:rsid w:val="00E60790"/>
    <w:rsid w:val="00E60F7A"/>
    <w:rsid w:val="00E60FEA"/>
    <w:rsid w:val="00E61BEF"/>
    <w:rsid w:val="00E62A66"/>
    <w:rsid w:val="00E63219"/>
    <w:rsid w:val="00E63469"/>
    <w:rsid w:val="00E640F5"/>
    <w:rsid w:val="00E64661"/>
    <w:rsid w:val="00E65184"/>
    <w:rsid w:val="00E65843"/>
    <w:rsid w:val="00E65D6F"/>
    <w:rsid w:val="00E6792C"/>
    <w:rsid w:val="00E67EC0"/>
    <w:rsid w:val="00E67F8E"/>
    <w:rsid w:val="00E70B57"/>
    <w:rsid w:val="00E7154C"/>
    <w:rsid w:val="00E718F5"/>
    <w:rsid w:val="00E71A07"/>
    <w:rsid w:val="00E72506"/>
    <w:rsid w:val="00E7272E"/>
    <w:rsid w:val="00E72B2C"/>
    <w:rsid w:val="00E730ED"/>
    <w:rsid w:val="00E73A02"/>
    <w:rsid w:val="00E74297"/>
    <w:rsid w:val="00E7439D"/>
    <w:rsid w:val="00E74C01"/>
    <w:rsid w:val="00E7684B"/>
    <w:rsid w:val="00E7685F"/>
    <w:rsid w:val="00E76B8B"/>
    <w:rsid w:val="00E76CE2"/>
    <w:rsid w:val="00E7775D"/>
    <w:rsid w:val="00E777A1"/>
    <w:rsid w:val="00E77DD9"/>
    <w:rsid w:val="00E80850"/>
    <w:rsid w:val="00E80F92"/>
    <w:rsid w:val="00E81D77"/>
    <w:rsid w:val="00E81DD5"/>
    <w:rsid w:val="00E81DE0"/>
    <w:rsid w:val="00E81E92"/>
    <w:rsid w:val="00E8205B"/>
    <w:rsid w:val="00E8260B"/>
    <w:rsid w:val="00E82CAE"/>
    <w:rsid w:val="00E84899"/>
    <w:rsid w:val="00E84D6A"/>
    <w:rsid w:val="00E85066"/>
    <w:rsid w:val="00E862B9"/>
    <w:rsid w:val="00E8715B"/>
    <w:rsid w:val="00E90E2E"/>
    <w:rsid w:val="00E91759"/>
    <w:rsid w:val="00E922B7"/>
    <w:rsid w:val="00E93710"/>
    <w:rsid w:val="00E9384E"/>
    <w:rsid w:val="00E93B05"/>
    <w:rsid w:val="00E93E3D"/>
    <w:rsid w:val="00E9400E"/>
    <w:rsid w:val="00E9430C"/>
    <w:rsid w:val="00E948F7"/>
    <w:rsid w:val="00E959CC"/>
    <w:rsid w:val="00E967AB"/>
    <w:rsid w:val="00EA0374"/>
    <w:rsid w:val="00EA0391"/>
    <w:rsid w:val="00EA0F30"/>
    <w:rsid w:val="00EA147B"/>
    <w:rsid w:val="00EA1AF0"/>
    <w:rsid w:val="00EA1F78"/>
    <w:rsid w:val="00EA34B8"/>
    <w:rsid w:val="00EA3D78"/>
    <w:rsid w:val="00EA3F95"/>
    <w:rsid w:val="00EA4077"/>
    <w:rsid w:val="00EA44D9"/>
    <w:rsid w:val="00EA4C2B"/>
    <w:rsid w:val="00EA5359"/>
    <w:rsid w:val="00EA55AA"/>
    <w:rsid w:val="00EA5D47"/>
    <w:rsid w:val="00EA6748"/>
    <w:rsid w:val="00EA713E"/>
    <w:rsid w:val="00EA71BC"/>
    <w:rsid w:val="00EA760B"/>
    <w:rsid w:val="00EB28B3"/>
    <w:rsid w:val="00EB3114"/>
    <w:rsid w:val="00EB365A"/>
    <w:rsid w:val="00EB3D07"/>
    <w:rsid w:val="00EB4606"/>
    <w:rsid w:val="00EB588A"/>
    <w:rsid w:val="00EB59B4"/>
    <w:rsid w:val="00EB5DF8"/>
    <w:rsid w:val="00EB6A76"/>
    <w:rsid w:val="00EC0B96"/>
    <w:rsid w:val="00EC1332"/>
    <w:rsid w:val="00EC2BB9"/>
    <w:rsid w:val="00EC489F"/>
    <w:rsid w:val="00EC4956"/>
    <w:rsid w:val="00EC49FB"/>
    <w:rsid w:val="00EC4F68"/>
    <w:rsid w:val="00EC56F9"/>
    <w:rsid w:val="00EC58BB"/>
    <w:rsid w:val="00EC6CD6"/>
    <w:rsid w:val="00EC6F01"/>
    <w:rsid w:val="00EC71EC"/>
    <w:rsid w:val="00EC72E1"/>
    <w:rsid w:val="00EC75EF"/>
    <w:rsid w:val="00ED0713"/>
    <w:rsid w:val="00ED14D2"/>
    <w:rsid w:val="00ED1BF5"/>
    <w:rsid w:val="00ED4101"/>
    <w:rsid w:val="00ED4946"/>
    <w:rsid w:val="00ED53A2"/>
    <w:rsid w:val="00ED5D26"/>
    <w:rsid w:val="00ED784D"/>
    <w:rsid w:val="00ED7CC6"/>
    <w:rsid w:val="00EE042A"/>
    <w:rsid w:val="00EE0B74"/>
    <w:rsid w:val="00EE1F8B"/>
    <w:rsid w:val="00EE2192"/>
    <w:rsid w:val="00EE2894"/>
    <w:rsid w:val="00EE30A9"/>
    <w:rsid w:val="00EE38E6"/>
    <w:rsid w:val="00EE3E49"/>
    <w:rsid w:val="00EE3E5A"/>
    <w:rsid w:val="00EE42CB"/>
    <w:rsid w:val="00EE449F"/>
    <w:rsid w:val="00EE458B"/>
    <w:rsid w:val="00EE4841"/>
    <w:rsid w:val="00EE4BAA"/>
    <w:rsid w:val="00EE7244"/>
    <w:rsid w:val="00EF0003"/>
    <w:rsid w:val="00EF0281"/>
    <w:rsid w:val="00EF0373"/>
    <w:rsid w:val="00EF0A63"/>
    <w:rsid w:val="00EF0B90"/>
    <w:rsid w:val="00EF0EFF"/>
    <w:rsid w:val="00EF0FA3"/>
    <w:rsid w:val="00EF0FBB"/>
    <w:rsid w:val="00EF1435"/>
    <w:rsid w:val="00EF16A5"/>
    <w:rsid w:val="00EF1BE3"/>
    <w:rsid w:val="00EF1E83"/>
    <w:rsid w:val="00EF2A48"/>
    <w:rsid w:val="00EF36D3"/>
    <w:rsid w:val="00EF3811"/>
    <w:rsid w:val="00EF3BE2"/>
    <w:rsid w:val="00EF4E61"/>
    <w:rsid w:val="00EF5F23"/>
    <w:rsid w:val="00EF6306"/>
    <w:rsid w:val="00EF65BF"/>
    <w:rsid w:val="00EF6D6D"/>
    <w:rsid w:val="00F00772"/>
    <w:rsid w:val="00F012A1"/>
    <w:rsid w:val="00F018B2"/>
    <w:rsid w:val="00F01ABC"/>
    <w:rsid w:val="00F026F7"/>
    <w:rsid w:val="00F0325B"/>
    <w:rsid w:val="00F04A18"/>
    <w:rsid w:val="00F04C5C"/>
    <w:rsid w:val="00F050F0"/>
    <w:rsid w:val="00F05B4F"/>
    <w:rsid w:val="00F06D83"/>
    <w:rsid w:val="00F06F7C"/>
    <w:rsid w:val="00F07181"/>
    <w:rsid w:val="00F07860"/>
    <w:rsid w:val="00F07F96"/>
    <w:rsid w:val="00F100D9"/>
    <w:rsid w:val="00F1115A"/>
    <w:rsid w:val="00F125BB"/>
    <w:rsid w:val="00F128C8"/>
    <w:rsid w:val="00F13446"/>
    <w:rsid w:val="00F13A0F"/>
    <w:rsid w:val="00F14B11"/>
    <w:rsid w:val="00F14C6D"/>
    <w:rsid w:val="00F15B74"/>
    <w:rsid w:val="00F15C99"/>
    <w:rsid w:val="00F15F14"/>
    <w:rsid w:val="00F15F85"/>
    <w:rsid w:val="00F16098"/>
    <w:rsid w:val="00F16110"/>
    <w:rsid w:val="00F16FC1"/>
    <w:rsid w:val="00F17783"/>
    <w:rsid w:val="00F2099E"/>
    <w:rsid w:val="00F20DD1"/>
    <w:rsid w:val="00F21358"/>
    <w:rsid w:val="00F21E2F"/>
    <w:rsid w:val="00F21F55"/>
    <w:rsid w:val="00F2256B"/>
    <w:rsid w:val="00F22722"/>
    <w:rsid w:val="00F22F4B"/>
    <w:rsid w:val="00F23EBA"/>
    <w:rsid w:val="00F25587"/>
    <w:rsid w:val="00F25845"/>
    <w:rsid w:val="00F25F1B"/>
    <w:rsid w:val="00F26CB3"/>
    <w:rsid w:val="00F2719C"/>
    <w:rsid w:val="00F277FA"/>
    <w:rsid w:val="00F3044C"/>
    <w:rsid w:val="00F32F2C"/>
    <w:rsid w:val="00F34BC9"/>
    <w:rsid w:val="00F35087"/>
    <w:rsid w:val="00F35221"/>
    <w:rsid w:val="00F35584"/>
    <w:rsid w:val="00F36476"/>
    <w:rsid w:val="00F3743C"/>
    <w:rsid w:val="00F37CC4"/>
    <w:rsid w:val="00F425BD"/>
    <w:rsid w:val="00F42B27"/>
    <w:rsid w:val="00F42F28"/>
    <w:rsid w:val="00F42F2E"/>
    <w:rsid w:val="00F43915"/>
    <w:rsid w:val="00F439E0"/>
    <w:rsid w:val="00F43C67"/>
    <w:rsid w:val="00F43DF0"/>
    <w:rsid w:val="00F441A6"/>
    <w:rsid w:val="00F44624"/>
    <w:rsid w:val="00F46025"/>
    <w:rsid w:val="00F46042"/>
    <w:rsid w:val="00F4722D"/>
    <w:rsid w:val="00F4784E"/>
    <w:rsid w:val="00F47A34"/>
    <w:rsid w:val="00F47CEB"/>
    <w:rsid w:val="00F47F3C"/>
    <w:rsid w:val="00F50C3E"/>
    <w:rsid w:val="00F51779"/>
    <w:rsid w:val="00F52774"/>
    <w:rsid w:val="00F52AA5"/>
    <w:rsid w:val="00F53B86"/>
    <w:rsid w:val="00F54E76"/>
    <w:rsid w:val="00F54E86"/>
    <w:rsid w:val="00F55E0E"/>
    <w:rsid w:val="00F604FD"/>
    <w:rsid w:val="00F60DB2"/>
    <w:rsid w:val="00F62B99"/>
    <w:rsid w:val="00F62D3C"/>
    <w:rsid w:val="00F63B3C"/>
    <w:rsid w:val="00F6523F"/>
    <w:rsid w:val="00F65AE1"/>
    <w:rsid w:val="00F65C15"/>
    <w:rsid w:val="00F664F4"/>
    <w:rsid w:val="00F66A5A"/>
    <w:rsid w:val="00F67112"/>
    <w:rsid w:val="00F67DA4"/>
    <w:rsid w:val="00F703C1"/>
    <w:rsid w:val="00F70CB5"/>
    <w:rsid w:val="00F70D57"/>
    <w:rsid w:val="00F70DD6"/>
    <w:rsid w:val="00F71282"/>
    <w:rsid w:val="00F713EB"/>
    <w:rsid w:val="00F71CF4"/>
    <w:rsid w:val="00F720BE"/>
    <w:rsid w:val="00F72F4B"/>
    <w:rsid w:val="00F73DFC"/>
    <w:rsid w:val="00F7413D"/>
    <w:rsid w:val="00F74260"/>
    <w:rsid w:val="00F74F27"/>
    <w:rsid w:val="00F753C1"/>
    <w:rsid w:val="00F7595E"/>
    <w:rsid w:val="00F75CF9"/>
    <w:rsid w:val="00F762BE"/>
    <w:rsid w:val="00F768B1"/>
    <w:rsid w:val="00F76968"/>
    <w:rsid w:val="00F7756A"/>
    <w:rsid w:val="00F7757C"/>
    <w:rsid w:val="00F77D3D"/>
    <w:rsid w:val="00F800F3"/>
    <w:rsid w:val="00F80303"/>
    <w:rsid w:val="00F804B0"/>
    <w:rsid w:val="00F80943"/>
    <w:rsid w:val="00F81250"/>
    <w:rsid w:val="00F815AD"/>
    <w:rsid w:val="00F81F87"/>
    <w:rsid w:val="00F81FF4"/>
    <w:rsid w:val="00F823E2"/>
    <w:rsid w:val="00F8266D"/>
    <w:rsid w:val="00F82AD7"/>
    <w:rsid w:val="00F8302E"/>
    <w:rsid w:val="00F83331"/>
    <w:rsid w:val="00F834A2"/>
    <w:rsid w:val="00F835D8"/>
    <w:rsid w:val="00F840FF"/>
    <w:rsid w:val="00F84541"/>
    <w:rsid w:val="00F852E2"/>
    <w:rsid w:val="00F85D82"/>
    <w:rsid w:val="00F86884"/>
    <w:rsid w:val="00F86A52"/>
    <w:rsid w:val="00F86B6A"/>
    <w:rsid w:val="00F90303"/>
    <w:rsid w:val="00F91BAC"/>
    <w:rsid w:val="00F91BF4"/>
    <w:rsid w:val="00F91DED"/>
    <w:rsid w:val="00F93C98"/>
    <w:rsid w:val="00F9461D"/>
    <w:rsid w:val="00F95E42"/>
    <w:rsid w:val="00F964CB"/>
    <w:rsid w:val="00F96605"/>
    <w:rsid w:val="00F96672"/>
    <w:rsid w:val="00F9668F"/>
    <w:rsid w:val="00F9682F"/>
    <w:rsid w:val="00F96B80"/>
    <w:rsid w:val="00F97589"/>
    <w:rsid w:val="00F97997"/>
    <w:rsid w:val="00F97B9C"/>
    <w:rsid w:val="00FA0143"/>
    <w:rsid w:val="00FA0F5A"/>
    <w:rsid w:val="00FA13DF"/>
    <w:rsid w:val="00FA1490"/>
    <w:rsid w:val="00FA20C6"/>
    <w:rsid w:val="00FA3BA8"/>
    <w:rsid w:val="00FA3F83"/>
    <w:rsid w:val="00FA3FC7"/>
    <w:rsid w:val="00FA4804"/>
    <w:rsid w:val="00FA4916"/>
    <w:rsid w:val="00FA4FFD"/>
    <w:rsid w:val="00FA5139"/>
    <w:rsid w:val="00FA5F6D"/>
    <w:rsid w:val="00FA6F79"/>
    <w:rsid w:val="00FA79DA"/>
    <w:rsid w:val="00FB003C"/>
    <w:rsid w:val="00FB1457"/>
    <w:rsid w:val="00FB1CE3"/>
    <w:rsid w:val="00FB1D1A"/>
    <w:rsid w:val="00FB23F1"/>
    <w:rsid w:val="00FB24EA"/>
    <w:rsid w:val="00FB2685"/>
    <w:rsid w:val="00FB2E25"/>
    <w:rsid w:val="00FB2E85"/>
    <w:rsid w:val="00FB3247"/>
    <w:rsid w:val="00FB33AF"/>
    <w:rsid w:val="00FB39FE"/>
    <w:rsid w:val="00FB5055"/>
    <w:rsid w:val="00FB5417"/>
    <w:rsid w:val="00FB5CF6"/>
    <w:rsid w:val="00FB5E00"/>
    <w:rsid w:val="00FB67F7"/>
    <w:rsid w:val="00FB6842"/>
    <w:rsid w:val="00FC0261"/>
    <w:rsid w:val="00FC0438"/>
    <w:rsid w:val="00FC07F1"/>
    <w:rsid w:val="00FC0E11"/>
    <w:rsid w:val="00FC1185"/>
    <w:rsid w:val="00FC2BC0"/>
    <w:rsid w:val="00FC2D2B"/>
    <w:rsid w:val="00FC3419"/>
    <w:rsid w:val="00FC5516"/>
    <w:rsid w:val="00FC599F"/>
    <w:rsid w:val="00FC5A53"/>
    <w:rsid w:val="00FC623F"/>
    <w:rsid w:val="00FC667F"/>
    <w:rsid w:val="00FC6C68"/>
    <w:rsid w:val="00FC6F27"/>
    <w:rsid w:val="00FC77D6"/>
    <w:rsid w:val="00FD0169"/>
    <w:rsid w:val="00FD01B5"/>
    <w:rsid w:val="00FD12CF"/>
    <w:rsid w:val="00FD17AD"/>
    <w:rsid w:val="00FD2BB9"/>
    <w:rsid w:val="00FD2F48"/>
    <w:rsid w:val="00FD3257"/>
    <w:rsid w:val="00FD3709"/>
    <w:rsid w:val="00FD498B"/>
    <w:rsid w:val="00FD4A13"/>
    <w:rsid w:val="00FD5471"/>
    <w:rsid w:val="00FD5CE0"/>
    <w:rsid w:val="00FD628E"/>
    <w:rsid w:val="00FD6483"/>
    <w:rsid w:val="00FD655F"/>
    <w:rsid w:val="00FD66CB"/>
    <w:rsid w:val="00FD77AE"/>
    <w:rsid w:val="00FE0876"/>
    <w:rsid w:val="00FE1642"/>
    <w:rsid w:val="00FE2CEF"/>
    <w:rsid w:val="00FE2E1C"/>
    <w:rsid w:val="00FE3169"/>
    <w:rsid w:val="00FE417A"/>
    <w:rsid w:val="00FE43BA"/>
    <w:rsid w:val="00FE4EFA"/>
    <w:rsid w:val="00FE55D5"/>
    <w:rsid w:val="00FE6805"/>
    <w:rsid w:val="00FE6F68"/>
    <w:rsid w:val="00FF1129"/>
    <w:rsid w:val="00FF165B"/>
    <w:rsid w:val="00FF2935"/>
    <w:rsid w:val="00FF295E"/>
    <w:rsid w:val="00FF2E24"/>
    <w:rsid w:val="00FF312A"/>
    <w:rsid w:val="00FF3982"/>
    <w:rsid w:val="00FF51E7"/>
    <w:rsid w:val="00FF521C"/>
    <w:rsid w:val="00FF54D9"/>
    <w:rsid w:val="00FF5F4F"/>
    <w:rsid w:val="00FF5FF8"/>
    <w:rsid w:val="00FF650C"/>
    <w:rsid w:val="00FF66DC"/>
    <w:rsid w:val="00FF6C4F"/>
    <w:rsid w:val="00FF6F13"/>
    <w:rsid w:val="00FF783F"/>
    <w:rsid w:val="037EBEF5"/>
    <w:rsid w:val="0429F18C"/>
    <w:rsid w:val="065C624B"/>
    <w:rsid w:val="073B51D2"/>
    <w:rsid w:val="07CA5E0B"/>
    <w:rsid w:val="094919B0"/>
    <w:rsid w:val="0A7F6B1A"/>
    <w:rsid w:val="0B2E5F98"/>
    <w:rsid w:val="0B878B2B"/>
    <w:rsid w:val="138CE26E"/>
    <w:rsid w:val="13AE4D52"/>
    <w:rsid w:val="146E9BFE"/>
    <w:rsid w:val="1478C03D"/>
    <w:rsid w:val="15CE81B6"/>
    <w:rsid w:val="178FD967"/>
    <w:rsid w:val="18FDBEDC"/>
    <w:rsid w:val="19D61AEF"/>
    <w:rsid w:val="1A6035BD"/>
    <w:rsid w:val="1B3D0485"/>
    <w:rsid w:val="1BD7E532"/>
    <w:rsid w:val="1C6C9C18"/>
    <w:rsid w:val="1E393067"/>
    <w:rsid w:val="1E8EF58A"/>
    <w:rsid w:val="1FA83ED4"/>
    <w:rsid w:val="244335DF"/>
    <w:rsid w:val="251FA5EE"/>
    <w:rsid w:val="266EB2F9"/>
    <w:rsid w:val="266F90B3"/>
    <w:rsid w:val="27247035"/>
    <w:rsid w:val="29872D40"/>
    <w:rsid w:val="2AB08CD1"/>
    <w:rsid w:val="2C3DDCE9"/>
    <w:rsid w:val="2DEC6CB7"/>
    <w:rsid w:val="30093963"/>
    <w:rsid w:val="33700C5E"/>
    <w:rsid w:val="33CEB8C1"/>
    <w:rsid w:val="35EA20FD"/>
    <w:rsid w:val="38974E63"/>
    <w:rsid w:val="39AF6C4E"/>
    <w:rsid w:val="3AA94752"/>
    <w:rsid w:val="3B4C4B7F"/>
    <w:rsid w:val="3D18C4C4"/>
    <w:rsid w:val="3D8DB790"/>
    <w:rsid w:val="3EF9B193"/>
    <w:rsid w:val="40A59B00"/>
    <w:rsid w:val="42602B85"/>
    <w:rsid w:val="428A533F"/>
    <w:rsid w:val="42A2386C"/>
    <w:rsid w:val="442CD970"/>
    <w:rsid w:val="44EA9F41"/>
    <w:rsid w:val="49DBAA17"/>
    <w:rsid w:val="4BDF1F41"/>
    <w:rsid w:val="4DDE21B9"/>
    <w:rsid w:val="4FF57B45"/>
    <w:rsid w:val="53DC3644"/>
    <w:rsid w:val="57E7A910"/>
    <w:rsid w:val="593091CA"/>
    <w:rsid w:val="59BEADA6"/>
    <w:rsid w:val="5A24D67A"/>
    <w:rsid w:val="5A578465"/>
    <w:rsid w:val="5AD4ED75"/>
    <w:rsid w:val="5B483279"/>
    <w:rsid w:val="5DC5AA2B"/>
    <w:rsid w:val="5DEDF35A"/>
    <w:rsid w:val="5E118D10"/>
    <w:rsid w:val="5EFD7C95"/>
    <w:rsid w:val="5FEF6C86"/>
    <w:rsid w:val="5FFA31F0"/>
    <w:rsid w:val="604CE693"/>
    <w:rsid w:val="610FFCFB"/>
    <w:rsid w:val="62656783"/>
    <w:rsid w:val="641ACA49"/>
    <w:rsid w:val="65FCA979"/>
    <w:rsid w:val="687D7077"/>
    <w:rsid w:val="68FBFAF8"/>
    <w:rsid w:val="6B8C07E3"/>
    <w:rsid w:val="6DA83273"/>
    <w:rsid w:val="6E54426C"/>
    <w:rsid w:val="6E95E4B6"/>
    <w:rsid w:val="6F2AC574"/>
    <w:rsid w:val="70767DAE"/>
    <w:rsid w:val="70DC9867"/>
    <w:rsid w:val="723E4DD8"/>
    <w:rsid w:val="728834BB"/>
    <w:rsid w:val="72B8BF0D"/>
    <w:rsid w:val="7490EA14"/>
    <w:rsid w:val="752671FA"/>
    <w:rsid w:val="77AE2610"/>
    <w:rsid w:val="794A3EF5"/>
    <w:rsid w:val="79AA8ACC"/>
    <w:rsid w:val="7A62EABF"/>
    <w:rsid w:val="7DDE40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39CA00"/>
  <w15:chartTrackingRefBased/>
  <w15:docId w15:val="{3146F818-0424-4AC6-BE34-4F32EADD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qFormat="1"/>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2BE"/>
    <w:pPr>
      <w:keepLines/>
      <w:spacing w:before="240" w:after="240"/>
    </w:pPr>
    <w:rPr>
      <w:rFonts w:ascii="Open Sans" w:eastAsia="MS Mincho" w:hAnsi="Open Sans"/>
      <w:sz w:val="24"/>
      <w:szCs w:val="24"/>
    </w:rPr>
  </w:style>
  <w:style w:type="paragraph" w:styleId="Heading1">
    <w:name w:val="heading 1"/>
    <w:basedOn w:val="Normal"/>
    <w:next w:val="Normal"/>
    <w:link w:val="Heading1Char"/>
    <w:qFormat/>
    <w:rsid w:val="00F277FA"/>
    <w:pPr>
      <w:keepNext/>
      <w:numPr>
        <w:numId w:val="1"/>
      </w:numPr>
      <w:spacing w:before="360"/>
      <w:ind w:left="720" w:hanging="720"/>
      <w:outlineLvl w:val="0"/>
    </w:pPr>
    <w:rPr>
      <w:rFonts w:ascii="Open Sans Semibold" w:hAnsi="Open Sans Semibold"/>
      <w:b/>
      <w:bCs/>
      <w:color w:val="F06F1B"/>
      <w:sz w:val="36"/>
      <w:szCs w:val="28"/>
    </w:rPr>
  </w:style>
  <w:style w:type="paragraph" w:styleId="Heading2">
    <w:name w:val="heading 2"/>
    <w:basedOn w:val="Heading1"/>
    <w:next w:val="Normal"/>
    <w:link w:val="Heading2Char"/>
    <w:qFormat/>
    <w:rsid w:val="00F277FA"/>
    <w:pPr>
      <w:numPr>
        <w:ilvl w:val="1"/>
      </w:numPr>
      <w:ind w:left="720" w:hanging="720"/>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F277FA"/>
    <w:pPr>
      <w:numPr>
        <w:ilvl w:val="3"/>
      </w:numPr>
      <w:ind w:left="720" w:hanging="720"/>
      <w:outlineLvl w:val="3"/>
    </w:pPr>
    <w:rPr>
      <w:b/>
      <w:bCs w:val="0"/>
      <w:i/>
      <w:iCs/>
      <w:color w:val="F06F1B"/>
    </w:rPr>
  </w:style>
  <w:style w:type="paragraph" w:styleId="Heading5">
    <w:name w:val="heading 5"/>
    <w:basedOn w:val="Normal"/>
    <w:next w:val="Normal"/>
    <w:link w:val="Heading5Char"/>
    <w:qFormat/>
    <w:locked/>
    <w:rsid w:val="007152E8"/>
    <w:pPr>
      <w:keepNext/>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7152E8"/>
    <w:pPr>
      <w:keepNext/>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7152E8"/>
    <w:pPr>
      <w:keepNext/>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7152E8"/>
    <w:pPr>
      <w:keepNext/>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7152E8"/>
    <w:pPr>
      <w:keepNext/>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7FA"/>
    <w:rPr>
      <w:rFonts w:ascii="Open Sans Semibold" w:eastAsia="MS Mincho" w:hAnsi="Open Sans Semibold"/>
      <w:b/>
      <w:bCs/>
      <w:color w:val="F06F1B"/>
      <w:sz w:val="36"/>
      <w:szCs w:val="28"/>
    </w:rPr>
  </w:style>
  <w:style w:type="character" w:customStyle="1" w:styleId="Heading2Char">
    <w:name w:val="Heading 2 Char"/>
    <w:link w:val="Heading2"/>
    <w:rsid w:val="00F277FA"/>
    <w:rPr>
      <w:rFonts w:ascii="Open Sans" w:eastAsia="MS Mincho" w:hAnsi="Open Sans"/>
      <w:color w:val="F06F1B"/>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F277FA"/>
    <w:rPr>
      <w:rFonts w:ascii="Open Sans Semibold" w:eastAsia="MS Mincho" w:hAnsi="Open Sans Semibold"/>
      <w:b/>
      <w:i/>
      <w:iCs/>
      <w:color w:val="F06F1B"/>
      <w:sz w:val="24"/>
      <w:szCs w:val="26"/>
    </w:rPr>
  </w:style>
  <w:style w:type="character" w:styleId="Strong">
    <w:name w:val="Strong"/>
    <w:uiPriority w:val="22"/>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C460F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487E91"/>
    <w:pPr>
      <w:tabs>
        <w:tab w:val="right" w:leader="dot" w:pos="9060"/>
      </w:tabs>
      <w:spacing w:before="0" w:after="0"/>
      <w:ind w:left="1440" w:hanging="720"/>
    </w:pPr>
    <w:rPr>
      <w:noProof/>
      <w:sz w:val="22"/>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1737C1"/>
    <w:rPr>
      <w:color w:val="F06F1B"/>
      <w:u w:val="non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qFormat/>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qFormat/>
    <w:rsid w:val="00506E90"/>
    <w:rPr>
      <w:rFonts w:ascii="Open Sans" w:hAnsi="Open Sans"/>
      <w:b w:val="0"/>
      <w:i w:val="0"/>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uiPriority w:val="1"/>
    <w:qFormat/>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link w:val="DateChar"/>
    <w:semiHidden/>
    <w:locked/>
    <w:rsid w:val="00C33104"/>
    <w:pPr>
      <w:spacing w:before="120" w:after="120"/>
      <w:jc w:val="right"/>
    </w:pPr>
    <w:rPr>
      <w:color w:val="595959"/>
      <w:sz w:val="26"/>
    </w:rPr>
  </w:style>
  <w:style w:type="paragraph" w:styleId="E-mailSignature">
    <w:name w:val="E-mail Signature"/>
    <w:basedOn w:val="Normal"/>
    <w:link w:val="E-mailSignatureChar"/>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link w:val="FootnoteTextChar"/>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uiPriority w:val="99"/>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paragraph" w:styleId="ListParagraph">
    <w:name w:val="List Paragraph"/>
    <w:aliases w:val="L,List Paragraph1,List Paragraph11,Recommendation,EOT List Paragraph,Bullet point,List Paragraph Number,#List Paragraph,Number,List Paragraph111,F5 List Paragraph,Dot pt,CV text,Table text,Medium Grid 1 - Accent 21,Numbered Paragraph"/>
    <w:basedOn w:val="Normal"/>
    <w:link w:val="ListParagraphChar"/>
    <w:uiPriority w:val="34"/>
    <w:qFormat/>
    <w:rsid w:val="00485E58"/>
    <w:pPr>
      <w:ind w:left="720"/>
      <w:contextualSpacing/>
    </w:pPr>
  </w:style>
  <w:style w:type="table" w:styleId="GridTable2-Accent1">
    <w:name w:val="Grid Table 2 Accent 1"/>
    <w:basedOn w:val="TableNormal"/>
    <w:uiPriority w:val="47"/>
    <w:rsid w:val="00163C91"/>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ghtGrid-Accent1">
    <w:name w:val="Light Grid Accent 1"/>
    <w:basedOn w:val="TableNormal"/>
    <w:uiPriority w:val="62"/>
    <w:rsid w:val="00B86A8A"/>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character" w:customStyle="1" w:styleId="DateChar">
    <w:name w:val="Date Char"/>
    <w:link w:val="Date"/>
    <w:semiHidden/>
    <w:rsid w:val="00343DBD"/>
    <w:rPr>
      <w:rFonts w:ascii="Arial" w:eastAsia="MS Mincho" w:hAnsi="Arial"/>
      <w:color w:val="595959"/>
      <w:sz w:val="26"/>
      <w:szCs w:val="24"/>
    </w:rPr>
  </w:style>
  <w:style w:type="character" w:customStyle="1" w:styleId="ListParagraphChar">
    <w:name w:val="List Paragraph Char"/>
    <w:aliases w:val="L Char,List Paragraph1 Char,List Paragraph11 Char,Recommendation Char,EOT List Paragraph Char,Bullet point Char,List Paragraph Number Char,#List Paragraph Char,Number Char,List Paragraph111 Char,F5 List Paragraph Char,Dot pt Char"/>
    <w:link w:val="ListParagraph"/>
    <w:uiPriority w:val="34"/>
    <w:qFormat/>
    <w:rsid w:val="00343DBD"/>
    <w:rPr>
      <w:rFonts w:ascii="Arial" w:eastAsia="MS Mincho" w:hAnsi="Arial"/>
      <w:sz w:val="24"/>
      <w:szCs w:val="24"/>
    </w:rPr>
  </w:style>
  <w:style w:type="table" w:styleId="GridTable6Colorful-Accent1">
    <w:name w:val="Grid Table 6 Colorful Accent 1"/>
    <w:basedOn w:val="TableNormal"/>
    <w:uiPriority w:val="51"/>
    <w:rsid w:val="00343DBD"/>
    <w:rPr>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MediumGrid1-Accent1">
    <w:name w:val="Medium Grid 1 Accent 1"/>
    <w:basedOn w:val="TableNormal"/>
    <w:uiPriority w:val="67"/>
    <w:rsid w:val="00F32F2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dTable1Light-Accent1">
    <w:name w:val="Grid Table 1 Light Accent 1"/>
    <w:basedOn w:val="TableNormal"/>
    <w:uiPriority w:val="46"/>
    <w:rsid w:val="0000168C"/>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601A0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noteTextChar">
    <w:name w:val="Footnote Text Char"/>
    <w:link w:val="FootnoteText"/>
    <w:semiHidden/>
    <w:rsid w:val="00705B08"/>
    <w:rPr>
      <w:rFonts w:ascii="Arial" w:eastAsia="MS Mincho" w:hAnsi="Arial"/>
    </w:rPr>
  </w:style>
  <w:style w:type="table" w:styleId="GridTable6Colorful-Accent5">
    <w:name w:val="Grid Table 6 Colorful Accent 5"/>
    <w:basedOn w:val="TableNormal"/>
    <w:uiPriority w:val="51"/>
    <w:rsid w:val="00BA7141"/>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7Colorful-Accent5">
    <w:name w:val="Grid Table 7 Colorful Accent 5"/>
    <w:basedOn w:val="TableNormal"/>
    <w:uiPriority w:val="52"/>
    <w:rsid w:val="00BA7141"/>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character" w:customStyle="1" w:styleId="E-mailSignatureChar">
    <w:name w:val="E-mail Signature Char"/>
    <w:link w:val="E-mailSignature"/>
    <w:semiHidden/>
    <w:rsid w:val="006353EA"/>
    <w:rPr>
      <w:rFonts w:ascii="Arial" w:eastAsia="MS Mincho" w:hAnsi="Arial"/>
      <w:sz w:val="24"/>
      <w:szCs w:val="24"/>
    </w:rPr>
  </w:style>
  <w:style w:type="character" w:customStyle="1" w:styleId="TitleChar">
    <w:name w:val="Title Char"/>
    <w:link w:val="Title"/>
    <w:rsid w:val="006353EA"/>
    <w:rPr>
      <w:rFonts w:ascii="Arial" w:eastAsia="MS Mincho" w:hAnsi="Arial" w:cs="Arial"/>
      <w:b/>
      <w:bCs/>
      <w:kern w:val="28"/>
      <w:sz w:val="32"/>
      <w:szCs w:val="32"/>
    </w:rPr>
  </w:style>
  <w:style w:type="table" w:styleId="MediumGrid3-Accent1">
    <w:name w:val="Medium Grid 3 Accent 1"/>
    <w:basedOn w:val="TableNormal"/>
    <w:uiPriority w:val="69"/>
    <w:rsid w:val="006353E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3">
    <w:name w:val="Medium Grid 3 Accent 3"/>
    <w:basedOn w:val="TableNormal"/>
    <w:uiPriority w:val="69"/>
    <w:rsid w:val="006353E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uiPriority w:val="69"/>
    <w:rsid w:val="006353E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dTable5Dark-Accent4">
    <w:name w:val="Grid Table 5 Dark Accent 4"/>
    <w:basedOn w:val="TableNormal"/>
    <w:uiPriority w:val="50"/>
    <w:rsid w:val="006C49C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paragraph" w:customStyle="1" w:styleId="BoxText">
    <w:name w:val="Box Text"/>
    <w:basedOn w:val="Normal"/>
    <w:rsid w:val="006969A8"/>
    <w:pPr>
      <w:spacing w:before="60" w:after="60"/>
    </w:pPr>
    <w:rPr>
      <w:rFonts w:ascii="Calibri" w:eastAsia="Times New Roman" w:hAnsi="Calibri"/>
      <w:color w:val="000000"/>
      <w:sz w:val="16"/>
      <w:szCs w:val="20"/>
    </w:rPr>
  </w:style>
  <w:style w:type="character" w:styleId="CommentReference">
    <w:name w:val="annotation reference"/>
    <w:basedOn w:val="DefaultParagraphFont"/>
    <w:locked/>
    <w:rsid w:val="00260AB4"/>
    <w:rPr>
      <w:sz w:val="16"/>
      <w:szCs w:val="16"/>
    </w:rPr>
  </w:style>
  <w:style w:type="paragraph" w:styleId="CommentText">
    <w:name w:val="annotation text"/>
    <w:basedOn w:val="Normal"/>
    <w:link w:val="CommentTextChar"/>
    <w:locked/>
    <w:rsid w:val="00260AB4"/>
    <w:rPr>
      <w:sz w:val="20"/>
      <w:szCs w:val="20"/>
    </w:rPr>
  </w:style>
  <w:style w:type="character" w:customStyle="1" w:styleId="CommentTextChar">
    <w:name w:val="Comment Text Char"/>
    <w:basedOn w:val="DefaultParagraphFont"/>
    <w:link w:val="CommentText"/>
    <w:rsid w:val="00260AB4"/>
    <w:rPr>
      <w:rFonts w:ascii="Arial" w:eastAsia="MS Mincho" w:hAnsi="Arial"/>
    </w:rPr>
  </w:style>
  <w:style w:type="paragraph" w:styleId="CommentSubject">
    <w:name w:val="annotation subject"/>
    <w:basedOn w:val="CommentText"/>
    <w:next w:val="CommentText"/>
    <w:link w:val="CommentSubjectChar"/>
    <w:locked/>
    <w:rsid w:val="00260AB4"/>
    <w:rPr>
      <w:b/>
      <w:bCs/>
    </w:rPr>
  </w:style>
  <w:style w:type="character" w:customStyle="1" w:styleId="CommentSubjectChar">
    <w:name w:val="Comment Subject Char"/>
    <w:basedOn w:val="CommentTextChar"/>
    <w:link w:val="CommentSubject"/>
    <w:rsid w:val="00260AB4"/>
    <w:rPr>
      <w:rFonts w:ascii="Arial" w:eastAsia="MS Mincho" w:hAnsi="Arial"/>
      <w:b/>
      <w:bCs/>
    </w:rPr>
  </w:style>
  <w:style w:type="paragraph" w:customStyle="1" w:styleId="subsection">
    <w:name w:val="subsection"/>
    <w:basedOn w:val="Normal"/>
    <w:rsid w:val="004960ED"/>
    <w:pPr>
      <w:spacing w:before="100" w:beforeAutospacing="1" w:after="100" w:afterAutospacing="1"/>
    </w:pPr>
    <w:rPr>
      <w:rFonts w:ascii="Times New Roman" w:eastAsia="Times New Roman" w:hAnsi="Times New Roman"/>
    </w:rPr>
  </w:style>
  <w:style w:type="paragraph" w:customStyle="1" w:styleId="paragraph">
    <w:name w:val="paragraph"/>
    <w:basedOn w:val="Normal"/>
    <w:rsid w:val="004960ED"/>
    <w:pPr>
      <w:spacing w:before="100" w:beforeAutospacing="1" w:after="100" w:afterAutospacing="1"/>
    </w:pPr>
    <w:rPr>
      <w:rFonts w:ascii="Times New Roman" w:eastAsia="Times New Roman" w:hAnsi="Times New Roman"/>
    </w:rPr>
  </w:style>
  <w:style w:type="paragraph" w:customStyle="1" w:styleId="subsection2">
    <w:name w:val="subsection2"/>
    <w:basedOn w:val="Normal"/>
    <w:rsid w:val="004960ED"/>
    <w:pPr>
      <w:spacing w:before="100" w:beforeAutospacing="1" w:after="100" w:afterAutospacing="1"/>
    </w:pPr>
    <w:rPr>
      <w:rFonts w:ascii="Times New Roman" w:eastAsia="Times New Roman" w:hAnsi="Times New Roman"/>
    </w:rPr>
  </w:style>
  <w:style w:type="paragraph" w:customStyle="1" w:styleId="acthead5">
    <w:name w:val="acthead5"/>
    <w:basedOn w:val="Normal"/>
    <w:rsid w:val="00F80943"/>
    <w:pPr>
      <w:spacing w:before="100" w:beforeAutospacing="1" w:after="100" w:afterAutospacing="1"/>
    </w:pPr>
    <w:rPr>
      <w:rFonts w:ascii="Times New Roman" w:eastAsia="Times New Roman" w:hAnsi="Times New Roman"/>
    </w:rPr>
  </w:style>
  <w:style w:type="character" w:customStyle="1" w:styleId="charsectno">
    <w:name w:val="charsectno"/>
    <w:basedOn w:val="DefaultParagraphFont"/>
    <w:rsid w:val="00F80943"/>
  </w:style>
  <w:style w:type="paragraph" w:customStyle="1" w:styleId="paragraphsub">
    <w:name w:val="paragraphsub"/>
    <w:basedOn w:val="Normal"/>
    <w:rsid w:val="0035037D"/>
    <w:pPr>
      <w:spacing w:before="100" w:beforeAutospacing="1" w:after="100" w:afterAutospacing="1"/>
    </w:pPr>
    <w:rPr>
      <w:rFonts w:ascii="Times New Roman" w:eastAsia="Times New Roman" w:hAnsi="Times New Roman"/>
    </w:rPr>
  </w:style>
  <w:style w:type="paragraph" w:customStyle="1" w:styleId="definition">
    <w:name w:val="definition"/>
    <w:basedOn w:val="Normal"/>
    <w:rsid w:val="00B359B6"/>
    <w:pPr>
      <w:spacing w:before="100" w:beforeAutospacing="1" w:after="100" w:afterAutospacing="1"/>
    </w:pPr>
    <w:rPr>
      <w:rFonts w:ascii="Times New Roman" w:eastAsia="Times New Roman" w:hAnsi="Times New Roman"/>
    </w:rPr>
  </w:style>
  <w:style w:type="paragraph" w:styleId="Revision">
    <w:name w:val="Revision"/>
    <w:hidden/>
    <w:uiPriority w:val="99"/>
    <w:semiHidden/>
    <w:rsid w:val="00A254B5"/>
    <w:rPr>
      <w:rFonts w:ascii="Arial" w:eastAsia="MS Mincho" w:hAnsi="Arial"/>
      <w:sz w:val="24"/>
      <w:szCs w:val="24"/>
    </w:rPr>
  </w:style>
  <w:style w:type="character" w:customStyle="1" w:styleId="VEOHRCItalics">
    <w:name w:val="VEOHRC Italics"/>
    <w:uiPriority w:val="99"/>
    <w:rsid w:val="00393DDC"/>
    <w:rPr>
      <w:rFonts w:ascii="Arial" w:hAnsi="Arial"/>
      <w:i/>
      <w:iCs/>
    </w:rPr>
  </w:style>
  <w:style w:type="character" w:customStyle="1" w:styleId="apple-converted-space">
    <w:name w:val="apple-converted-space"/>
    <w:basedOn w:val="DefaultParagraphFont"/>
    <w:rsid w:val="00274948"/>
  </w:style>
  <w:style w:type="character" w:customStyle="1" w:styleId="UnresolvedMention1">
    <w:name w:val="Unresolved Mention1"/>
    <w:basedOn w:val="DefaultParagraphFont"/>
    <w:uiPriority w:val="99"/>
    <w:semiHidden/>
    <w:unhideWhenUsed/>
    <w:rsid w:val="00294413"/>
    <w:rPr>
      <w:color w:val="605E5C"/>
      <w:shd w:val="clear" w:color="auto" w:fill="E1DFDD"/>
    </w:rPr>
  </w:style>
  <w:style w:type="paragraph" w:styleId="NoSpacing">
    <w:name w:val="No Spacing"/>
    <w:uiPriority w:val="1"/>
    <w:qFormat/>
    <w:rsid w:val="00DA284F"/>
    <w:rPr>
      <w:rFonts w:ascii="Open Sans" w:hAnsi="Open Sans"/>
      <w:sz w:val="24"/>
      <w:szCs w:val="24"/>
    </w:rPr>
  </w:style>
  <w:style w:type="character" w:customStyle="1" w:styleId="UnresolvedMention2">
    <w:name w:val="Unresolved Mention2"/>
    <w:basedOn w:val="DefaultParagraphFont"/>
    <w:uiPriority w:val="99"/>
    <w:semiHidden/>
    <w:unhideWhenUsed/>
    <w:rsid w:val="00730870"/>
    <w:rPr>
      <w:color w:val="605E5C"/>
      <w:shd w:val="clear" w:color="auto" w:fill="E1DFDD"/>
    </w:rPr>
  </w:style>
  <w:style w:type="character" w:customStyle="1" w:styleId="article-title-and-info">
    <w:name w:val="article-title-and-info"/>
    <w:basedOn w:val="DefaultParagraphFont"/>
    <w:rsid w:val="003B114D"/>
  </w:style>
  <w:style w:type="character" w:customStyle="1" w:styleId="UnresolvedMention3">
    <w:name w:val="Unresolved Mention3"/>
    <w:basedOn w:val="DefaultParagraphFont"/>
    <w:uiPriority w:val="99"/>
    <w:semiHidden/>
    <w:unhideWhenUsed/>
    <w:rsid w:val="00664456"/>
    <w:rPr>
      <w:color w:val="605E5C"/>
      <w:shd w:val="clear" w:color="auto" w:fill="E1DFDD"/>
    </w:rPr>
  </w:style>
  <w:style w:type="character" w:styleId="UnresolvedMention">
    <w:name w:val="Unresolved Mention"/>
    <w:basedOn w:val="DefaultParagraphFont"/>
    <w:uiPriority w:val="99"/>
    <w:semiHidden/>
    <w:unhideWhenUsed/>
    <w:rsid w:val="00CC0883"/>
    <w:rPr>
      <w:color w:val="605E5C"/>
      <w:shd w:val="clear" w:color="auto" w:fill="E1DFDD"/>
    </w:rPr>
  </w:style>
  <w:style w:type="paragraph" w:customStyle="1" w:styleId="CopyrightText">
    <w:name w:val="Copyright Text"/>
    <w:basedOn w:val="Normal"/>
    <w:uiPriority w:val="99"/>
    <w:rsid w:val="003E36E0"/>
    <w:pPr>
      <w:tabs>
        <w:tab w:val="left" w:pos="567"/>
      </w:tabs>
      <w:suppressAutoHyphens/>
      <w:autoSpaceDE w:val="0"/>
      <w:autoSpaceDN w:val="0"/>
      <w:adjustRightInd w:val="0"/>
      <w:spacing w:before="0" w:after="57" w:line="288" w:lineRule="auto"/>
      <w:textAlignment w:val="center"/>
    </w:pPr>
    <w:rPr>
      <w:rFonts w:eastAsia="Times New Roman" w:cs="Open Sans"/>
      <w:color w:val="FFFFFF"/>
      <w:sz w:val="16"/>
      <w:szCs w:val="16"/>
      <w:u w:color="000000"/>
    </w:rPr>
  </w:style>
  <w:style w:type="character" w:customStyle="1" w:styleId="Bold">
    <w:name w:val="Bold"/>
    <w:uiPriority w:val="99"/>
    <w:rsid w:val="003E36E0"/>
    <w:rPr>
      <w:rFonts w:ascii="Open Sans" w:hAnsi="Open Sans" w:cs="Open Sans"/>
      <w:b/>
      <w:bCs/>
    </w:rPr>
  </w:style>
  <w:style w:type="paragraph" w:customStyle="1" w:styleId="HeadingInternalTitlePage">
    <w:name w:val="Heading Internal Title Page"/>
    <w:basedOn w:val="Normal"/>
    <w:uiPriority w:val="99"/>
    <w:rsid w:val="00C31D85"/>
    <w:pPr>
      <w:suppressAutoHyphens/>
      <w:autoSpaceDE w:val="0"/>
      <w:autoSpaceDN w:val="0"/>
      <w:adjustRightInd w:val="0"/>
      <w:spacing w:before="0" w:after="567" w:line="288" w:lineRule="auto"/>
      <w:jc w:val="center"/>
      <w:textAlignment w:val="center"/>
    </w:pPr>
    <w:rPr>
      <w:rFonts w:eastAsia="Times New Roman" w:cs="Open Sans"/>
      <w:color w:val="6D6E70"/>
      <w:sz w:val="52"/>
      <w:szCs w:val="52"/>
      <w:lang w:val="en-US"/>
    </w:rPr>
  </w:style>
  <w:style w:type="paragraph" w:customStyle="1" w:styleId="HeadingOrange">
    <w:name w:val="Heading Orange"/>
    <w:basedOn w:val="Normal"/>
    <w:qFormat/>
    <w:rsid w:val="00F277FA"/>
    <w:pPr>
      <w:spacing w:before="0"/>
      <w:jc w:val="both"/>
    </w:pPr>
    <w:rPr>
      <w:rFonts w:ascii="Open Sans Semibold" w:hAnsi="Open Sans Semibold" w:cs="Open Sans"/>
      <w:b/>
      <w:bCs/>
      <w:color w:val="F06F1B"/>
      <w:sz w:val="28"/>
    </w:rPr>
  </w:style>
  <w:style w:type="paragraph" w:customStyle="1" w:styleId="Paragrafobase">
    <w:name w:val="[Paragrafo base]"/>
    <w:basedOn w:val="Normal"/>
    <w:uiPriority w:val="99"/>
    <w:rsid w:val="007873C8"/>
    <w:pPr>
      <w:suppressAutoHyphens/>
      <w:autoSpaceDE w:val="0"/>
      <w:autoSpaceDN w:val="0"/>
      <w:adjustRightInd w:val="0"/>
      <w:spacing w:before="0" w:after="170" w:line="288" w:lineRule="auto"/>
      <w:textAlignment w:val="center"/>
    </w:pPr>
    <w:rPr>
      <w:rFonts w:eastAsia="Times New Roman" w:cs="Open Sans"/>
      <w:color w:val="000000"/>
      <w:sz w:val="20"/>
      <w:szCs w:val="20"/>
      <w:lang w:val="en-US"/>
    </w:rPr>
  </w:style>
  <w:style w:type="paragraph" w:customStyle="1" w:styleId="Quote14ptWhite">
    <w:name w:val="Quote 14pt White"/>
    <w:basedOn w:val="Normal"/>
    <w:qFormat/>
    <w:rsid w:val="00506E90"/>
    <w:rPr>
      <w:rFonts w:ascii="Open Sans Light" w:hAnsi="Open Sans Light"/>
      <w:i/>
      <w:iCs/>
      <w:color w:val="FFFFFF" w:themeColor="background1"/>
      <w:sz w:val="28"/>
      <w:szCs w:val="28"/>
    </w:rPr>
  </w:style>
  <w:style w:type="paragraph" w:customStyle="1" w:styleId="CommissionersTitle">
    <w:name w:val="Commissioners Title"/>
    <w:basedOn w:val="Normal"/>
    <w:uiPriority w:val="99"/>
    <w:rsid w:val="007873C8"/>
    <w:pPr>
      <w:suppressAutoHyphens/>
      <w:autoSpaceDE w:val="0"/>
      <w:autoSpaceDN w:val="0"/>
      <w:adjustRightInd w:val="0"/>
      <w:spacing w:before="0" w:after="113" w:line="288" w:lineRule="auto"/>
      <w:jc w:val="right"/>
      <w:textAlignment w:val="center"/>
    </w:pPr>
    <w:rPr>
      <w:rFonts w:ascii="Open Sans Light" w:eastAsia="Times New Roman" w:hAnsi="Open Sans Light" w:cs="Open Sans Light"/>
      <w:i/>
      <w:iCs/>
      <w:color w:val="00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057">
      <w:bodyDiv w:val="1"/>
      <w:marLeft w:val="0"/>
      <w:marRight w:val="0"/>
      <w:marTop w:val="0"/>
      <w:marBottom w:val="0"/>
      <w:divBdr>
        <w:top w:val="none" w:sz="0" w:space="0" w:color="auto"/>
        <w:left w:val="none" w:sz="0" w:space="0" w:color="auto"/>
        <w:bottom w:val="none" w:sz="0" w:space="0" w:color="auto"/>
        <w:right w:val="none" w:sz="0" w:space="0" w:color="auto"/>
      </w:divBdr>
    </w:div>
    <w:div w:id="17433900">
      <w:bodyDiv w:val="1"/>
      <w:marLeft w:val="0"/>
      <w:marRight w:val="0"/>
      <w:marTop w:val="0"/>
      <w:marBottom w:val="0"/>
      <w:divBdr>
        <w:top w:val="none" w:sz="0" w:space="0" w:color="auto"/>
        <w:left w:val="none" w:sz="0" w:space="0" w:color="auto"/>
        <w:bottom w:val="none" w:sz="0" w:space="0" w:color="auto"/>
        <w:right w:val="none" w:sz="0" w:space="0" w:color="auto"/>
      </w:divBdr>
    </w:div>
    <w:div w:id="58215926">
      <w:bodyDiv w:val="1"/>
      <w:marLeft w:val="0"/>
      <w:marRight w:val="0"/>
      <w:marTop w:val="0"/>
      <w:marBottom w:val="0"/>
      <w:divBdr>
        <w:top w:val="none" w:sz="0" w:space="0" w:color="auto"/>
        <w:left w:val="none" w:sz="0" w:space="0" w:color="auto"/>
        <w:bottom w:val="none" w:sz="0" w:space="0" w:color="auto"/>
        <w:right w:val="none" w:sz="0" w:space="0" w:color="auto"/>
      </w:divBdr>
    </w:div>
    <w:div w:id="66652007">
      <w:bodyDiv w:val="1"/>
      <w:marLeft w:val="0"/>
      <w:marRight w:val="0"/>
      <w:marTop w:val="0"/>
      <w:marBottom w:val="0"/>
      <w:divBdr>
        <w:top w:val="none" w:sz="0" w:space="0" w:color="auto"/>
        <w:left w:val="none" w:sz="0" w:space="0" w:color="auto"/>
        <w:bottom w:val="none" w:sz="0" w:space="0" w:color="auto"/>
        <w:right w:val="none" w:sz="0" w:space="0" w:color="auto"/>
      </w:divBdr>
    </w:div>
    <w:div w:id="73210055">
      <w:bodyDiv w:val="1"/>
      <w:marLeft w:val="0"/>
      <w:marRight w:val="0"/>
      <w:marTop w:val="0"/>
      <w:marBottom w:val="0"/>
      <w:divBdr>
        <w:top w:val="none" w:sz="0" w:space="0" w:color="auto"/>
        <w:left w:val="none" w:sz="0" w:space="0" w:color="auto"/>
        <w:bottom w:val="none" w:sz="0" w:space="0" w:color="auto"/>
        <w:right w:val="none" w:sz="0" w:space="0" w:color="auto"/>
      </w:divBdr>
    </w:div>
    <w:div w:id="157811096">
      <w:bodyDiv w:val="1"/>
      <w:marLeft w:val="0"/>
      <w:marRight w:val="0"/>
      <w:marTop w:val="0"/>
      <w:marBottom w:val="0"/>
      <w:divBdr>
        <w:top w:val="none" w:sz="0" w:space="0" w:color="auto"/>
        <w:left w:val="none" w:sz="0" w:space="0" w:color="auto"/>
        <w:bottom w:val="none" w:sz="0" w:space="0" w:color="auto"/>
        <w:right w:val="none" w:sz="0" w:space="0" w:color="auto"/>
      </w:divBdr>
    </w:div>
    <w:div w:id="198469563">
      <w:bodyDiv w:val="1"/>
      <w:marLeft w:val="0"/>
      <w:marRight w:val="0"/>
      <w:marTop w:val="0"/>
      <w:marBottom w:val="0"/>
      <w:divBdr>
        <w:top w:val="none" w:sz="0" w:space="0" w:color="auto"/>
        <w:left w:val="none" w:sz="0" w:space="0" w:color="auto"/>
        <w:bottom w:val="none" w:sz="0" w:space="0" w:color="auto"/>
        <w:right w:val="none" w:sz="0" w:space="0" w:color="auto"/>
      </w:divBdr>
    </w:div>
    <w:div w:id="240145196">
      <w:bodyDiv w:val="1"/>
      <w:marLeft w:val="0"/>
      <w:marRight w:val="0"/>
      <w:marTop w:val="0"/>
      <w:marBottom w:val="0"/>
      <w:divBdr>
        <w:top w:val="none" w:sz="0" w:space="0" w:color="auto"/>
        <w:left w:val="none" w:sz="0" w:space="0" w:color="auto"/>
        <w:bottom w:val="none" w:sz="0" w:space="0" w:color="auto"/>
        <w:right w:val="none" w:sz="0" w:space="0" w:color="auto"/>
      </w:divBdr>
    </w:div>
    <w:div w:id="349766896">
      <w:bodyDiv w:val="1"/>
      <w:marLeft w:val="0"/>
      <w:marRight w:val="0"/>
      <w:marTop w:val="0"/>
      <w:marBottom w:val="0"/>
      <w:divBdr>
        <w:top w:val="none" w:sz="0" w:space="0" w:color="auto"/>
        <w:left w:val="none" w:sz="0" w:space="0" w:color="auto"/>
        <w:bottom w:val="none" w:sz="0" w:space="0" w:color="auto"/>
        <w:right w:val="none" w:sz="0" w:space="0" w:color="auto"/>
      </w:divBdr>
    </w:div>
    <w:div w:id="352877282">
      <w:bodyDiv w:val="1"/>
      <w:marLeft w:val="0"/>
      <w:marRight w:val="0"/>
      <w:marTop w:val="0"/>
      <w:marBottom w:val="0"/>
      <w:divBdr>
        <w:top w:val="none" w:sz="0" w:space="0" w:color="auto"/>
        <w:left w:val="none" w:sz="0" w:space="0" w:color="auto"/>
        <w:bottom w:val="none" w:sz="0" w:space="0" w:color="auto"/>
        <w:right w:val="none" w:sz="0" w:space="0" w:color="auto"/>
      </w:divBdr>
    </w:div>
    <w:div w:id="454718531">
      <w:bodyDiv w:val="1"/>
      <w:marLeft w:val="0"/>
      <w:marRight w:val="0"/>
      <w:marTop w:val="0"/>
      <w:marBottom w:val="0"/>
      <w:divBdr>
        <w:top w:val="none" w:sz="0" w:space="0" w:color="auto"/>
        <w:left w:val="none" w:sz="0" w:space="0" w:color="auto"/>
        <w:bottom w:val="none" w:sz="0" w:space="0" w:color="auto"/>
        <w:right w:val="none" w:sz="0" w:space="0" w:color="auto"/>
      </w:divBdr>
      <w:divsChild>
        <w:div w:id="1263222512">
          <w:marLeft w:val="547"/>
          <w:marRight w:val="0"/>
          <w:marTop w:val="0"/>
          <w:marBottom w:val="0"/>
          <w:divBdr>
            <w:top w:val="none" w:sz="0" w:space="0" w:color="auto"/>
            <w:left w:val="none" w:sz="0" w:space="0" w:color="auto"/>
            <w:bottom w:val="none" w:sz="0" w:space="0" w:color="auto"/>
            <w:right w:val="none" w:sz="0" w:space="0" w:color="auto"/>
          </w:divBdr>
        </w:div>
      </w:divsChild>
    </w:div>
    <w:div w:id="460459718">
      <w:bodyDiv w:val="1"/>
      <w:marLeft w:val="0"/>
      <w:marRight w:val="0"/>
      <w:marTop w:val="0"/>
      <w:marBottom w:val="0"/>
      <w:divBdr>
        <w:top w:val="none" w:sz="0" w:space="0" w:color="auto"/>
        <w:left w:val="none" w:sz="0" w:space="0" w:color="auto"/>
        <w:bottom w:val="none" w:sz="0" w:space="0" w:color="auto"/>
        <w:right w:val="none" w:sz="0" w:space="0" w:color="auto"/>
      </w:divBdr>
      <w:divsChild>
        <w:div w:id="26299820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76146527">
      <w:bodyDiv w:val="1"/>
      <w:marLeft w:val="0"/>
      <w:marRight w:val="0"/>
      <w:marTop w:val="0"/>
      <w:marBottom w:val="0"/>
      <w:divBdr>
        <w:top w:val="none" w:sz="0" w:space="0" w:color="auto"/>
        <w:left w:val="none" w:sz="0" w:space="0" w:color="auto"/>
        <w:bottom w:val="none" w:sz="0" w:space="0" w:color="auto"/>
        <w:right w:val="none" w:sz="0" w:space="0" w:color="auto"/>
      </w:divBdr>
    </w:div>
    <w:div w:id="480270437">
      <w:bodyDiv w:val="1"/>
      <w:marLeft w:val="0"/>
      <w:marRight w:val="0"/>
      <w:marTop w:val="0"/>
      <w:marBottom w:val="0"/>
      <w:divBdr>
        <w:top w:val="none" w:sz="0" w:space="0" w:color="auto"/>
        <w:left w:val="none" w:sz="0" w:space="0" w:color="auto"/>
        <w:bottom w:val="none" w:sz="0" w:space="0" w:color="auto"/>
        <w:right w:val="none" w:sz="0" w:space="0" w:color="auto"/>
      </w:divBdr>
    </w:div>
    <w:div w:id="497506112">
      <w:bodyDiv w:val="1"/>
      <w:marLeft w:val="0"/>
      <w:marRight w:val="0"/>
      <w:marTop w:val="0"/>
      <w:marBottom w:val="0"/>
      <w:divBdr>
        <w:top w:val="none" w:sz="0" w:space="0" w:color="auto"/>
        <w:left w:val="none" w:sz="0" w:space="0" w:color="auto"/>
        <w:bottom w:val="none" w:sz="0" w:space="0" w:color="auto"/>
        <w:right w:val="none" w:sz="0" w:space="0" w:color="auto"/>
      </w:divBdr>
    </w:div>
    <w:div w:id="585919036">
      <w:bodyDiv w:val="1"/>
      <w:marLeft w:val="0"/>
      <w:marRight w:val="0"/>
      <w:marTop w:val="0"/>
      <w:marBottom w:val="0"/>
      <w:divBdr>
        <w:top w:val="none" w:sz="0" w:space="0" w:color="auto"/>
        <w:left w:val="none" w:sz="0" w:space="0" w:color="auto"/>
        <w:bottom w:val="none" w:sz="0" w:space="0" w:color="auto"/>
        <w:right w:val="none" w:sz="0" w:space="0" w:color="auto"/>
      </w:divBdr>
    </w:div>
    <w:div w:id="602496418">
      <w:bodyDiv w:val="1"/>
      <w:marLeft w:val="0"/>
      <w:marRight w:val="0"/>
      <w:marTop w:val="0"/>
      <w:marBottom w:val="0"/>
      <w:divBdr>
        <w:top w:val="none" w:sz="0" w:space="0" w:color="auto"/>
        <w:left w:val="none" w:sz="0" w:space="0" w:color="auto"/>
        <w:bottom w:val="none" w:sz="0" w:space="0" w:color="auto"/>
        <w:right w:val="none" w:sz="0" w:space="0" w:color="auto"/>
      </w:divBdr>
    </w:div>
    <w:div w:id="629672346">
      <w:bodyDiv w:val="1"/>
      <w:marLeft w:val="0"/>
      <w:marRight w:val="0"/>
      <w:marTop w:val="0"/>
      <w:marBottom w:val="0"/>
      <w:divBdr>
        <w:top w:val="none" w:sz="0" w:space="0" w:color="auto"/>
        <w:left w:val="none" w:sz="0" w:space="0" w:color="auto"/>
        <w:bottom w:val="none" w:sz="0" w:space="0" w:color="auto"/>
        <w:right w:val="none" w:sz="0" w:space="0" w:color="auto"/>
      </w:divBdr>
    </w:div>
    <w:div w:id="670064670">
      <w:bodyDiv w:val="1"/>
      <w:marLeft w:val="0"/>
      <w:marRight w:val="0"/>
      <w:marTop w:val="0"/>
      <w:marBottom w:val="0"/>
      <w:divBdr>
        <w:top w:val="none" w:sz="0" w:space="0" w:color="auto"/>
        <w:left w:val="none" w:sz="0" w:space="0" w:color="auto"/>
        <w:bottom w:val="none" w:sz="0" w:space="0" w:color="auto"/>
        <w:right w:val="none" w:sz="0" w:space="0" w:color="auto"/>
      </w:divBdr>
      <w:divsChild>
        <w:div w:id="308826225">
          <w:marLeft w:val="547"/>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97991121">
      <w:bodyDiv w:val="1"/>
      <w:marLeft w:val="0"/>
      <w:marRight w:val="0"/>
      <w:marTop w:val="0"/>
      <w:marBottom w:val="0"/>
      <w:divBdr>
        <w:top w:val="none" w:sz="0" w:space="0" w:color="auto"/>
        <w:left w:val="none" w:sz="0" w:space="0" w:color="auto"/>
        <w:bottom w:val="none" w:sz="0" w:space="0" w:color="auto"/>
        <w:right w:val="none" w:sz="0" w:space="0" w:color="auto"/>
      </w:divBdr>
      <w:divsChild>
        <w:div w:id="78872159">
          <w:marLeft w:val="0"/>
          <w:marRight w:val="0"/>
          <w:marTop w:val="0"/>
          <w:marBottom w:val="0"/>
          <w:divBdr>
            <w:top w:val="none" w:sz="0" w:space="0" w:color="auto"/>
            <w:left w:val="none" w:sz="0" w:space="0" w:color="auto"/>
            <w:bottom w:val="none" w:sz="0" w:space="0" w:color="auto"/>
            <w:right w:val="none" w:sz="0" w:space="0" w:color="auto"/>
          </w:divBdr>
          <w:divsChild>
            <w:div w:id="1533109008">
              <w:marLeft w:val="0"/>
              <w:marRight w:val="0"/>
              <w:marTop w:val="0"/>
              <w:marBottom w:val="0"/>
              <w:divBdr>
                <w:top w:val="none" w:sz="0" w:space="0" w:color="auto"/>
                <w:left w:val="none" w:sz="0" w:space="0" w:color="auto"/>
                <w:bottom w:val="none" w:sz="0" w:space="0" w:color="auto"/>
                <w:right w:val="none" w:sz="0" w:space="0" w:color="auto"/>
              </w:divBdr>
              <w:divsChild>
                <w:div w:id="747192353">
                  <w:marLeft w:val="0"/>
                  <w:marRight w:val="0"/>
                  <w:marTop w:val="0"/>
                  <w:marBottom w:val="0"/>
                  <w:divBdr>
                    <w:top w:val="none" w:sz="0" w:space="0" w:color="auto"/>
                    <w:left w:val="none" w:sz="0" w:space="0" w:color="auto"/>
                    <w:bottom w:val="none" w:sz="0" w:space="0" w:color="auto"/>
                    <w:right w:val="none" w:sz="0" w:space="0" w:color="auto"/>
                  </w:divBdr>
                  <w:divsChild>
                    <w:div w:id="6099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376832">
      <w:bodyDiv w:val="1"/>
      <w:marLeft w:val="0"/>
      <w:marRight w:val="0"/>
      <w:marTop w:val="0"/>
      <w:marBottom w:val="0"/>
      <w:divBdr>
        <w:top w:val="none" w:sz="0" w:space="0" w:color="auto"/>
        <w:left w:val="none" w:sz="0" w:space="0" w:color="auto"/>
        <w:bottom w:val="none" w:sz="0" w:space="0" w:color="auto"/>
        <w:right w:val="none" w:sz="0" w:space="0" w:color="auto"/>
      </w:divBdr>
    </w:div>
    <w:div w:id="876889909">
      <w:bodyDiv w:val="1"/>
      <w:marLeft w:val="0"/>
      <w:marRight w:val="0"/>
      <w:marTop w:val="0"/>
      <w:marBottom w:val="0"/>
      <w:divBdr>
        <w:top w:val="none" w:sz="0" w:space="0" w:color="auto"/>
        <w:left w:val="none" w:sz="0" w:space="0" w:color="auto"/>
        <w:bottom w:val="none" w:sz="0" w:space="0" w:color="auto"/>
        <w:right w:val="none" w:sz="0" w:space="0" w:color="auto"/>
      </w:divBdr>
    </w:div>
    <w:div w:id="967782475">
      <w:bodyDiv w:val="1"/>
      <w:marLeft w:val="0"/>
      <w:marRight w:val="0"/>
      <w:marTop w:val="0"/>
      <w:marBottom w:val="0"/>
      <w:divBdr>
        <w:top w:val="none" w:sz="0" w:space="0" w:color="auto"/>
        <w:left w:val="none" w:sz="0" w:space="0" w:color="auto"/>
        <w:bottom w:val="none" w:sz="0" w:space="0" w:color="auto"/>
        <w:right w:val="none" w:sz="0" w:space="0" w:color="auto"/>
      </w:divBdr>
      <w:divsChild>
        <w:div w:id="343242465">
          <w:marLeft w:val="0"/>
          <w:marRight w:val="0"/>
          <w:marTop w:val="0"/>
          <w:marBottom w:val="0"/>
          <w:divBdr>
            <w:top w:val="none" w:sz="0" w:space="0" w:color="auto"/>
            <w:left w:val="none" w:sz="0" w:space="0" w:color="auto"/>
            <w:bottom w:val="none" w:sz="0" w:space="0" w:color="auto"/>
            <w:right w:val="none" w:sz="0" w:space="0" w:color="auto"/>
          </w:divBdr>
          <w:divsChild>
            <w:div w:id="1135676704">
              <w:marLeft w:val="0"/>
              <w:marRight w:val="0"/>
              <w:marTop w:val="0"/>
              <w:marBottom w:val="0"/>
              <w:divBdr>
                <w:top w:val="none" w:sz="0" w:space="0" w:color="auto"/>
                <w:left w:val="none" w:sz="0" w:space="0" w:color="auto"/>
                <w:bottom w:val="none" w:sz="0" w:space="0" w:color="auto"/>
                <w:right w:val="none" w:sz="0" w:space="0" w:color="auto"/>
              </w:divBdr>
              <w:divsChild>
                <w:div w:id="905266696">
                  <w:marLeft w:val="0"/>
                  <w:marRight w:val="0"/>
                  <w:marTop w:val="0"/>
                  <w:marBottom w:val="0"/>
                  <w:divBdr>
                    <w:top w:val="none" w:sz="0" w:space="0" w:color="auto"/>
                    <w:left w:val="none" w:sz="0" w:space="0" w:color="auto"/>
                    <w:bottom w:val="none" w:sz="0" w:space="0" w:color="auto"/>
                    <w:right w:val="none" w:sz="0" w:space="0" w:color="auto"/>
                  </w:divBdr>
                  <w:divsChild>
                    <w:div w:id="52429692">
                      <w:marLeft w:val="0"/>
                      <w:marRight w:val="0"/>
                      <w:marTop w:val="0"/>
                      <w:marBottom w:val="0"/>
                      <w:divBdr>
                        <w:top w:val="none" w:sz="0" w:space="0" w:color="auto"/>
                        <w:left w:val="none" w:sz="0" w:space="0" w:color="auto"/>
                        <w:bottom w:val="none" w:sz="0" w:space="0" w:color="auto"/>
                        <w:right w:val="none" w:sz="0" w:space="0" w:color="auto"/>
                      </w:divBdr>
                      <w:divsChild>
                        <w:div w:id="1712073377">
                          <w:marLeft w:val="0"/>
                          <w:marRight w:val="0"/>
                          <w:marTop w:val="0"/>
                          <w:marBottom w:val="0"/>
                          <w:divBdr>
                            <w:top w:val="none" w:sz="0" w:space="0" w:color="auto"/>
                            <w:left w:val="none" w:sz="0" w:space="0" w:color="auto"/>
                            <w:bottom w:val="none" w:sz="0" w:space="0" w:color="auto"/>
                            <w:right w:val="none" w:sz="0" w:space="0" w:color="auto"/>
                          </w:divBdr>
                          <w:divsChild>
                            <w:div w:id="1295866932">
                              <w:marLeft w:val="0"/>
                              <w:marRight w:val="0"/>
                              <w:marTop w:val="0"/>
                              <w:marBottom w:val="0"/>
                              <w:divBdr>
                                <w:top w:val="none" w:sz="0" w:space="0" w:color="auto"/>
                                <w:left w:val="none" w:sz="0" w:space="0" w:color="auto"/>
                                <w:bottom w:val="none" w:sz="0" w:space="0" w:color="auto"/>
                                <w:right w:val="none" w:sz="0" w:space="0" w:color="auto"/>
                              </w:divBdr>
                              <w:divsChild>
                                <w:div w:id="9204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986782156">
      <w:bodyDiv w:val="1"/>
      <w:marLeft w:val="0"/>
      <w:marRight w:val="0"/>
      <w:marTop w:val="0"/>
      <w:marBottom w:val="0"/>
      <w:divBdr>
        <w:top w:val="none" w:sz="0" w:space="0" w:color="auto"/>
        <w:left w:val="none" w:sz="0" w:space="0" w:color="auto"/>
        <w:bottom w:val="none" w:sz="0" w:space="0" w:color="auto"/>
        <w:right w:val="none" w:sz="0" w:space="0" w:color="auto"/>
      </w:divBdr>
    </w:div>
    <w:div w:id="992492211">
      <w:bodyDiv w:val="1"/>
      <w:marLeft w:val="0"/>
      <w:marRight w:val="0"/>
      <w:marTop w:val="0"/>
      <w:marBottom w:val="0"/>
      <w:divBdr>
        <w:top w:val="none" w:sz="0" w:space="0" w:color="auto"/>
        <w:left w:val="none" w:sz="0" w:space="0" w:color="auto"/>
        <w:bottom w:val="none" w:sz="0" w:space="0" w:color="auto"/>
        <w:right w:val="none" w:sz="0" w:space="0" w:color="auto"/>
      </w:divBdr>
    </w:div>
    <w:div w:id="1021736300">
      <w:bodyDiv w:val="1"/>
      <w:marLeft w:val="0"/>
      <w:marRight w:val="0"/>
      <w:marTop w:val="0"/>
      <w:marBottom w:val="0"/>
      <w:divBdr>
        <w:top w:val="none" w:sz="0" w:space="0" w:color="auto"/>
        <w:left w:val="none" w:sz="0" w:space="0" w:color="auto"/>
        <w:bottom w:val="none" w:sz="0" w:space="0" w:color="auto"/>
        <w:right w:val="none" w:sz="0" w:space="0" w:color="auto"/>
      </w:divBdr>
    </w:div>
    <w:div w:id="1038776932">
      <w:bodyDiv w:val="1"/>
      <w:marLeft w:val="0"/>
      <w:marRight w:val="0"/>
      <w:marTop w:val="0"/>
      <w:marBottom w:val="0"/>
      <w:divBdr>
        <w:top w:val="none" w:sz="0" w:space="0" w:color="auto"/>
        <w:left w:val="none" w:sz="0" w:space="0" w:color="auto"/>
        <w:bottom w:val="none" w:sz="0" w:space="0" w:color="auto"/>
        <w:right w:val="none" w:sz="0" w:space="0" w:color="auto"/>
      </w:divBdr>
    </w:div>
    <w:div w:id="1048652950">
      <w:bodyDiv w:val="1"/>
      <w:marLeft w:val="0"/>
      <w:marRight w:val="0"/>
      <w:marTop w:val="0"/>
      <w:marBottom w:val="0"/>
      <w:divBdr>
        <w:top w:val="none" w:sz="0" w:space="0" w:color="auto"/>
        <w:left w:val="none" w:sz="0" w:space="0" w:color="auto"/>
        <w:bottom w:val="none" w:sz="0" w:space="0" w:color="auto"/>
        <w:right w:val="none" w:sz="0" w:space="0" w:color="auto"/>
      </w:divBdr>
    </w:div>
    <w:div w:id="1079253845">
      <w:bodyDiv w:val="1"/>
      <w:marLeft w:val="0"/>
      <w:marRight w:val="0"/>
      <w:marTop w:val="0"/>
      <w:marBottom w:val="0"/>
      <w:divBdr>
        <w:top w:val="none" w:sz="0" w:space="0" w:color="auto"/>
        <w:left w:val="none" w:sz="0" w:space="0" w:color="auto"/>
        <w:bottom w:val="none" w:sz="0" w:space="0" w:color="auto"/>
        <w:right w:val="none" w:sz="0" w:space="0" w:color="auto"/>
      </w:divBdr>
    </w:div>
    <w:div w:id="1163356432">
      <w:bodyDiv w:val="1"/>
      <w:marLeft w:val="0"/>
      <w:marRight w:val="0"/>
      <w:marTop w:val="0"/>
      <w:marBottom w:val="0"/>
      <w:divBdr>
        <w:top w:val="none" w:sz="0" w:space="0" w:color="auto"/>
        <w:left w:val="none" w:sz="0" w:space="0" w:color="auto"/>
        <w:bottom w:val="none" w:sz="0" w:space="0" w:color="auto"/>
        <w:right w:val="none" w:sz="0" w:space="0" w:color="auto"/>
      </w:divBdr>
    </w:div>
    <w:div w:id="1193688883">
      <w:bodyDiv w:val="1"/>
      <w:marLeft w:val="0"/>
      <w:marRight w:val="0"/>
      <w:marTop w:val="0"/>
      <w:marBottom w:val="0"/>
      <w:divBdr>
        <w:top w:val="none" w:sz="0" w:space="0" w:color="auto"/>
        <w:left w:val="none" w:sz="0" w:space="0" w:color="auto"/>
        <w:bottom w:val="none" w:sz="0" w:space="0" w:color="auto"/>
        <w:right w:val="none" w:sz="0" w:space="0" w:color="auto"/>
      </w:divBdr>
    </w:div>
    <w:div w:id="1223909817">
      <w:bodyDiv w:val="1"/>
      <w:marLeft w:val="0"/>
      <w:marRight w:val="0"/>
      <w:marTop w:val="0"/>
      <w:marBottom w:val="0"/>
      <w:divBdr>
        <w:top w:val="none" w:sz="0" w:space="0" w:color="auto"/>
        <w:left w:val="none" w:sz="0" w:space="0" w:color="auto"/>
        <w:bottom w:val="none" w:sz="0" w:space="0" w:color="auto"/>
        <w:right w:val="none" w:sz="0" w:space="0" w:color="auto"/>
      </w:divBdr>
    </w:div>
    <w:div w:id="1314406367">
      <w:bodyDiv w:val="1"/>
      <w:marLeft w:val="0"/>
      <w:marRight w:val="0"/>
      <w:marTop w:val="0"/>
      <w:marBottom w:val="0"/>
      <w:divBdr>
        <w:top w:val="none" w:sz="0" w:space="0" w:color="auto"/>
        <w:left w:val="none" w:sz="0" w:space="0" w:color="auto"/>
        <w:bottom w:val="none" w:sz="0" w:space="0" w:color="auto"/>
        <w:right w:val="none" w:sz="0" w:space="0" w:color="auto"/>
      </w:divBdr>
    </w:div>
    <w:div w:id="1324507505">
      <w:bodyDiv w:val="1"/>
      <w:marLeft w:val="0"/>
      <w:marRight w:val="0"/>
      <w:marTop w:val="0"/>
      <w:marBottom w:val="0"/>
      <w:divBdr>
        <w:top w:val="none" w:sz="0" w:space="0" w:color="auto"/>
        <w:left w:val="none" w:sz="0" w:space="0" w:color="auto"/>
        <w:bottom w:val="none" w:sz="0" w:space="0" w:color="auto"/>
        <w:right w:val="none" w:sz="0" w:space="0" w:color="auto"/>
      </w:divBdr>
    </w:div>
    <w:div w:id="1342390280">
      <w:bodyDiv w:val="1"/>
      <w:marLeft w:val="0"/>
      <w:marRight w:val="0"/>
      <w:marTop w:val="0"/>
      <w:marBottom w:val="0"/>
      <w:divBdr>
        <w:top w:val="none" w:sz="0" w:space="0" w:color="auto"/>
        <w:left w:val="none" w:sz="0" w:space="0" w:color="auto"/>
        <w:bottom w:val="none" w:sz="0" w:space="0" w:color="auto"/>
        <w:right w:val="none" w:sz="0" w:space="0" w:color="auto"/>
      </w:divBdr>
    </w:div>
    <w:div w:id="1383866437">
      <w:bodyDiv w:val="1"/>
      <w:marLeft w:val="0"/>
      <w:marRight w:val="0"/>
      <w:marTop w:val="0"/>
      <w:marBottom w:val="0"/>
      <w:divBdr>
        <w:top w:val="none" w:sz="0" w:space="0" w:color="auto"/>
        <w:left w:val="none" w:sz="0" w:space="0" w:color="auto"/>
        <w:bottom w:val="none" w:sz="0" w:space="0" w:color="auto"/>
        <w:right w:val="none" w:sz="0" w:space="0" w:color="auto"/>
      </w:divBdr>
    </w:div>
    <w:div w:id="1438983594">
      <w:bodyDiv w:val="1"/>
      <w:marLeft w:val="0"/>
      <w:marRight w:val="0"/>
      <w:marTop w:val="0"/>
      <w:marBottom w:val="0"/>
      <w:divBdr>
        <w:top w:val="none" w:sz="0" w:space="0" w:color="auto"/>
        <w:left w:val="none" w:sz="0" w:space="0" w:color="auto"/>
        <w:bottom w:val="none" w:sz="0" w:space="0" w:color="auto"/>
        <w:right w:val="none" w:sz="0" w:space="0" w:color="auto"/>
      </w:divBdr>
    </w:div>
    <w:div w:id="1502165158">
      <w:bodyDiv w:val="1"/>
      <w:marLeft w:val="0"/>
      <w:marRight w:val="0"/>
      <w:marTop w:val="0"/>
      <w:marBottom w:val="0"/>
      <w:divBdr>
        <w:top w:val="none" w:sz="0" w:space="0" w:color="auto"/>
        <w:left w:val="none" w:sz="0" w:space="0" w:color="auto"/>
        <w:bottom w:val="none" w:sz="0" w:space="0" w:color="auto"/>
        <w:right w:val="none" w:sz="0" w:space="0" w:color="auto"/>
      </w:divBdr>
    </w:div>
    <w:div w:id="1505390118">
      <w:bodyDiv w:val="1"/>
      <w:marLeft w:val="0"/>
      <w:marRight w:val="0"/>
      <w:marTop w:val="0"/>
      <w:marBottom w:val="0"/>
      <w:divBdr>
        <w:top w:val="none" w:sz="0" w:space="0" w:color="auto"/>
        <w:left w:val="none" w:sz="0" w:space="0" w:color="auto"/>
        <w:bottom w:val="none" w:sz="0" w:space="0" w:color="auto"/>
        <w:right w:val="none" w:sz="0" w:space="0" w:color="auto"/>
      </w:divBdr>
    </w:div>
    <w:div w:id="1533349017">
      <w:bodyDiv w:val="1"/>
      <w:marLeft w:val="0"/>
      <w:marRight w:val="0"/>
      <w:marTop w:val="0"/>
      <w:marBottom w:val="0"/>
      <w:divBdr>
        <w:top w:val="none" w:sz="0" w:space="0" w:color="auto"/>
        <w:left w:val="none" w:sz="0" w:space="0" w:color="auto"/>
        <w:bottom w:val="none" w:sz="0" w:space="0" w:color="auto"/>
        <w:right w:val="none" w:sz="0" w:space="0" w:color="auto"/>
      </w:divBdr>
    </w:div>
    <w:div w:id="1562132660">
      <w:bodyDiv w:val="1"/>
      <w:marLeft w:val="0"/>
      <w:marRight w:val="0"/>
      <w:marTop w:val="0"/>
      <w:marBottom w:val="0"/>
      <w:divBdr>
        <w:top w:val="none" w:sz="0" w:space="0" w:color="auto"/>
        <w:left w:val="none" w:sz="0" w:space="0" w:color="auto"/>
        <w:bottom w:val="none" w:sz="0" w:space="0" w:color="auto"/>
        <w:right w:val="none" w:sz="0" w:space="0" w:color="auto"/>
      </w:divBdr>
    </w:div>
    <w:div w:id="1567448529">
      <w:bodyDiv w:val="1"/>
      <w:marLeft w:val="0"/>
      <w:marRight w:val="0"/>
      <w:marTop w:val="0"/>
      <w:marBottom w:val="0"/>
      <w:divBdr>
        <w:top w:val="none" w:sz="0" w:space="0" w:color="auto"/>
        <w:left w:val="none" w:sz="0" w:space="0" w:color="auto"/>
        <w:bottom w:val="none" w:sz="0" w:space="0" w:color="auto"/>
        <w:right w:val="none" w:sz="0" w:space="0" w:color="auto"/>
      </w:divBdr>
    </w:div>
    <w:div w:id="1570337538">
      <w:bodyDiv w:val="1"/>
      <w:marLeft w:val="0"/>
      <w:marRight w:val="0"/>
      <w:marTop w:val="0"/>
      <w:marBottom w:val="0"/>
      <w:divBdr>
        <w:top w:val="none" w:sz="0" w:space="0" w:color="auto"/>
        <w:left w:val="none" w:sz="0" w:space="0" w:color="auto"/>
        <w:bottom w:val="none" w:sz="0" w:space="0" w:color="auto"/>
        <w:right w:val="none" w:sz="0" w:space="0" w:color="auto"/>
      </w:divBdr>
    </w:div>
    <w:div w:id="1640305579">
      <w:bodyDiv w:val="1"/>
      <w:marLeft w:val="0"/>
      <w:marRight w:val="0"/>
      <w:marTop w:val="0"/>
      <w:marBottom w:val="0"/>
      <w:divBdr>
        <w:top w:val="none" w:sz="0" w:space="0" w:color="auto"/>
        <w:left w:val="none" w:sz="0" w:space="0" w:color="auto"/>
        <w:bottom w:val="none" w:sz="0" w:space="0" w:color="auto"/>
        <w:right w:val="none" w:sz="0" w:space="0" w:color="auto"/>
      </w:divBdr>
    </w:div>
    <w:div w:id="1670669697">
      <w:bodyDiv w:val="1"/>
      <w:marLeft w:val="0"/>
      <w:marRight w:val="0"/>
      <w:marTop w:val="0"/>
      <w:marBottom w:val="0"/>
      <w:divBdr>
        <w:top w:val="none" w:sz="0" w:space="0" w:color="auto"/>
        <w:left w:val="none" w:sz="0" w:space="0" w:color="auto"/>
        <w:bottom w:val="none" w:sz="0" w:space="0" w:color="auto"/>
        <w:right w:val="none" w:sz="0" w:space="0" w:color="auto"/>
      </w:divBdr>
    </w:div>
    <w:div w:id="1703358535">
      <w:bodyDiv w:val="1"/>
      <w:marLeft w:val="0"/>
      <w:marRight w:val="0"/>
      <w:marTop w:val="0"/>
      <w:marBottom w:val="0"/>
      <w:divBdr>
        <w:top w:val="none" w:sz="0" w:space="0" w:color="auto"/>
        <w:left w:val="none" w:sz="0" w:space="0" w:color="auto"/>
        <w:bottom w:val="none" w:sz="0" w:space="0" w:color="auto"/>
        <w:right w:val="none" w:sz="0" w:space="0" w:color="auto"/>
      </w:divBdr>
    </w:div>
    <w:div w:id="1740594808">
      <w:bodyDiv w:val="1"/>
      <w:marLeft w:val="0"/>
      <w:marRight w:val="0"/>
      <w:marTop w:val="0"/>
      <w:marBottom w:val="0"/>
      <w:divBdr>
        <w:top w:val="none" w:sz="0" w:space="0" w:color="auto"/>
        <w:left w:val="none" w:sz="0" w:space="0" w:color="auto"/>
        <w:bottom w:val="none" w:sz="0" w:space="0" w:color="auto"/>
        <w:right w:val="none" w:sz="0" w:space="0" w:color="auto"/>
      </w:divBdr>
    </w:div>
    <w:div w:id="1856797617">
      <w:bodyDiv w:val="1"/>
      <w:marLeft w:val="0"/>
      <w:marRight w:val="0"/>
      <w:marTop w:val="0"/>
      <w:marBottom w:val="0"/>
      <w:divBdr>
        <w:top w:val="none" w:sz="0" w:space="0" w:color="auto"/>
        <w:left w:val="none" w:sz="0" w:space="0" w:color="auto"/>
        <w:bottom w:val="none" w:sz="0" w:space="0" w:color="auto"/>
        <w:right w:val="none" w:sz="0" w:space="0" w:color="auto"/>
      </w:divBdr>
    </w:div>
    <w:div w:id="1951626037">
      <w:bodyDiv w:val="1"/>
      <w:marLeft w:val="0"/>
      <w:marRight w:val="0"/>
      <w:marTop w:val="0"/>
      <w:marBottom w:val="0"/>
      <w:divBdr>
        <w:top w:val="none" w:sz="0" w:space="0" w:color="auto"/>
        <w:left w:val="none" w:sz="0" w:space="0" w:color="auto"/>
        <w:bottom w:val="none" w:sz="0" w:space="0" w:color="auto"/>
        <w:right w:val="none" w:sz="0" w:space="0" w:color="auto"/>
      </w:divBdr>
    </w:div>
    <w:div w:id="1981183319">
      <w:bodyDiv w:val="1"/>
      <w:marLeft w:val="0"/>
      <w:marRight w:val="0"/>
      <w:marTop w:val="0"/>
      <w:marBottom w:val="0"/>
      <w:divBdr>
        <w:top w:val="none" w:sz="0" w:space="0" w:color="auto"/>
        <w:left w:val="none" w:sz="0" w:space="0" w:color="auto"/>
        <w:bottom w:val="none" w:sz="0" w:space="0" w:color="auto"/>
        <w:right w:val="none" w:sz="0" w:space="0" w:color="auto"/>
      </w:divBdr>
    </w:div>
    <w:div w:id="1989893287">
      <w:bodyDiv w:val="1"/>
      <w:marLeft w:val="0"/>
      <w:marRight w:val="0"/>
      <w:marTop w:val="0"/>
      <w:marBottom w:val="0"/>
      <w:divBdr>
        <w:top w:val="none" w:sz="0" w:space="0" w:color="auto"/>
        <w:left w:val="none" w:sz="0" w:space="0" w:color="auto"/>
        <w:bottom w:val="none" w:sz="0" w:space="0" w:color="auto"/>
        <w:right w:val="none" w:sz="0" w:space="0" w:color="auto"/>
      </w:divBdr>
    </w:div>
    <w:div w:id="2026710654">
      <w:bodyDiv w:val="1"/>
      <w:marLeft w:val="0"/>
      <w:marRight w:val="0"/>
      <w:marTop w:val="0"/>
      <w:marBottom w:val="0"/>
      <w:divBdr>
        <w:top w:val="none" w:sz="0" w:space="0" w:color="auto"/>
        <w:left w:val="none" w:sz="0" w:space="0" w:color="auto"/>
        <w:bottom w:val="none" w:sz="0" w:space="0" w:color="auto"/>
        <w:right w:val="none" w:sz="0" w:space="0" w:color="auto"/>
      </w:divBdr>
      <w:divsChild>
        <w:div w:id="936793307">
          <w:marLeft w:val="0"/>
          <w:marRight w:val="0"/>
          <w:marTop w:val="0"/>
          <w:marBottom w:val="0"/>
          <w:divBdr>
            <w:top w:val="none" w:sz="0" w:space="0" w:color="auto"/>
            <w:left w:val="none" w:sz="0" w:space="0" w:color="auto"/>
            <w:bottom w:val="none" w:sz="0" w:space="0" w:color="auto"/>
            <w:right w:val="none" w:sz="0" w:space="0" w:color="auto"/>
          </w:divBdr>
          <w:divsChild>
            <w:div w:id="460151939">
              <w:marLeft w:val="0"/>
              <w:marRight w:val="0"/>
              <w:marTop w:val="0"/>
              <w:marBottom w:val="0"/>
              <w:divBdr>
                <w:top w:val="none" w:sz="0" w:space="0" w:color="auto"/>
                <w:left w:val="none" w:sz="0" w:space="0" w:color="auto"/>
                <w:bottom w:val="none" w:sz="0" w:space="0" w:color="auto"/>
                <w:right w:val="none" w:sz="0" w:space="0" w:color="auto"/>
              </w:divBdr>
              <w:divsChild>
                <w:div w:id="1997681088">
                  <w:marLeft w:val="0"/>
                  <w:marRight w:val="0"/>
                  <w:marTop w:val="0"/>
                  <w:marBottom w:val="0"/>
                  <w:divBdr>
                    <w:top w:val="none" w:sz="0" w:space="0" w:color="auto"/>
                    <w:left w:val="none" w:sz="0" w:space="0" w:color="auto"/>
                    <w:bottom w:val="none" w:sz="0" w:space="0" w:color="auto"/>
                    <w:right w:val="none" w:sz="0" w:space="0" w:color="auto"/>
                  </w:divBdr>
                  <w:divsChild>
                    <w:div w:id="1976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ommunications@humanrights.gov.a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humanrights.gov.au/our-work/commission-general/covid-19-informatio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humanrights.gov.au/our-work/public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reativecommons.org/licenses/by/4.0/legalcode" TargetMode="External"/><Relationship Id="rId20" Type="http://schemas.openxmlformats.org/officeDocument/2006/relationships/hyperlink" Target="https://www.dss.gov.au/disability-and-carers/information-and-referrals-for-people-with-disability-and-their-supporters-about-coronavirus-covid-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humanrights.gov.au/our-work/legal/web-links"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qdn.org.au/knowyourrightscovid19"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s://www.health.gov.au/news/health-alerts/novel-coronavirus-2019-ncov-health-alert/advice-for-people-at-risk-of-coronavirus-covid-19/coronavirus-covid-19-advice-for-people-with-disabilit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ideas.org.au/covid-crisis.html" TargetMode="External"/><Relationship Id="rId27" Type="http://schemas.openxmlformats.org/officeDocument/2006/relationships/footer" Target="footer1.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dpoa.org.au/wp-content/uploads/2020/04/Statement-of-Concern-COVID-19-Human-rights-disability-and-ethical-decision-making_Final.pdf" TargetMode="External"/><Relationship Id="rId13" Type="http://schemas.openxmlformats.org/officeDocument/2006/relationships/hyperlink" Target="https://unsdg.un.org/resources/policy-brief-disability-inclusive-response-covid-19" TargetMode="External"/><Relationship Id="rId18" Type="http://schemas.openxmlformats.org/officeDocument/2006/relationships/hyperlink" Target="https://www.ohchr.org/Documents/Issues/Disability/COVID-19_and_The_Rights_of_Persons_with_Disabilities.pdf" TargetMode="External"/><Relationship Id="rId26" Type="http://schemas.openxmlformats.org/officeDocument/2006/relationships/hyperlink" Target="https://www.health.gov.au/news/health-alerts/novel-coronavirus-2019-ncov-health-alert/advice-for-people-at-risk-of-coronavirus-covid-19/coronavirus-covid-19-advice-for-people-with-disability" TargetMode="External"/><Relationship Id="rId3" Type="http://schemas.openxmlformats.org/officeDocument/2006/relationships/hyperlink" Target="https://www.aihw.gov.au/reports/disability/people-with-disability-in-australia/personal-factors" TargetMode="External"/><Relationship Id="rId21" Type="http://schemas.openxmlformats.org/officeDocument/2006/relationships/hyperlink" Target="https://www.dal.ca/sites/gmr/our-tools/clinical-frailty-scale.html" TargetMode="External"/><Relationship Id="rId7" Type="http://schemas.openxmlformats.org/officeDocument/2006/relationships/hyperlink" Target="https://disability.royalcommission.gov.au/system/files/2020-03/COVID-19%20Statement%20of%20concern.pdf" TargetMode="External"/><Relationship Id="rId12" Type="http://schemas.openxmlformats.org/officeDocument/2006/relationships/hyperlink" Target="https://www.ohchr.org/EN/NewsEvents/Pages/DisplayNews.aspx?NewsID=25847&amp;LangID=E" TargetMode="External"/><Relationship Id="rId17" Type="http://schemas.openxmlformats.org/officeDocument/2006/relationships/hyperlink" Target="https://petrieflom.law.harvard.edu/events/details/book-launch-disability-health-law-and-bioethics" TargetMode="External"/><Relationship Id="rId25" Type="http://schemas.openxmlformats.org/officeDocument/2006/relationships/hyperlink" Target="https://www.anzics.com.au/wp-content/uploads/2020/04/ANZI_3367_Guiding-Principles.pdf" TargetMode="External"/><Relationship Id="rId2" Type="http://schemas.openxmlformats.org/officeDocument/2006/relationships/hyperlink" Target="https://www.ohchr.org/EN/HRBodies/CRPD/Pages/CRPDIndex.aspx" TargetMode="External"/><Relationship Id="rId16" Type="http://schemas.openxmlformats.org/officeDocument/2006/relationships/hyperlink" Target="https://doi.org/10.12688/wellcomeopenres.15833.1" TargetMode="External"/><Relationship Id="rId20" Type="http://schemas.openxmlformats.org/officeDocument/2006/relationships/hyperlink" Target="https://www.humanrights.gov.au/our-work/rights-and-freedoms/human-rights-based-approaches" TargetMode="External"/><Relationship Id="rId29" Type="http://schemas.openxmlformats.org/officeDocument/2006/relationships/hyperlink" Target="https://www.ideas.org.au/covid-crisis.html" TargetMode="External"/><Relationship Id="rId1" Type="http://schemas.openxmlformats.org/officeDocument/2006/relationships/hyperlink" Target="https://www.ohchr.org/EN/NewsEvents/Pages/DisplayNews.aspx?NewsID=25942&amp;LangID=E" TargetMode="External"/><Relationship Id="rId6" Type="http://schemas.openxmlformats.org/officeDocument/2006/relationships/hyperlink" Target="https://www.humanrights.gov.au/about/news/e-bulletin/community-update-covid-19-8-april-2020" TargetMode="External"/><Relationship Id="rId11" Type="http://schemas.openxmlformats.org/officeDocument/2006/relationships/hyperlink" Target="https://www.un.org/en/coronavirus/we-have-unique-opportunity-design-and-implement-more-inclusive-and-accessible-societies" TargetMode="External"/><Relationship Id="rId24" Type="http://schemas.openxmlformats.org/officeDocument/2006/relationships/hyperlink" Target="https://www.anzics.com.au/wp-content/uploads/2020/04/ANZI_3367_Guiding-Principles.pdf" TargetMode="External"/><Relationship Id="rId5" Type="http://schemas.openxmlformats.org/officeDocument/2006/relationships/hyperlink" Target="https://disability.royalcommission.gov.au/publications/transcript-day-9-health-care-sydney" TargetMode="External"/><Relationship Id="rId15" Type="http://schemas.openxmlformats.org/officeDocument/2006/relationships/hyperlink" Target="https://fpdn.org.au/wp-content/uploads/2020/04/COVID-19-Ethical-decision-making-for-First-Peoples-Living-with-Disability.pdf" TargetMode="External"/><Relationship Id="rId23" Type="http://schemas.openxmlformats.org/officeDocument/2006/relationships/hyperlink" Target="https://www.anzics.com.au/wp-content/uploads/2020/04/ANZI_3367_Guiding-Principles.pdf" TargetMode="External"/><Relationship Id="rId28" Type="http://schemas.openxmlformats.org/officeDocument/2006/relationships/hyperlink" Target="https://humanrights.gov.au/our-work/commission-general/covid-19-information" TargetMode="External"/><Relationship Id="rId10" Type="http://schemas.openxmlformats.org/officeDocument/2006/relationships/hyperlink" Target="https://www.ohchr.org/EN/NewsEvents/Pages/DisplayNews.aspx?NewsID=25746&amp;LangID=E" TargetMode="External"/><Relationship Id="rId19" Type="http://schemas.openxmlformats.org/officeDocument/2006/relationships/hyperlink" Target="https://www.hhs.gov/about/news/2020/03/28/ocr-issues-bulletin-on-civil-rights-laws-and-hipaa-flexibilities-that-apply-during-the-covid-19-emergency.html" TargetMode="External"/><Relationship Id="rId4" Type="http://schemas.openxmlformats.org/officeDocument/2006/relationships/hyperlink" Target="https://www.aihw.gov.au/reports/disability/people-with-disability-in-australia/social-support" TargetMode="External"/><Relationship Id="rId9" Type="http://schemas.openxmlformats.org/officeDocument/2006/relationships/hyperlink" Target="https://www.ohchr.org/EN/NewsEvents/Pages/DisplayNews.aspx?NewsID=25725&amp;LangID=E&amp;fbclid=IwAR0BtrEp7xOtFlARx_MRhcdxTyNJCVymIS0eBi55zc8Q4P9QysdtzvZDS3k" TargetMode="External"/><Relationship Id="rId14" Type="http://schemas.openxmlformats.org/officeDocument/2006/relationships/hyperlink" Target="https://www.who.int/publications-detail/addressing-human-rights-as-key-to-the-covid-19-response" TargetMode="External"/><Relationship Id="rId22" Type="http://schemas.openxmlformats.org/officeDocument/2006/relationships/hyperlink" Target="https://www.scfn.org.uk/clinical-frailty-scale" TargetMode="External"/><Relationship Id="rId27" Type="http://schemas.openxmlformats.org/officeDocument/2006/relationships/hyperlink" Target="https://www.dss.gov.au/disability-and-carers/information-and-referrals-for-people-with-disability-and-their-supporters-about-coronavirus-covid-19" TargetMode="External"/><Relationship Id="rId30" Type="http://schemas.openxmlformats.org/officeDocument/2006/relationships/hyperlink" Target="https://www.qdn.org.au/knowyourrightscovid1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stro">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Divider xmlns="6500fe01-343b-4fb9-a1b0-68ac19d62e01" xsi:nil="true"/>
    <TaxCatchAll xmlns="6500fe01-343b-4fb9-a1b0-68ac19d62e01"/>
    <_dlc_DocId xmlns="6500fe01-343b-4fb9-a1b0-68ac19d62e01">RUUPY3S2X5Q7-1593504575-65</_dlc_DocId>
    <_dlc_DocIdUrl xmlns="6500fe01-343b-4fb9-a1b0-68ac19d62e01">
      <Url>https://australianhrc.sharepoint.com/sites/PolicyExternalProjects/_layouts/15/DocIdRedir.aspx?ID=RUUPY3S2X5Q7-1593504575-65</Url>
      <Description>RUUPY3S2X5Q7-1593504575-65</Description>
    </_dlc_DocIdUrl>
    <TaxKeywordTaxHTField xmlns="6500fe01-343b-4fb9-a1b0-68ac19d62e01">
      <Terms xmlns="http://schemas.microsoft.com/office/infopath/2007/PartnerControls"/>
    </TaxKeywordTaxHTField>
    <fbe8333e833142b1aa4e528d7d71931d xmlns="f38bc97f-71db-45c8-93e4-332747d752e1">
      <Terms xmlns="http://schemas.microsoft.com/office/infopath/2007/PartnerControls"/>
    </fbe8333e833142b1aa4e528d7d71931d>
    <To xmlns="f38bc97f-71db-45c8-93e4-332747d752e1" xsi:nil="true"/>
    <Has_x0020_Attachments xmlns="f38bc97f-71db-45c8-93e4-332747d752e1" xsi:nil="true"/>
    <Subdivider xmlns="f38bc97f-71db-45c8-93e4-332747d752e1" xsi:nil="true"/>
    <Download xmlns="f38bc97f-71db-45c8-93e4-332747d752e1" xsi:nil="true"/>
    <Received_x002f_Sent xmlns="f38bc97f-71db-45c8-93e4-332747d752e1" xsi:nil="true"/>
    <Open_x0020_in_x0020_Outlook xmlns="f38bc97f-71db-45c8-93e4-332747d752e1" xsi:nil="true"/>
    <From1 xmlns="f38bc97f-71db-45c8-93e4-332747d752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B9AFCE1FC68949B005428227857A4C" ma:contentTypeVersion="59" ma:contentTypeDescription="Create a new document." ma:contentTypeScope="" ma:versionID="7c661f6cabcf3a5179729f12170ee77a">
  <xsd:schema xmlns:xsd="http://www.w3.org/2001/XMLSchema" xmlns:xs="http://www.w3.org/2001/XMLSchema" xmlns:p="http://schemas.microsoft.com/office/2006/metadata/properties" xmlns:ns2="6500fe01-343b-4fb9-a1b0-68ac19d62e01" xmlns:ns3="f38bc97f-71db-45c8-93e4-332747d752e1" xmlns:ns4="459cae25-a7c3-4f2b-8996-0803c9c578c8" targetNamespace="http://schemas.microsoft.com/office/2006/metadata/properties" ma:root="true" ma:fieldsID="24322dd325bb6337b9109cf5c07d0449" ns2:_="" ns3:_="" ns4:_="">
    <xsd:import namespace="6500fe01-343b-4fb9-a1b0-68ac19d62e01"/>
    <xsd:import namespace="f38bc97f-71db-45c8-93e4-332747d752e1"/>
    <xsd:import namespace="459cae25-a7c3-4f2b-8996-0803c9c578c8"/>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Subdivider"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dexed="true" ma:internalName="Divider">
      <xsd:simpleType>
        <xsd:restriction base="dms:Text">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18"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dexed="true" ma:internalName="Download" ma:readOnly="false">
      <xsd:simpleType>
        <xsd:restriction base="dms:Text">
          <xsd:maxLength value="255"/>
        </xsd:restriction>
      </xsd:simpleType>
    </xsd:element>
    <xsd:element name="Open_x0020_in_x0020_Outlook" ma:index="25" nillable="true" ma:displayName="Open in Outlook" ma:hidden="true" ma:indexed="true" ma:internalName="Open_x0020_in_x0020_Outlook"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9cae25-a7c3-4f2b-8996-0803c9c578c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75c5ac6-a0cc-43ed-b850-4a2ae59237b6"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A7C8-8BCA-45A5-9075-A1E514F65362}">
  <ds:schemaRefs>
    <ds:schemaRef ds:uri="http://schemas.microsoft.com/office/2006/metadata/customXsn"/>
  </ds:schemaRefs>
</ds:datastoreItem>
</file>

<file path=customXml/itemProps2.xml><?xml version="1.0" encoding="utf-8"?>
<ds:datastoreItem xmlns:ds="http://schemas.openxmlformats.org/officeDocument/2006/customXml" ds:itemID="{4E3958AE-29B7-4595-A8D0-0AF285D920F3}">
  <ds:schemaRefs>
    <ds:schemaRef ds:uri="http://schemas.microsoft.com/sharepoint/events"/>
  </ds:schemaRefs>
</ds:datastoreItem>
</file>

<file path=customXml/itemProps3.xml><?xml version="1.0" encoding="utf-8"?>
<ds:datastoreItem xmlns:ds="http://schemas.openxmlformats.org/officeDocument/2006/customXml" ds:itemID="{00EBF5FD-0819-4872-8496-320B530989BF}">
  <ds:schemaRefs>
    <ds:schemaRef ds:uri="http://schemas.microsoft.com/office/2006/metadata/properties"/>
    <ds:schemaRef ds:uri="6500fe01-343b-4fb9-a1b0-68ac19d62e01"/>
    <ds:schemaRef ds:uri="http://schemas.microsoft.com/office/infopath/2007/PartnerControls"/>
    <ds:schemaRef ds:uri="f38bc97f-71db-45c8-93e4-332747d752e1"/>
  </ds:schemaRefs>
</ds:datastoreItem>
</file>

<file path=customXml/itemProps4.xml><?xml version="1.0" encoding="utf-8"?>
<ds:datastoreItem xmlns:ds="http://schemas.openxmlformats.org/officeDocument/2006/customXml" ds:itemID="{D90F6DC6-627F-43E9-B3CA-C9698183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f38bc97f-71db-45c8-93e4-332747d752e1"/>
    <ds:schemaRef ds:uri="459cae25-a7c3-4f2b-8996-0803c9c57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1272D1-F624-4DFF-B412-9F03E3163DF9}">
  <ds:schemaRefs>
    <ds:schemaRef ds:uri="http://schemas.microsoft.com/sharepoint/v3/contenttype/forms"/>
  </ds:schemaRefs>
</ds:datastoreItem>
</file>

<file path=customXml/itemProps6.xml><?xml version="1.0" encoding="utf-8"?>
<ds:datastoreItem xmlns:ds="http://schemas.openxmlformats.org/officeDocument/2006/customXml" ds:itemID="{9FF4F63A-D246-437E-B705-28CB39B228F5}">
  <ds:schemaRefs>
    <ds:schemaRef ds:uri="Microsoft.SharePoint.Taxonomy.ContentTypeSync"/>
  </ds:schemaRefs>
</ds:datastoreItem>
</file>

<file path=customXml/itemProps7.xml><?xml version="1.0" encoding="utf-8"?>
<ds:datastoreItem xmlns:ds="http://schemas.openxmlformats.org/officeDocument/2006/customXml" ds:itemID="{6DFA833C-3AC5-450A-82B4-9CB8DBEF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6313</Words>
  <Characters>36292</Characters>
  <Application>Microsoft Office Word</Application>
  <DocSecurity>4</DocSecurity>
  <Lines>302</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Human Rights and Equal Opportunity Commission</Company>
  <LinksUpToDate>false</LinksUpToDate>
  <CharactersWithSpaces>42520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Afton Fife</dc:creator>
  <cp:keywords/>
  <dc:description/>
  <cp:lastModifiedBy>Afton Fife</cp:lastModifiedBy>
  <cp:revision>2</cp:revision>
  <cp:lastPrinted>2020-07-25T10:47:00Z</cp:lastPrinted>
  <dcterms:created xsi:type="dcterms:W3CDTF">2020-08-19T20:18:00Z</dcterms:created>
  <dcterms:modified xsi:type="dcterms:W3CDTF">2020-08-19T20:18:00Z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0x010100F8B9AFCE1FC68949B005428227857A4C</vt:lpwstr>
  </property>
  <property fmtid="{D5CDD505-2E9C-101B-9397-08002B2CF9AE}" pid="3" name="_DocHome">
    <vt:i4>87286831</vt:i4>
  </property>
  <property fmtid="{D5CDD505-2E9C-101B-9397-08002B2CF9AE}" pid="4" name="ZOTERO_PREF_1">
    <vt:lpwstr>&lt;data data-version="3" zotero-version="5.0.66"&gt;&lt;session id="cmfivSW6"/&gt;&lt;style id="http://www.zotero.org/styles/ahrc-australian-guide-to-legal-citation" hasBibliography="1" bibliographyStyleHasBeenSet="0"/&gt;&lt;prefs&gt;&lt;pref name="fieldType" value="Field"/&gt;&lt;pref</vt:lpwstr>
  </property>
  <property fmtid="{D5CDD505-2E9C-101B-9397-08002B2CF9AE}" pid="5" name="ZOTERO_PREF_2">
    <vt:lpwstr> name="automaticJournalAbbreviations" value="true"/&gt;&lt;pref name="noteType" value="2"/&gt;&lt;/prefs&gt;&lt;/data&gt;</vt:lpwstr>
  </property>
  <property fmtid="{D5CDD505-2E9C-101B-9397-08002B2CF9AE}" pid="6" name="TaxKeyword">
    <vt:lpwstr/>
  </property>
  <property fmtid="{D5CDD505-2E9C-101B-9397-08002B2CF9AE}" pid="7" name="TaxKeywordTaxHTField">
    <vt:lpwstr/>
  </property>
  <property fmtid="{D5CDD505-2E9C-101B-9397-08002B2CF9AE}" pid="8" name="Document Type">
    <vt:lpwstr/>
  </property>
  <property fmtid="{D5CDD505-2E9C-101B-9397-08002B2CF9AE}" pid="9" name="_dlc_DocIdItemGuid">
    <vt:lpwstr>13198d5d-e4d7-4510-afb6-9b7c502e8602</vt:lpwstr>
  </property>
</Properties>
</file>