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F92" w14:textId="58218706" w:rsidR="008F3448" w:rsidRDefault="002A5F9D" w:rsidP="00B67D6A">
      <w:pPr>
        <w:spacing w:before="80"/>
        <w:ind w:left="6390"/>
        <w:rPr>
          <w:b/>
          <w:sz w:val="26"/>
        </w:rPr>
      </w:pPr>
      <w:r>
        <w:rPr>
          <w:noProof/>
        </w:rPr>
        <w:pict w14:anchorId="1573D1A7">
          <v:rect id="_x0000_s1043" style="position:absolute;left:0;text-align:left;margin-left:-47pt;margin-top:-53pt;width:610pt;height:105.85pt;z-index:-15808512" fillcolor="#00215b" stroked="f"/>
        </w:pict>
      </w:r>
      <w:r>
        <w:rPr>
          <w:noProof/>
        </w:rPr>
        <w:pict w14:anchorId="5D8A3AFA">
          <v:rect id="_x0000_s1042" style="position:absolute;left:0;text-align:left;margin-left:-49pt;margin-top:-53pt;width:3.55pt;height:495pt;z-index:-15807488" fillcolor="#00215b" stroked="f"/>
        </w:pict>
      </w:r>
      <w:r>
        <w:rPr>
          <w:noProof/>
        </w:rPr>
        <w:pict w14:anchorId="2FDB2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69.15pt;margin-top:5pt;width:8.3pt;height:11.55pt;z-index:-15796224">
            <v:imagedata r:id="rId5" o:title=""/>
          </v:shape>
        </w:pict>
      </w:r>
      <w:r>
        <w:rPr>
          <w:noProof/>
        </w:rPr>
        <w:pict w14:anchorId="34510BD3">
          <v:shape id="_x0000_s1032" type="#_x0000_t75" style="position:absolute;left:0;text-align:left;margin-left:157.45pt;margin-top:5pt;width:9.75pt;height:11.55pt;z-index:-15797248">
            <v:imagedata r:id="rId6" o:title=""/>
          </v:shape>
        </w:pict>
      </w:r>
      <w:r>
        <w:rPr>
          <w:noProof/>
        </w:rPr>
        <w:pict w14:anchorId="7BD5EBC2">
          <v:shape id="_x0000_s1033" type="#_x0000_t75" style="position:absolute;left:0;text-align:left;margin-left:145.8pt;margin-top:5pt;width:8.95pt;height:11.3pt;z-index:-15798272">
            <v:imagedata r:id="rId7" o:title=""/>
          </v:shape>
        </w:pict>
      </w:r>
      <w:r>
        <w:rPr>
          <w:noProof/>
        </w:rPr>
        <w:pict w14:anchorId="08AD3F83">
          <v:shape id="_x0000_s1034" type="#_x0000_t75" style="position:absolute;left:0;text-align:left;margin-left:132.8pt;margin-top:5pt;width:10.2pt;height:11.55pt;z-index:-15799296">
            <v:imagedata r:id="rId8" o:title=""/>
          </v:shape>
        </w:pict>
      </w:r>
      <w:r>
        <w:rPr>
          <w:noProof/>
        </w:rPr>
        <w:pict w14:anchorId="12298730">
          <v:shape id="_x0000_s1035" type="#_x0000_t75" style="position:absolute;left:0;text-align:left;margin-left:122.4pt;margin-top:5pt;width:8.5pt;height:11.55pt;z-index:-15800320">
            <v:imagedata r:id="rId9" o:title=""/>
          </v:shape>
        </w:pict>
      </w:r>
      <w:r>
        <w:rPr>
          <w:noProof/>
        </w:rPr>
        <w:pict w14:anchorId="36A9CAD4">
          <v:shape id="_x0000_s1036" style="position:absolute;left:0;text-align:left;margin-left:106.75pt;margin-top:-.25pt;width:13.15pt;height:16.6pt;z-index:-15801344" coordorigin="3116,1055" coordsize="263,332" o:spt="100" adj="0,,0" path="m3158,1167r-2,-2l3125,1165r-3,2l3122,1384r3,2l3156,1386r2,-2l3158,1167xm3165,1071r-9,-11l3125,1060r-9,11l3116,1099r9,11l3156,1110r9,-11l3165,1071xm3265,1057r-2,-2l3232,1055r-3,2l3229,1384r3,2l3238,1386r25,l3265,1384r,-327xm3372,1167r-2,-2l3339,1165r-3,2l3336,1384r3,2l3370,1386r2,-2l3372,1167xm3379,1071r-9,-11l3339,1060r-9,11l3330,1099r9,11l3370,1110r9,-11l3379,1071xe" stroked="f">
            <v:stroke joinstyle="round"/>
            <v:formulas/>
            <v:path arrowok="t" o:connecttype="segments"/>
          </v:shape>
        </w:pict>
      </w:r>
      <w:r>
        <w:rPr>
          <w:noProof/>
        </w:rPr>
        <w:pict w14:anchorId="18DA4085">
          <v:shape id="_x0000_s1037" type="#_x0000_t75" style="position:absolute;left:0;text-align:left;margin-left:94.3pt;margin-top:.8pt;width:10.05pt;height:15.75pt;z-index:-15802368">
            <v:imagedata r:id="rId10" o:title=""/>
          </v:shape>
        </w:pict>
      </w:r>
      <w:r>
        <w:rPr>
          <w:noProof/>
        </w:rPr>
        <w:pict w14:anchorId="64F38B9B">
          <v:shape id="_x0000_s1038" type="#_x0000_t75" style="position:absolute;left:0;text-align:left;margin-left:78.05pt;margin-top:1.05pt;width:9pt;height:15.3pt;z-index:-15803392">
            <v:imagedata r:id="rId11" o:title=""/>
          </v:shape>
        </w:pict>
      </w:r>
      <w:r>
        <w:rPr>
          <w:noProof/>
        </w:rPr>
        <w:pict w14:anchorId="6B870C9A">
          <v:shape id="_x0000_s1039" type="#_x0000_t75" style="position:absolute;left:0;text-align:left;margin-left:62.05pt;margin-top:.8pt;width:12.45pt;height:15.75pt;z-index:-15804416">
            <v:imagedata r:id="rId12" o:title=""/>
          </v:shape>
        </w:pict>
      </w:r>
      <w:r>
        <w:rPr>
          <w:noProof/>
        </w:rPr>
        <w:pict w14:anchorId="18AB149C">
          <v:shape id="_x0000_s1040" style="position:absolute;left:0;text-align:left;margin-left:5pt;margin-top:-13.6pt;width:45pt;height:45pt;z-index:-15805440" coordorigin="1080,788" coordsize="900,900" o:spt="100" adj="0,,0" path="m1530,788r-73,6l1388,812r-65,28l1264,876r-52,44l1167,974r-37,58l1103,1096r-17,70l1080,1238r6,74l1103,1382r27,64l1167,1506r45,52l1264,1602r59,36l1388,1666r69,18l1530,1688r73,-4l1664,1668r-134,l1453,1660r-73,-20l1314,1610r-60,-44l1202,1516r-42,-60l1128,1388r-20,-72l1101,1238r7,-76l1128,1090r32,-68l1202,962r52,-50l1314,868r66,-32l1453,818r77,-8l1664,810r-61,-16l1530,788xm1664,810r-134,l1607,818r73,20l1746,868r60,44l1858,964r42,60l1932,1090r20,72l1959,1238r-7,78l1932,1388r-32,68l1858,1516r-52,50l1746,1610r-66,30l1607,1660r-77,8l1664,1668r8,-2l1737,1638r59,-36l1848,1558r45,-52l1930,1446r27,-64l1974,1312r6,-74l1974,1166r-17,-70l1930,1032r-37,-58l1848,920r-52,-44l1737,840r-65,-28l1664,810xm1404,1616r,l1403,1618r-1,l1402,1620r1,l1419,1626r28,6l1484,1638r46,2l1601,1634r8,-2l1500,1632r-35,-2l1436,1626r-21,-6l1404,1616xm1778,1550r-222,l1568,1554r10,6l1585,1570r2,12l1581,1602r-17,16l1537,1628r-37,4l1609,1632r62,-16l1735,1584r43,-34xm1152,1112r-3,l1145,1122r-6,28l1132,1190r-3,48l1135,1310r18,70l1185,1444r44,56l1286,1546r71,30l1380,1584r45,8l1448,1592r42,-6l1516,1572r19,-14l1556,1550r222,l1791,1540r45,-56l1840,1474r-486,l1322,1468r-22,-16l1286,1428r-4,-26l1285,1380r9,-24l1308,1334r19,-22l1347,1296r-159,l1168,1290r-16,-16l1141,1246r-4,-36l1139,1174r5,-30l1149,1124r3,-10l1152,1112xm1607,1178r-22,16l1560,1210r-29,18l1493,1250r-2,30l1487,1310r-4,28l1476,1364r-20,44l1429,1442r-34,24l1354,1474r307,l1604,1460r-40,-30l1539,1384r-8,-48l1541,1278r25,-42l1595,1208r25,-16l1615,1190r-8,-12xm1866,1260r-169,l1733,1268r26,22l1775,1322r6,36l1772,1400r-25,38l1710,1464r-49,10l1840,1474r27,-62l1873,1390r5,-24l1882,1344r1,-22l1876,1280r-10,-20xm1454,1272r-45,24l1367,1328r-31,36l1323,1404r2,14l1332,1428r9,6l1354,1434r41,-16l1424,1380r19,-52l1454,1272xm1657,1212r-24,12l1607,1244r-21,36l1577,1332r6,38l1601,1404r27,22l1663,1434r29,-6l1715,1412r17,-24l1733,1384r-67,l1649,1380r-14,-12l1626,1350r-4,-22l1628,1302r16,-22l1667,1266r30,-6l1866,1260r-4,-8l1848,1234r-5,-18l1693,1216r-25,-2l1657,1212xm1695,1298r-11,2l1674,1304r-7,10l1664,1324r2,16l1673,1350r7,8l1683,1368r,12l1675,1384r58,l1738,1356r-2,-22l1728,1316r-14,-14l1695,1298xm1926,1182r-54,l1892,1188r16,18l1919,1234r3,34l1923,1272r-3,34l1915,1336r-5,22l1908,1366r,l1908,1368r3,l1915,1358r7,-28l1929,1290r2,-46l1931,1234r-5,-52xm1530,838r-71,6l1390,862r-64,32l1270,938r-45,58l1193,1066r-6,24l1182,1112r-4,22l1177,1156r7,44l1198,1226r14,20l1218,1266r-2,12l1209,1288r-9,6l1188,1296r159,l1355,1290r30,-20l1419,1252r39,-20l1459,1226r-47,l1393,1222r-16,-10l1366,1196r-7,-16l1335,1174r-20,-14l1302,1138r-5,-26l1299,1092r6,-18l1314,1062r13,-4l1383,1058r6,-12l1422,1010r39,-14l1844,996r-13,-16l1774,934r-13,-6l1504,928r-13,-4l1481,918r-6,-10l1473,898r6,-20l1496,862r28,-12l1560,846r48,l1578,840r-48,-2xm1461,1208r-11,8l1437,1222r-25,4l1459,1226r2,-18xm1925,1174r-235,l1702,1176r12,4l1723,1186r4,8l1717,1210r-24,6l1843,1216r-1,-4l1844,1200r6,-10l1860,1184r12,-2l1926,1182r-1,-8xm1595,1100r-65,l1535,1106r,10l1532,1130r-9,16l1511,1162r-11,12l1496,1194r-1,12l1495,1212r29,-18l1549,1180r23,-16l1595,1148r-3,-8l1592,1120r3,-20xm1682,996r-221,l1484,1000r13,12l1502,1024r2,12l1494,1080r-25,42l1434,1154r-36,22l1399,1180r5,14l1419,1194r15,-2l1448,1184r13,-10l1471,1162r7,-20l1488,1122r15,-16l1520,1100r75,l1599,1076r19,-40l1646,1006r36,-10xm1844,996r-162,l1701,1000r14,8l1723,1022r3,16l1719,1070r-18,28l1674,1128r-36,28l1642,1166r6,10l1657,1180r17,-6l1925,1174r,-6l1906,1100r-31,-64l1844,996xm1383,1058r-49,l1337,1064r,10l1331,1090r,16l1332,1120r5,12l1345,1140r13,4l1366,1094r17,-36xm1461,1030r-21,8l1419,1066r-17,38l1395,1140r32,-24l1454,1080r15,-32l1461,1030xm1685,1030r-17,4l1651,1054r-14,30l1631,1122r27,-26l1680,1068r10,-24l1685,1030xm1612,886r-42,6l1544,906r-19,14l1504,928r257,l1703,902r-23,-6l1657,890r-45,-4xm1608,846r-48,l1599,848r30,6l1649,860r7,2l1658,862r,-2l1658,860r-1,-2l1646,854r-28,-6l1608,846xe" stroked="f">
            <v:stroke joinstyle="round"/>
            <v:formulas/>
            <v:path arrowok="t" o:connecttype="segments"/>
          </v:shape>
        </w:pict>
      </w:r>
      <w:r>
        <w:rPr>
          <w:noProof/>
        </w:rPr>
        <w:pict w14:anchorId="4FC88A5D">
          <v:shape id="_x0000_s1044" type="#_x0000_t75" style="position:absolute;left:0;text-align:left;margin-left:-49pt;margin-top:-14.15pt;width:612pt;height:459.8pt;z-index:-15809536">
            <v:imagedata r:id="rId13" o:title=""/>
          </v:shape>
        </w:pict>
      </w:r>
      <w:r w:rsidR="00097C1A">
        <w:rPr>
          <w:b/>
          <w:color w:val="FFFFFF"/>
          <w:sz w:val="26"/>
        </w:rPr>
        <w:t>RECUBRIMIENTOS ARQUITECTÓNICOS</w:t>
      </w:r>
    </w:p>
    <w:p w14:paraId="021DA665" w14:textId="77777777" w:rsidR="008F3448" w:rsidRDefault="008F3448">
      <w:pPr>
        <w:pStyle w:val="BodyText"/>
        <w:rPr>
          <w:b/>
          <w:sz w:val="20"/>
        </w:rPr>
      </w:pPr>
    </w:p>
    <w:p w14:paraId="46852691" w14:textId="77777777" w:rsidR="008F3448" w:rsidRDefault="008F3448">
      <w:pPr>
        <w:pStyle w:val="BodyText"/>
        <w:rPr>
          <w:b/>
          <w:sz w:val="20"/>
        </w:rPr>
      </w:pPr>
    </w:p>
    <w:p w14:paraId="7D255EA6" w14:textId="77777777" w:rsidR="008F3448" w:rsidRDefault="008F3448">
      <w:pPr>
        <w:pStyle w:val="BodyText"/>
        <w:rPr>
          <w:b/>
          <w:sz w:val="20"/>
        </w:rPr>
      </w:pPr>
    </w:p>
    <w:p w14:paraId="1DAD1352" w14:textId="77777777" w:rsidR="008F3448" w:rsidRDefault="008F3448">
      <w:pPr>
        <w:pStyle w:val="BodyText"/>
        <w:spacing w:before="12"/>
        <w:rPr>
          <w:b/>
          <w:sz w:val="23"/>
        </w:rPr>
      </w:pPr>
    </w:p>
    <w:p w14:paraId="13CB04F0" w14:textId="77777777" w:rsidR="008F3448" w:rsidRDefault="00097C1A">
      <w:pPr>
        <w:pStyle w:val="Title"/>
        <w:spacing w:line="196" w:lineRule="auto"/>
      </w:pPr>
      <w:r>
        <w:rPr>
          <w:color w:val="FFFFFF"/>
        </w:rPr>
        <w:t>RECUBRIMIENTO SILSHIELD</w:t>
      </w:r>
      <w:r w:rsidRPr="009941F3">
        <w:rPr>
          <w:color w:val="FFFFFF"/>
          <w:sz w:val="50"/>
          <w:szCs w:val="50"/>
          <w:vertAlign w:val="superscript"/>
        </w:rPr>
        <w:t>*</w:t>
      </w:r>
      <w:r>
        <w:rPr>
          <w:color w:val="FFFFFF"/>
          <w:sz w:val="31"/>
        </w:rPr>
        <w:t> </w:t>
      </w:r>
      <w:r>
        <w:rPr>
          <w:color w:val="FFFFFF"/>
        </w:rPr>
        <w:t>3100</w:t>
      </w:r>
    </w:p>
    <w:p w14:paraId="6E891DFD" w14:textId="77777777" w:rsidR="008F3448" w:rsidRDefault="00097C1A">
      <w:pPr>
        <w:spacing w:before="159"/>
        <w:ind w:left="234"/>
        <w:rPr>
          <w:sz w:val="32"/>
        </w:rPr>
      </w:pPr>
      <w:r>
        <w:rPr>
          <w:color w:val="FFFFFF"/>
          <w:sz w:val="32"/>
        </w:rPr>
        <w:t>Resistencia y color preparados para el futuro</w:t>
      </w:r>
    </w:p>
    <w:p w14:paraId="1D505299" w14:textId="77777777" w:rsidR="008F3448" w:rsidRDefault="008F3448">
      <w:pPr>
        <w:pStyle w:val="BodyText"/>
        <w:rPr>
          <w:sz w:val="20"/>
        </w:rPr>
      </w:pPr>
    </w:p>
    <w:p w14:paraId="2D7D6969" w14:textId="77777777" w:rsidR="008F3448" w:rsidRDefault="008F3448">
      <w:pPr>
        <w:pStyle w:val="BodyText"/>
        <w:rPr>
          <w:sz w:val="20"/>
        </w:rPr>
      </w:pPr>
    </w:p>
    <w:p w14:paraId="3F41B2F7" w14:textId="77777777" w:rsidR="008F3448" w:rsidRDefault="008F3448">
      <w:pPr>
        <w:pStyle w:val="BodyText"/>
        <w:rPr>
          <w:sz w:val="20"/>
        </w:rPr>
      </w:pPr>
    </w:p>
    <w:p w14:paraId="567B950E" w14:textId="77777777" w:rsidR="008F3448" w:rsidRDefault="008F3448">
      <w:pPr>
        <w:pStyle w:val="BodyText"/>
        <w:rPr>
          <w:sz w:val="20"/>
        </w:rPr>
      </w:pPr>
    </w:p>
    <w:p w14:paraId="5E12266E" w14:textId="77777777" w:rsidR="008F3448" w:rsidRDefault="008F3448">
      <w:pPr>
        <w:pStyle w:val="BodyText"/>
        <w:rPr>
          <w:sz w:val="20"/>
        </w:rPr>
      </w:pPr>
    </w:p>
    <w:p w14:paraId="79593CD3" w14:textId="77777777" w:rsidR="008F3448" w:rsidRDefault="008F3448">
      <w:pPr>
        <w:pStyle w:val="BodyText"/>
        <w:rPr>
          <w:sz w:val="20"/>
        </w:rPr>
      </w:pPr>
    </w:p>
    <w:p w14:paraId="6F7F55F2" w14:textId="77777777" w:rsidR="008F3448" w:rsidRDefault="008F3448">
      <w:pPr>
        <w:pStyle w:val="BodyText"/>
        <w:rPr>
          <w:sz w:val="20"/>
        </w:rPr>
      </w:pPr>
    </w:p>
    <w:p w14:paraId="03112951" w14:textId="77777777" w:rsidR="008F3448" w:rsidRDefault="008F3448">
      <w:pPr>
        <w:pStyle w:val="BodyText"/>
        <w:rPr>
          <w:sz w:val="20"/>
        </w:rPr>
      </w:pPr>
    </w:p>
    <w:p w14:paraId="446ABA67" w14:textId="77777777" w:rsidR="008F3448" w:rsidRDefault="008F3448">
      <w:pPr>
        <w:pStyle w:val="BodyText"/>
        <w:rPr>
          <w:sz w:val="20"/>
        </w:rPr>
      </w:pPr>
    </w:p>
    <w:p w14:paraId="4D7DE12E" w14:textId="77777777" w:rsidR="008F3448" w:rsidRDefault="008F3448">
      <w:pPr>
        <w:pStyle w:val="BodyText"/>
        <w:rPr>
          <w:sz w:val="20"/>
        </w:rPr>
      </w:pPr>
    </w:p>
    <w:p w14:paraId="7134716F" w14:textId="77777777" w:rsidR="008F3448" w:rsidRDefault="008F3448">
      <w:pPr>
        <w:pStyle w:val="BodyText"/>
        <w:rPr>
          <w:sz w:val="20"/>
        </w:rPr>
      </w:pPr>
    </w:p>
    <w:p w14:paraId="03F0935C" w14:textId="77777777" w:rsidR="008F3448" w:rsidRDefault="008F3448">
      <w:pPr>
        <w:pStyle w:val="BodyText"/>
        <w:rPr>
          <w:sz w:val="20"/>
        </w:rPr>
      </w:pPr>
    </w:p>
    <w:p w14:paraId="3F51D06B" w14:textId="77777777" w:rsidR="008F3448" w:rsidRDefault="008F3448">
      <w:pPr>
        <w:pStyle w:val="BodyText"/>
        <w:rPr>
          <w:sz w:val="20"/>
        </w:rPr>
      </w:pPr>
    </w:p>
    <w:p w14:paraId="40B561DA" w14:textId="77777777" w:rsidR="008F3448" w:rsidRDefault="008F3448">
      <w:pPr>
        <w:pStyle w:val="BodyText"/>
        <w:rPr>
          <w:sz w:val="20"/>
        </w:rPr>
      </w:pPr>
    </w:p>
    <w:p w14:paraId="0977BEE4" w14:textId="77777777" w:rsidR="008F3448" w:rsidRDefault="008F3448">
      <w:pPr>
        <w:pStyle w:val="BodyText"/>
        <w:rPr>
          <w:sz w:val="20"/>
        </w:rPr>
      </w:pPr>
    </w:p>
    <w:p w14:paraId="51E2EA5F" w14:textId="77777777" w:rsidR="008F3448" w:rsidRDefault="008F3448">
      <w:pPr>
        <w:pStyle w:val="BodyText"/>
        <w:rPr>
          <w:sz w:val="20"/>
        </w:rPr>
      </w:pPr>
    </w:p>
    <w:p w14:paraId="09462B89" w14:textId="77777777" w:rsidR="008F3448" w:rsidRDefault="008F3448">
      <w:pPr>
        <w:pStyle w:val="BodyText"/>
        <w:rPr>
          <w:sz w:val="20"/>
        </w:rPr>
      </w:pPr>
    </w:p>
    <w:p w14:paraId="6400E542" w14:textId="77777777" w:rsidR="008F3448" w:rsidRDefault="008F3448">
      <w:pPr>
        <w:pStyle w:val="BodyText"/>
        <w:rPr>
          <w:sz w:val="20"/>
        </w:rPr>
      </w:pPr>
    </w:p>
    <w:p w14:paraId="1168018D" w14:textId="77777777" w:rsidR="008F3448" w:rsidRDefault="008F3448">
      <w:pPr>
        <w:pStyle w:val="BodyText"/>
        <w:rPr>
          <w:sz w:val="20"/>
        </w:rPr>
      </w:pPr>
    </w:p>
    <w:p w14:paraId="5E103944" w14:textId="77777777" w:rsidR="008F3448" w:rsidRDefault="008F3448">
      <w:pPr>
        <w:pStyle w:val="BodyText"/>
        <w:rPr>
          <w:sz w:val="20"/>
        </w:rPr>
      </w:pPr>
    </w:p>
    <w:p w14:paraId="2F71C4A3" w14:textId="77777777" w:rsidR="008F3448" w:rsidRDefault="008F3448">
      <w:pPr>
        <w:pStyle w:val="BodyText"/>
        <w:rPr>
          <w:sz w:val="20"/>
        </w:rPr>
      </w:pPr>
    </w:p>
    <w:p w14:paraId="3A918060" w14:textId="1B0575C5" w:rsidR="008F3448" w:rsidRDefault="002A5F9D">
      <w:pPr>
        <w:pStyle w:val="BodyText"/>
        <w:rPr>
          <w:sz w:val="20"/>
        </w:rPr>
      </w:pPr>
      <w:r>
        <w:rPr>
          <w:noProof/>
          <w:sz w:val="20"/>
        </w:rPr>
        <w:pict w14:anchorId="3B83BE17">
          <v:rect id="_x0000_s1041" style="position:absolute;margin-left:-49pt;margin-top:8.4pt;width:612pt;height:297pt;z-index:-15806464" fillcolor="#e4a327" stroked="f"/>
        </w:pict>
      </w:r>
    </w:p>
    <w:p w14:paraId="7AF6B093" w14:textId="77777777" w:rsidR="008F3448" w:rsidRDefault="008F3448">
      <w:pPr>
        <w:pStyle w:val="BodyText"/>
        <w:rPr>
          <w:sz w:val="20"/>
        </w:rPr>
      </w:pPr>
    </w:p>
    <w:p w14:paraId="64E0DF1A" w14:textId="77777777" w:rsidR="008F3448" w:rsidRDefault="008F3448">
      <w:pPr>
        <w:pStyle w:val="BodyText"/>
        <w:rPr>
          <w:sz w:val="20"/>
        </w:rPr>
      </w:pPr>
    </w:p>
    <w:p w14:paraId="08F82254" w14:textId="05342E29" w:rsidR="008F3448" w:rsidRDefault="002A5F9D">
      <w:pPr>
        <w:spacing w:before="101" w:line="295" w:lineRule="auto"/>
        <w:ind w:left="4574" w:right="113"/>
        <w:rPr>
          <w:sz w:val="20"/>
        </w:rPr>
      </w:pPr>
      <w:r>
        <w:rPr>
          <w:noProof/>
          <w:color w:val="FFFFFF"/>
          <w:sz w:val="20"/>
        </w:rPr>
        <w:pict w14:anchorId="3DDB8D2C">
          <v:shape id="_x0000_s1030" type="#_x0000_t75" style="position:absolute;left:0;text-align:left;margin-left:24.85pt;margin-top:12.3pt;width:131.4pt;height:157.6pt;z-index:-15795200">
            <v:imagedata r:id="rId14" o:title=""/>
          </v:shape>
        </w:pict>
      </w:r>
      <w:r w:rsidR="00097C1A">
        <w:rPr>
          <w:color w:val="FFFFFF"/>
          <w:sz w:val="20"/>
        </w:rPr>
        <w:t>Cuando las demandas de un proyecto exigen resistencia, estilo y eficacia, puede confiar en el recubrimiento SilShield 3100 de GE Silicones. Con una fórmula de silicona diseñada para durar, este recubrimiento arquitectónico ofrece a los exteriores un poder impermeabilizante confiable. Su alta retención de color y extrema resistencia a la degradación pueden lograr que las construcciones luzcan hermosas durante varios decenios. Además, el recubrimiento SilShield 3100 puede simplificar la aplicación, ya que se adhiere sin necesidad de usar imprimador, casi no requiere preparación, se cura rápidamente y se puede almacenar a temperaturas bajas.</w:t>
      </w:r>
    </w:p>
    <w:p w14:paraId="3249B753" w14:textId="77777777" w:rsidR="008F3448" w:rsidRDefault="00097C1A">
      <w:pPr>
        <w:spacing w:before="178" w:line="295" w:lineRule="auto"/>
        <w:ind w:left="4574"/>
        <w:rPr>
          <w:sz w:val="20"/>
        </w:rPr>
      </w:pPr>
      <w:r>
        <w:rPr>
          <w:color w:val="FFFFFF"/>
          <w:sz w:val="20"/>
        </w:rPr>
        <w:t>Decídase por SilShield 3100 para alcanzar el efecto estético deseado con prácticamente una variedad incontable de colores. O aborde los requisitos de sostenibilidad con la fórmula baja en compuestos orgánicos volátiles (COV) de SilShield. El recubrimiento SilShield 3100 es una solución excelente y duradera para proyectos nuevos o de renovación.</w:t>
      </w:r>
    </w:p>
    <w:p w14:paraId="510AB794" w14:textId="77777777" w:rsidR="008F3448" w:rsidRDefault="008F3448">
      <w:pPr>
        <w:spacing w:line="295" w:lineRule="auto"/>
        <w:rPr>
          <w:sz w:val="20"/>
        </w:rPr>
        <w:sectPr w:rsidR="008F3448">
          <w:type w:val="continuous"/>
          <w:pgSz w:w="12240" w:h="15840"/>
          <w:pgMar w:top="1060" w:right="680" w:bottom="280" w:left="980" w:header="720" w:footer="720" w:gutter="0"/>
          <w:cols w:space="720"/>
        </w:sectPr>
      </w:pPr>
    </w:p>
    <w:p w14:paraId="23318D19" w14:textId="77777777" w:rsidR="008F3448" w:rsidRDefault="002A5F9D">
      <w:pPr>
        <w:pStyle w:val="BodyText"/>
        <w:rPr>
          <w:sz w:val="20"/>
        </w:rPr>
      </w:pPr>
      <w:r>
        <w:lastRenderedPageBreak/>
        <w:pict w14:anchorId="6CC311BF">
          <v:group id="_x0000_s1026" style="position:absolute;margin-left:0;margin-top:0;width:612pt;height:45pt;z-index:-15810560;mso-position-horizontal-relative:page;mso-position-vertical-relative:page" coordsize="12240,900">
            <v:rect id="_x0000_s1028" style="position:absolute;width:12240;height:900" fillcolor="#00215b" stroked="f"/>
            <v:shapetype id="_x0000_t202" coordsize="21600,21600" o:spt="202" path="m,l,21600r21600,l21600,xe">
              <v:stroke joinstyle="miter"/>
              <v:path gradientshapeok="t" o:connecttype="rect"/>
            </v:shapetype>
            <v:shape id="_x0000_s1027" type="#_x0000_t202" style="position:absolute;width:12240;height:900" filled="f" stroked="f">
              <v:textbox inset="0,0,0,0">
                <w:txbxContent>
                  <w:p w14:paraId="2EF8E2DA" w14:textId="77777777" w:rsidR="008F3448" w:rsidRDefault="008F3448">
                    <w:pPr>
                      <w:spacing w:before="10"/>
                      <w:rPr>
                        <w:b/>
                        <w:sz w:val="27"/>
                      </w:rPr>
                    </w:pPr>
                  </w:p>
                  <w:p w14:paraId="1D23826A" w14:textId="77777777" w:rsidR="008F3448" w:rsidRDefault="00097C1A">
                    <w:pPr>
                      <w:ind w:left="1080"/>
                      <w:rPr>
                        <w:b/>
                        <w:sz w:val="20"/>
                      </w:rPr>
                    </w:pPr>
                    <w:r>
                      <w:rPr>
                        <w:b/>
                        <w:color w:val="FFFFFF"/>
                      </w:rPr>
                      <w:t>RECUBRIMIENTO SILSHIELD</w:t>
                    </w:r>
                    <w:r w:rsidRPr="009941F3">
                      <w:rPr>
                        <w:b/>
                        <w:color w:val="FFFFFF"/>
                      </w:rPr>
                      <w:t>*</w:t>
                    </w:r>
                    <w:r>
                      <w:rPr>
                        <w:b/>
                        <w:color w:val="FFFFFF"/>
                        <w:sz w:val="11"/>
                      </w:rPr>
                      <w:t> </w:t>
                    </w:r>
                    <w:r>
                      <w:rPr>
                        <w:b/>
                        <w:color w:val="FFFFFF"/>
                      </w:rPr>
                      <w:t>3100</w:t>
                    </w:r>
                  </w:p>
                </w:txbxContent>
              </v:textbox>
            </v:shape>
            <w10:wrap anchorx="page" anchory="page"/>
          </v:group>
        </w:pict>
      </w:r>
    </w:p>
    <w:p w14:paraId="3EFEB3E0" w14:textId="77777777" w:rsidR="008F3448" w:rsidRDefault="008F3448">
      <w:pPr>
        <w:pStyle w:val="BodyText"/>
        <w:rPr>
          <w:sz w:val="20"/>
        </w:rPr>
      </w:pPr>
    </w:p>
    <w:p w14:paraId="4C477044" w14:textId="77777777" w:rsidR="008F3448" w:rsidRDefault="008F3448">
      <w:pPr>
        <w:pStyle w:val="BodyText"/>
        <w:rPr>
          <w:sz w:val="20"/>
        </w:rPr>
      </w:pPr>
    </w:p>
    <w:p w14:paraId="102213E7" w14:textId="77777777" w:rsidR="008F3448" w:rsidRDefault="008F3448">
      <w:pPr>
        <w:pStyle w:val="BodyText"/>
        <w:spacing w:before="9"/>
        <w:rPr>
          <w:sz w:val="26"/>
        </w:rPr>
      </w:pPr>
    </w:p>
    <w:tbl>
      <w:tblPr>
        <w:tblW w:w="0" w:type="auto"/>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210"/>
        <w:gridCol w:w="4850"/>
      </w:tblGrid>
      <w:tr w:rsidR="008F3448" w14:paraId="3ADEB7E2" w14:textId="77777777">
        <w:trPr>
          <w:trHeight w:val="3512"/>
        </w:trPr>
        <w:tc>
          <w:tcPr>
            <w:tcW w:w="5210" w:type="dxa"/>
            <w:vMerge w:val="restart"/>
            <w:shd w:val="clear" w:color="auto" w:fill="E4A327"/>
          </w:tcPr>
          <w:p w14:paraId="0662497B" w14:textId="77777777" w:rsidR="008F3448" w:rsidRDefault="00097C1A">
            <w:pPr>
              <w:pStyle w:val="TableParagraph"/>
              <w:spacing w:before="291"/>
              <w:ind w:left="360"/>
              <w:rPr>
                <w:b/>
                <w:sz w:val="32"/>
              </w:rPr>
            </w:pPr>
            <w:r>
              <w:rPr>
                <w:b/>
                <w:color w:val="FFFFFF"/>
                <w:sz w:val="32"/>
              </w:rPr>
              <w:t>Maximice. Proteja. Mejore.</w:t>
            </w:r>
          </w:p>
          <w:p w14:paraId="1FA6B440" w14:textId="668A4466" w:rsidR="008F3448" w:rsidRDefault="00097C1A" w:rsidP="009941F3">
            <w:pPr>
              <w:pStyle w:val="TableParagraph"/>
              <w:spacing w:before="186" w:line="261" w:lineRule="auto"/>
              <w:ind w:left="360" w:right="667"/>
              <w:rPr>
                <w:sz w:val="24"/>
              </w:rPr>
            </w:pPr>
            <w:r>
              <w:rPr>
                <w:color w:val="FFFFFF"/>
                <w:sz w:val="24"/>
              </w:rPr>
              <w:t>Con el recubrimiento SilShield* 3100, la versatilidad y el poder están en sus manos. Maximice la rentabilidad y la sencillez de implementación con una aplicación fácil y que no requiere imprimador.</w:t>
            </w:r>
            <w:r w:rsidR="009941F3">
              <w:rPr>
                <w:sz w:val="24"/>
              </w:rPr>
              <w:t xml:space="preserve"> </w:t>
            </w:r>
            <w:r>
              <w:rPr>
                <w:color w:val="FFFFFF"/>
                <w:sz w:val="24"/>
              </w:rPr>
              <w:t>Proteja sus construcciones contra las inclemencias del tiempo a largo plazo, y ayude a conservar la calidad del aire con una fórmula baja en COV. Mejore y mantenga la imagen de las estructuras para que se vean hermosas por mucho tiempo con casi una infinidad de colores que resisten el desvanecimiento. Todo esto es posible con la tecnología de GE Silicones.</w:t>
            </w:r>
          </w:p>
          <w:p w14:paraId="595DABCD" w14:textId="77777777" w:rsidR="008F3448" w:rsidRDefault="008F3448">
            <w:pPr>
              <w:pStyle w:val="TableParagraph"/>
              <w:rPr>
                <w:sz w:val="20"/>
              </w:rPr>
            </w:pPr>
          </w:p>
          <w:p w14:paraId="5C6DED2D" w14:textId="77777777" w:rsidR="008F3448" w:rsidRDefault="008F3448">
            <w:pPr>
              <w:pStyle w:val="TableParagraph"/>
              <w:rPr>
                <w:sz w:val="20"/>
              </w:rPr>
            </w:pPr>
          </w:p>
          <w:p w14:paraId="0030BD7B" w14:textId="77777777" w:rsidR="008F3448" w:rsidRDefault="008F3448">
            <w:pPr>
              <w:pStyle w:val="TableParagraph"/>
              <w:spacing w:before="8"/>
              <w:rPr>
                <w:sz w:val="13"/>
              </w:rPr>
            </w:pPr>
          </w:p>
          <w:p w14:paraId="68E1BAE6" w14:textId="77777777" w:rsidR="008F3448" w:rsidRDefault="00097C1A">
            <w:pPr>
              <w:pStyle w:val="TableParagraph"/>
              <w:ind w:left="1042"/>
              <w:rPr>
                <w:sz w:val="20"/>
              </w:rPr>
            </w:pPr>
            <w:r>
              <w:rPr>
                <w:noProof/>
                <w:sz w:val="20"/>
              </w:rPr>
              <w:drawing>
                <wp:inline distT="0" distB="0" distL="0" distR="0" wp14:anchorId="128CAB53" wp14:editId="39954806">
                  <wp:extent cx="2029968" cy="2029967"/>
                  <wp:effectExtent l="0" t="0" r="0" b="0"/>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15" cstate="print"/>
                          <a:stretch>
                            <a:fillRect/>
                          </a:stretch>
                        </pic:blipFill>
                        <pic:spPr>
                          <a:xfrm>
                            <a:off x="0" y="0"/>
                            <a:ext cx="2029968" cy="2029967"/>
                          </a:xfrm>
                          <a:prstGeom prst="rect">
                            <a:avLst/>
                          </a:prstGeom>
                        </pic:spPr>
                      </pic:pic>
                    </a:graphicData>
                  </a:graphic>
                </wp:inline>
              </w:drawing>
            </w:r>
          </w:p>
          <w:p w14:paraId="36CBF1A2" w14:textId="77777777" w:rsidR="008F3448" w:rsidRDefault="008F3448">
            <w:pPr>
              <w:pStyle w:val="TableParagraph"/>
              <w:rPr>
                <w:sz w:val="20"/>
              </w:rPr>
            </w:pPr>
          </w:p>
          <w:p w14:paraId="4901A12D" w14:textId="77777777" w:rsidR="008F3448" w:rsidRDefault="008F3448">
            <w:pPr>
              <w:pStyle w:val="TableParagraph"/>
              <w:rPr>
                <w:sz w:val="20"/>
              </w:rPr>
            </w:pPr>
          </w:p>
          <w:p w14:paraId="61029632" w14:textId="77777777" w:rsidR="008F3448" w:rsidRDefault="008F3448">
            <w:pPr>
              <w:pStyle w:val="TableParagraph"/>
              <w:spacing w:before="2"/>
              <w:rPr>
                <w:sz w:val="15"/>
              </w:rPr>
            </w:pPr>
          </w:p>
        </w:tc>
        <w:tc>
          <w:tcPr>
            <w:tcW w:w="4850" w:type="dxa"/>
            <w:shd w:val="clear" w:color="auto" w:fill="E6E7E8"/>
          </w:tcPr>
          <w:p w14:paraId="3B48D495" w14:textId="77777777" w:rsidR="008F3448" w:rsidRDefault="008F3448">
            <w:pPr>
              <w:pStyle w:val="TableParagraph"/>
              <w:spacing w:before="1"/>
              <w:rPr>
                <w:sz w:val="25"/>
              </w:rPr>
            </w:pPr>
          </w:p>
          <w:p w14:paraId="741023F4" w14:textId="77777777" w:rsidR="008F3448" w:rsidRDefault="00097C1A">
            <w:pPr>
              <w:pStyle w:val="TableParagraph"/>
              <w:ind w:left="360"/>
              <w:rPr>
                <w:sz w:val="24"/>
              </w:rPr>
            </w:pPr>
            <w:r>
              <w:rPr>
                <w:color w:val="00215B"/>
                <w:sz w:val="24"/>
              </w:rPr>
              <w:t>No pierda el ritmo de sus proyectos</w:t>
            </w:r>
          </w:p>
          <w:p w14:paraId="2A4040F4" w14:textId="77777777" w:rsidR="008F3448" w:rsidRDefault="00097C1A">
            <w:pPr>
              <w:pStyle w:val="TableParagraph"/>
              <w:numPr>
                <w:ilvl w:val="0"/>
                <w:numId w:val="3"/>
              </w:numPr>
              <w:tabs>
                <w:tab w:val="left" w:pos="719"/>
                <w:tab w:val="left" w:pos="720"/>
              </w:tabs>
              <w:spacing w:before="184"/>
              <w:rPr>
                <w:sz w:val="18"/>
              </w:rPr>
            </w:pPr>
            <w:r>
              <w:rPr>
                <w:color w:val="6D6E71"/>
                <w:sz w:val="18"/>
              </w:rPr>
              <w:t>Se adhiere sin imprimador a la mayoría de los sustratos</w:t>
            </w:r>
          </w:p>
          <w:p w14:paraId="7E08871C" w14:textId="77777777" w:rsidR="008F3448" w:rsidRDefault="00097C1A" w:rsidP="009941F3">
            <w:pPr>
              <w:pStyle w:val="TableParagraph"/>
              <w:numPr>
                <w:ilvl w:val="0"/>
                <w:numId w:val="3"/>
              </w:numPr>
              <w:tabs>
                <w:tab w:val="left" w:pos="719"/>
                <w:tab w:val="left" w:pos="720"/>
              </w:tabs>
              <w:spacing w:before="92" w:line="261" w:lineRule="auto"/>
              <w:ind w:right="1160"/>
              <w:rPr>
                <w:sz w:val="18"/>
              </w:rPr>
            </w:pPr>
            <w:r>
              <w:rPr>
                <w:color w:val="6D6E71"/>
                <w:sz w:val="18"/>
              </w:rPr>
              <w:t>Se aplica fácilmente con una brocha, rodillo o rociador sin compresor de aire</w:t>
            </w:r>
          </w:p>
          <w:p w14:paraId="28343F66" w14:textId="77777777" w:rsidR="008F3448" w:rsidRDefault="00097C1A">
            <w:pPr>
              <w:pStyle w:val="TableParagraph"/>
              <w:numPr>
                <w:ilvl w:val="0"/>
                <w:numId w:val="3"/>
              </w:numPr>
              <w:tabs>
                <w:tab w:val="left" w:pos="719"/>
                <w:tab w:val="left" w:pos="720"/>
              </w:tabs>
              <w:spacing w:before="73" w:line="261" w:lineRule="auto"/>
              <w:ind w:right="1115"/>
              <w:rPr>
                <w:sz w:val="18"/>
              </w:rPr>
            </w:pPr>
            <w:r>
              <w:rPr>
                <w:color w:val="6D6E71"/>
                <w:sz w:val="18"/>
              </w:rPr>
              <w:t>Se puede almacenar a temperaturas frías sin riesgo de congelación</w:t>
            </w:r>
          </w:p>
          <w:p w14:paraId="7770FA34" w14:textId="77777777" w:rsidR="008F3448" w:rsidRDefault="00097C1A">
            <w:pPr>
              <w:pStyle w:val="TableParagraph"/>
              <w:numPr>
                <w:ilvl w:val="0"/>
                <w:numId w:val="3"/>
              </w:numPr>
              <w:tabs>
                <w:tab w:val="left" w:pos="719"/>
                <w:tab w:val="left" w:pos="720"/>
              </w:tabs>
              <w:spacing w:before="73" w:line="261" w:lineRule="auto"/>
              <w:ind w:right="858"/>
              <w:rPr>
                <w:sz w:val="18"/>
              </w:rPr>
            </w:pPr>
            <w:r>
              <w:rPr>
                <w:color w:val="6D6E71"/>
                <w:sz w:val="18"/>
              </w:rPr>
              <w:t>Por lo general, la capa dura se forma en menos de 30 minutos y la superficie pierde su adherencia en menos de dos horas</w:t>
            </w:r>
          </w:p>
          <w:p w14:paraId="443B880A" w14:textId="77777777" w:rsidR="008F3448" w:rsidRDefault="00097C1A">
            <w:pPr>
              <w:pStyle w:val="TableParagraph"/>
              <w:numPr>
                <w:ilvl w:val="0"/>
                <w:numId w:val="3"/>
              </w:numPr>
              <w:tabs>
                <w:tab w:val="left" w:pos="719"/>
                <w:tab w:val="left" w:pos="720"/>
              </w:tabs>
              <w:spacing w:before="73" w:line="261" w:lineRule="auto"/>
              <w:ind w:right="789"/>
              <w:rPr>
                <w:sz w:val="18"/>
              </w:rPr>
            </w:pPr>
            <w:r>
              <w:rPr>
                <w:color w:val="6D6E71"/>
                <w:sz w:val="18"/>
              </w:rPr>
              <w:t>Se combina con todos los selladores de curado neutro y los burletes de silicona precurados de GE Silicones</w:t>
            </w:r>
          </w:p>
        </w:tc>
      </w:tr>
      <w:tr w:rsidR="008F3448" w14:paraId="57D0EE47" w14:textId="77777777">
        <w:trPr>
          <w:trHeight w:val="3680"/>
        </w:trPr>
        <w:tc>
          <w:tcPr>
            <w:tcW w:w="5210" w:type="dxa"/>
            <w:vMerge/>
            <w:tcBorders>
              <w:top w:val="nil"/>
            </w:tcBorders>
            <w:shd w:val="clear" w:color="auto" w:fill="E4A327"/>
          </w:tcPr>
          <w:p w14:paraId="0D412130" w14:textId="77777777" w:rsidR="008F3448" w:rsidRDefault="008F3448">
            <w:pPr>
              <w:rPr>
                <w:sz w:val="2"/>
                <w:szCs w:val="2"/>
              </w:rPr>
            </w:pPr>
          </w:p>
        </w:tc>
        <w:tc>
          <w:tcPr>
            <w:tcW w:w="4850" w:type="dxa"/>
            <w:shd w:val="clear" w:color="auto" w:fill="E6E7E8"/>
          </w:tcPr>
          <w:p w14:paraId="16A2D7E0" w14:textId="77777777" w:rsidR="008F3448" w:rsidRDefault="008F3448">
            <w:pPr>
              <w:pStyle w:val="TableParagraph"/>
              <w:spacing w:before="1"/>
              <w:rPr>
                <w:sz w:val="25"/>
              </w:rPr>
            </w:pPr>
          </w:p>
          <w:p w14:paraId="00407103" w14:textId="77777777" w:rsidR="008F3448" w:rsidRDefault="00097C1A">
            <w:pPr>
              <w:pStyle w:val="TableParagraph"/>
              <w:ind w:left="360"/>
              <w:rPr>
                <w:sz w:val="24"/>
              </w:rPr>
            </w:pPr>
            <w:r>
              <w:rPr>
                <w:color w:val="00215B"/>
                <w:sz w:val="24"/>
              </w:rPr>
              <w:t>Mejore el desempeño</w:t>
            </w:r>
          </w:p>
          <w:p w14:paraId="433C4240" w14:textId="77777777" w:rsidR="008F3448" w:rsidRDefault="00097C1A">
            <w:pPr>
              <w:pStyle w:val="TableParagraph"/>
              <w:numPr>
                <w:ilvl w:val="0"/>
                <w:numId w:val="2"/>
              </w:numPr>
              <w:tabs>
                <w:tab w:val="left" w:pos="719"/>
                <w:tab w:val="left" w:pos="720"/>
              </w:tabs>
              <w:spacing w:before="184" w:line="261" w:lineRule="auto"/>
              <w:ind w:right="795"/>
              <w:rPr>
                <w:sz w:val="18"/>
              </w:rPr>
            </w:pPr>
            <w:r>
              <w:rPr>
                <w:color w:val="6D6E71"/>
                <w:sz w:val="18"/>
              </w:rPr>
              <w:t>Al curarse forma una membrana impecable y transpirable</w:t>
            </w:r>
          </w:p>
          <w:p w14:paraId="79C679FF" w14:textId="77777777" w:rsidR="008F3448" w:rsidRDefault="00097C1A">
            <w:pPr>
              <w:pStyle w:val="TableParagraph"/>
              <w:numPr>
                <w:ilvl w:val="0"/>
                <w:numId w:val="2"/>
              </w:numPr>
              <w:tabs>
                <w:tab w:val="left" w:pos="719"/>
                <w:tab w:val="left" w:pos="720"/>
              </w:tabs>
              <w:spacing w:before="73" w:line="261" w:lineRule="auto"/>
              <w:ind w:right="1057"/>
              <w:rPr>
                <w:sz w:val="18"/>
              </w:rPr>
            </w:pPr>
            <w:r>
              <w:rPr>
                <w:color w:val="6D6E71"/>
                <w:sz w:val="18"/>
              </w:rPr>
              <w:t>La fórmula baja en COV cumple con los exigentes requisitos de calidad del aire</w:t>
            </w:r>
          </w:p>
          <w:p w14:paraId="4E4337AD" w14:textId="77777777" w:rsidR="008F3448" w:rsidRDefault="00097C1A">
            <w:pPr>
              <w:pStyle w:val="TableParagraph"/>
              <w:numPr>
                <w:ilvl w:val="0"/>
                <w:numId w:val="2"/>
              </w:numPr>
              <w:tabs>
                <w:tab w:val="left" w:pos="719"/>
                <w:tab w:val="left" w:pos="720"/>
              </w:tabs>
              <w:spacing w:before="73" w:line="261" w:lineRule="auto"/>
              <w:ind w:right="934"/>
              <w:rPr>
                <w:sz w:val="18"/>
              </w:rPr>
            </w:pPr>
            <w:r>
              <w:rPr>
                <w:color w:val="6D6E71"/>
                <w:sz w:val="18"/>
              </w:rPr>
              <w:t>Protege contra la radiación ultravioleta, las condiciones climáticas naturales, la humedad y las temperaturas extremas</w:t>
            </w:r>
          </w:p>
          <w:p w14:paraId="03BBD46C" w14:textId="77777777" w:rsidR="008F3448" w:rsidRDefault="00097C1A">
            <w:pPr>
              <w:pStyle w:val="TableParagraph"/>
              <w:numPr>
                <w:ilvl w:val="0"/>
                <w:numId w:val="2"/>
              </w:numPr>
              <w:tabs>
                <w:tab w:val="left" w:pos="719"/>
                <w:tab w:val="left" w:pos="720"/>
              </w:tabs>
              <w:spacing w:before="73" w:line="261" w:lineRule="auto"/>
              <w:ind w:right="956"/>
              <w:rPr>
                <w:sz w:val="18"/>
              </w:rPr>
            </w:pPr>
            <w:r>
              <w:rPr>
                <w:color w:val="6D6E71"/>
                <w:sz w:val="18"/>
              </w:rPr>
              <w:t>Reúne los requisitos para una garantía de productos conjunta al usarse con el burlete precurado GE UltraSpan* y los selladores GE SilPruf*</w:t>
            </w:r>
          </w:p>
        </w:tc>
      </w:tr>
      <w:tr w:rsidR="008F3448" w14:paraId="23747D92" w14:textId="77777777">
        <w:trPr>
          <w:trHeight w:val="2408"/>
        </w:trPr>
        <w:tc>
          <w:tcPr>
            <w:tcW w:w="5210" w:type="dxa"/>
            <w:vMerge/>
            <w:tcBorders>
              <w:top w:val="nil"/>
            </w:tcBorders>
            <w:shd w:val="clear" w:color="auto" w:fill="E4A327"/>
          </w:tcPr>
          <w:p w14:paraId="0551F8BB" w14:textId="77777777" w:rsidR="008F3448" w:rsidRDefault="008F3448">
            <w:pPr>
              <w:rPr>
                <w:sz w:val="2"/>
                <w:szCs w:val="2"/>
              </w:rPr>
            </w:pPr>
          </w:p>
        </w:tc>
        <w:tc>
          <w:tcPr>
            <w:tcW w:w="4850" w:type="dxa"/>
            <w:shd w:val="clear" w:color="auto" w:fill="E6E7E8"/>
          </w:tcPr>
          <w:p w14:paraId="34BFD6BB" w14:textId="77777777" w:rsidR="008F3448" w:rsidRDefault="008F3448">
            <w:pPr>
              <w:pStyle w:val="TableParagraph"/>
              <w:spacing w:before="1"/>
              <w:rPr>
                <w:sz w:val="25"/>
              </w:rPr>
            </w:pPr>
          </w:p>
          <w:p w14:paraId="3E9D91A2" w14:textId="77777777" w:rsidR="008F3448" w:rsidRDefault="00097C1A">
            <w:pPr>
              <w:pStyle w:val="TableParagraph"/>
              <w:ind w:left="360"/>
              <w:rPr>
                <w:sz w:val="24"/>
              </w:rPr>
            </w:pPr>
            <w:r>
              <w:rPr>
                <w:color w:val="00215B"/>
                <w:sz w:val="24"/>
              </w:rPr>
              <w:t>Conserve el color y la imagen</w:t>
            </w:r>
          </w:p>
          <w:p w14:paraId="3DE8DB8E" w14:textId="77777777" w:rsidR="008F3448" w:rsidRDefault="00097C1A">
            <w:pPr>
              <w:pStyle w:val="TableParagraph"/>
              <w:numPr>
                <w:ilvl w:val="0"/>
                <w:numId w:val="1"/>
              </w:numPr>
              <w:tabs>
                <w:tab w:val="left" w:pos="719"/>
                <w:tab w:val="left" w:pos="720"/>
              </w:tabs>
              <w:spacing w:before="184"/>
              <w:rPr>
                <w:sz w:val="18"/>
              </w:rPr>
            </w:pPr>
            <w:r>
              <w:rPr>
                <w:color w:val="6D6E71"/>
                <w:sz w:val="18"/>
              </w:rPr>
              <w:t>Se limpia fácilmente con métodos sencillos</w:t>
            </w:r>
          </w:p>
          <w:p w14:paraId="293B990D" w14:textId="77777777" w:rsidR="008F3448" w:rsidRDefault="00097C1A" w:rsidP="009941F3">
            <w:pPr>
              <w:pStyle w:val="TableParagraph"/>
              <w:numPr>
                <w:ilvl w:val="0"/>
                <w:numId w:val="1"/>
              </w:numPr>
              <w:tabs>
                <w:tab w:val="left" w:pos="719"/>
                <w:tab w:val="left" w:pos="720"/>
              </w:tabs>
              <w:spacing w:before="92" w:line="261" w:lineRule="auto"/>
              <w:ind w:right="620"/>
              <w:rPr>
                <w:sz w:val="18"/>
              </w:rPr>
            </w:pPr>
            <w:r>
              <w:rPr>
                <w:color w:val="6D6E71"/>
                <w:sz w:val="18"/>
              </w:rPr>
              <w:t>Es resistente a la degradación y el desvanecimiento de la pintura debido a la exposición</w:t>
            </w:r>
          </w:p>
          <w:p w14:paraId="6E6B3F9E" w14:textId="19A4EBFF" w:rsidR="008F3448" w:rsidRDefault="00097C1A">
            <w:pPr>
              <w:pStyle w:val="TableParagraph"/>
              <w:numPr>
                <w:ilvl w:val="0"/>
                <w:numId w:val="1"/>
              </w:numPr>
              <w:tabs>
                <w:tab w:val="left" w:pos="719"/>
                <w:tab w:val="left" w:pos="720"/>
              </w:tabs>
              <w:spacing w:before="73" w:line="261" w:lineRule="auto"/>
              <w:ind w:right="931"/>
              <w:rPr>
                <w:sz w:val="18"/>
              </w:rPr>
            </w:pPr>
            <w:r>
              <w:rPr>
                <w:color w:val="6D6E71"/>
                <w:sz w:val="18"/>
              </w:rPr>
              <w:t>Disponible en una variedad casi ilimitada de colores personalizados y más de 70 colores pre</w:t>
            </w:r>
            <w:r w:rsidR="002A5F9D">
              <w:rPr>
                <w:color w:val="6D6E71"/>
                <w:sz w:val="18"/>
              </w:rPr>
              <w:t xml:space="preserve">viamente </w:t>
            </w:r>
            <w:r>
              <w:rPr>
                <w:color w:val="6D6E71"/>
                <w:sz w:val="18"/>
              </w:rPr>
              <w:t>emparejados</w:t>
            </w:r>
          </w:p>
        </w:tc>
      </w:tr>
    </w:tbl>
    <w:p w14:paraId="27E934FF" w14:textId="77777777" w:rsidR="008F3448" w:rsidRDefault="00097C1A">
      <w:pPr>
        <w:spacing w:before="101"/>
        <w:ind w:left="100"/>
        <w:rPr>
          <w:b/>
          <w:sz w:val="24"/>
        </w:rPr>
      </w:pPr>
      <w:r>
        <w:rPr>
          <w:b/>
          <w:color w:val="00215B"/>
          <w:sz w:val="24"/>
        </w:rPr>
        <w:t>Llámenos al 866.275.4372 para conocer más detalles.</w:t>
      </w:r>
    </w:p>
    <w:p w14:paraId="38A2F2E7" w14:textId="77777777" w:rsidR="008F3448" w:rsidRPr="009941F3" w:rsidRDefault="008F3448">
      <w:pPr>
        <w:pStyle w:val="BodyText"/>
        <w:spacing w:before="5"/>
        <w:rPr>
          <w:b/>
          <w:sz w:val="20"/>
          <w:szCs w:val="20"/>
        </w:rPr>
      </w:pPr>
    </w:p>
    <w:p w14:paraId="5E4D60B5" w14:textId="77777777" w:rsidR="008F3448" w:rsidRDefault="00097C1A">
      <w:pPr>
        <w:pStyle w:val="BodyText"/>
        <w:ind w:left="100"/>
      </w:pPr>
      <w:r>
        <w:rPr>
          <w:color w:val="6D6E71"/>
        </w:rPr>
        <w:t>LA ATENCIÓN AL CLIENTE Y EL ASESORAMIENTO DE MOMENTIVE PERFORMANCE MATERIALS INC. Y/O SUS FILIALES (“MOMENTIVE”) SE OFRECEN EXCLUSIVAMENTE</w:t>
      </w:r>
    </w:p>
    <w:p w14:paraId="33A6BDBA" w14:textId="4B1FEF1B" w:rsidR="008F3448" w:rsidRDefault="00097C1A" w:rsidP="009941F3">
      <w:pPr>
        <w:pStyle w:val="BodyText"/>
        <w:spacing w:before="17" w:line="261" w:lineRule="auto"/>
        <w:ind w:left="100" w:right="733"/>
      </w:pPr>
      <w:r>
        <w:rPr>
          <w:color w:val="6D6E71"/>
        </w:rPr>
        <w:t>DE CONFORMIDAD CON LAS CONDICIONES DE VENTA ESTÁNDAR DE MOMENTIVE, las cuales se incluyen en los contratos de venta correspondientes, impresos en el reverso de confirmaciones de pedidos y facturas, o disponibles a solicitud. MOMENTIVE NO OTORGA GARANTÍA ALGUNA, EXPRESA O IMPLÍCITA, CON RESPECTO AL DESEMPEÑO O LA IDONEIDAD PARA EL FIN PARTICULAR DE SUS PRODUCTOS EN NINGUNA DE LAS SOLICITUDES DE LOS CLIENTES. Cada cliente debe</w:t>
      </w:r>
      <w:r w:rsidR="009941F3">
        <w:t xml:space="preserve"> </w:t>
      </w:r>
      <w:r>
        <w:rPr>
          <w:color w:val="6D6E71"/>
        </w:rPr>
        <w:t>determinar la idoneidad de los materiales de Momentive para su uso particular a través de pruebas y análisis adecuados. Las declaraciones con respecto a usos posibles o sugeridos de cualquier material, producto, servicio o diseño no tiene como objetivo otorgar ninguna licencia ni inducir a infracción conforme a una patente u otro derecho de propiedad intelectual, ni tampoco deberá interpretarse como tal.</w:t>
      </w:r>
    </w:p>
    <w:p w14:paraId="1EC9518E" w14:textId="77777777" w:rsidR="008F3448" w:rsidRDefault="008F3448">
      <w:pPr>
        <w:pStyle w:val="BodyText"/>
        <w:spacing w:before="6"/>
        <w:rPr>
          <w:sz w:val="16"/>
        </w:rPr>
      </w:pPr>
    </w:p>
    <w:p w14:paraId="0B0E3936" w14:textId="77777777" w:rsidR="006505CC" w:rsidRDefault="00097C1A">
      <w:pPr>
        <w:pStyle w:val="BodyText"/>
        <w:spacing w:line="379" w:lineRule="auto"/>
        <w:ind w:left="100" w:right="1997"/>
        <w:rPr>
          <w:color w:val="6D6E71"/>
        </w:rPr>
      </w:pPr>
      <w:r>
        <w:rPr>
          <w:color w:val="6D6E71"/>
        </w:rPr>
        <w:t xml:space="preserve">GE es una marca registrada de General Electric Company y Momentive Performance Materials Inc. la utiliza bajo licencia. </w:t>
      </w:r>
    </w:p>
    <w:p w14:paraId="2C4A64EB" w14:textId="595E2069" w:rsidR="008F3448" w:rsidRDefault="00097C1A">
      <w:pPr>
        <w:pStyle w:val="BodyText"/>
        <w:spacing w:line="379" w:lineRule="auto"/>
        <w:ind w:left="100" w:right="1997"/>
      </w:pPr>
      <w:r>
        <w:rPr>
          <w:color w:val="6D6E71"/>
        </w:rPr>
        <w:t>SilPruf, SilShield y UltraSpan son marcas registradas de Momentive Performance Materials Inc.</w:t>
      </w:r>
    </w:p>
    <w:p w14:paraId="3D0E44EB" w14:textId="77777777" w:rsidR="008F3448" w:rsidRDefault="00097C1A">
      <w:pPr>
        <w:pStyle w:val="BodyText"/>
        <w:spacing w:before="2"/>
        <w:ind w:left="100"/>
      </w:pPr>
      <w:r>
        <w:rPr>
          <w:color w:val="6D6E71"/>
        </w:rPr>
        <w:t>Copyright 2018 Momentive Performance Materials Inc. Todos los derechos reservados.</w:t>
      </w:r>
    </w:p>
    <w:p w14:paraId="6776B207" w14:textId="77777777" w:rsidR="008F3448" w:rsidRDefault="008F3448">
      <w:pPr>
        <w:pStyle w:val="BodyText"/>
        <w:spacing w:before="5"/>
        <w:rPr>
          <w:sz w:val="16"/>
        </w:rPr>
      </w:pPr>
    </w:p>
    <w:p w14:paraId="4F989B65" w14:textId="77777777" w:rsidR="008F3448" w:rsidRDefault="00097C1A">
      <w:pPr>
        <w:tabs>
          <w:tab w:val="left" w:pos="9394"/>
        </w:tabs>
        <w:spacing w:before="106"/>
        <w:ind w:left="100"/>
        <w:rPr>
          <w:b/>
          <w:sz w:val="16"/>
        </w:rPr>
      </w:pPr>
      <w:r>
        <w:rPr>
          <w:b/>
          <w:color w:val="6D6E71"/>
          <w:sz w:val="15"/>
        </w:rPr>
        <w:t>siliconeforbuilding.com</w:t>
      </w:r>
      <w:r>
        <w:rPr>
          <w:b/>
          <w:color w:val="6D6E71"/>
          <w:sz w:val="15"/>
        </w:rPr>
        <w:tab/>
      </w:r>
      <w:r>
        <w:rPr>
          <w:b/>
          <w:color w:val="6D6E71"/>
          <w:sz w:val="16"/>
        </w:rPr>
        <w:t>Página 2 de 2</w:t>
      </w:r>
    </w:p>
    <w:sectPr w:rsidR="008F3448">
      <w:pgSz w:w="12240" w:h="15840"/>
      <w:pgMar w:top="0" w:right="6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E4B2E"/>
    <w:multiLevelType w:val="hybridMultilevel"/>
    <w:tmpl w:val="ABEE755A"/>
    <w:lvl w:ilvl="0" w:tplc="A12EFD22">
      <w:numFmt w:val="bullet"/>
      <w:lvlText w:val="•"/>
      <w:lvlJc w:val="left"/>
      <w:pPr>
        <w:ind w:left="720" w:hanging="360"/>
      </w:pPr>
      <w:rPr>
        <w:rFonts w:ascii="Calibri" w:eastAsia="Calibri" w:hAnsi="Calibri" w:cs="Calibri" w:hint="default"/>
        <w:color w:val="6D6E71"/>
        <w:sz w:val="18"/>
        <w:szCs w:val="18"/>
        <w:lang w:val="en-US" w:eastAsia="en-US" w:bidi="ar-SA"/>
      </w:rPr>
    </w:lvl>
    <w:lvl w:ilvl="1" w:tplc="9B0A399E">
      <w:numFmt w:val="bullet"/>
      <w:lvlText w:val="•"/>
      <w:lvlJc w:val="left"/>
      <w:pPr>
        <w:ind w:left="1131" w:hanging="360"/>
      </w:pPr>
      <w:rPr>
        <w:rFonts w:hint="default"/>
        <w:lang w:val="en-US" w:eastAsia="en-US" w:bidi="ar-SA"/>
      </w:rPr>
    </w:lvl>
    <w:lvl w:ilvl="2" w:tplc="C19CFAC8">
      <w:numFmt w:val="bullet"/>
      <w:lvlText w:val="•"/>
      <w:lvlJc w:val="left"/>
      <w:pPr>
        <w:ind w:left="1542" w:hanging="360"/>
      </w:pPr>
      <w:rPr>
        <w:rFonts w:hint="default"/>
        <w:lang w:val="en-US" w:eastAsia="en-US" w:bidi="ar-SA"/>
      </w:rPr>
    </w:lvl>
    <w:lvl w:ilvl="3" w:tplc="9696753E">
      <w:numFmt w:val="bullet"/>
      <w:lvlText w:val="•"/>
      <w:lvlJc w:val="left"/>
      <w:pPr>
        <w:ind w:left="1953" w:hanging="360"/>
      </w:pPr>
      <w:rPr>
        <w:rFonts w:hint="default"/>
        <w:lang w:val="en-US" w:eastAsia="en-US" w:bidi="ar-SA"/>
      </w:rPr>
    </w:lvl>
    <w:lvl w:ilvl="4" w:tplc="3BF48C0C">
      <w:numFmt w:val="bullet"/>
      <w:lvlText w:val="•"/>
      <w:lvlJc w:val="left"/>
      <w:pPr>
        <w:ind w:left="2364" w:hanging="360"/>
      </w:pPr>
      <w:rPr>
        <w:rFonts w:hint="default"/>
        <w:lang w:val="en-US" w:eastAsia="en-US" w:bidi="ar-SA"/>
      </w:rPr>
    </w:lvl>
    <w:lvl w:ilvl="5" w:tplc="2C5AD840">
      <w:numFmt w:val="bullet"/>
      <w:lvlText w:val="•"/>
      <w:lvlJc w:val="left"/>
      <w:pPr>
        <w:ind w:left="2775" w:hanging="360"/>
      </w:pPr>
      <w:rPr>
        <w:rFonts w:hint="default"/>
        <w:lang w:val="en-US" w:eastAsia="en-US" w:bidi="ar-SA"/>
      </w:rPr>
    </w:lvl>
    <w:lvl w:ilvl="6" w:tplc="8902B7CE">
      <w:numFmt w:val="bullet"/>
      <w:lvlText w:val="•"/>
      <w:lvlJc w:val="left"/>
      <w:pPr>
        <w:ind w:left="3186" w:hanging="360"/>
      </w:pPr>
      <w:rPr>
        <w:rFonts w:hint="default"/>
        <w:lang w:val="en-US" w:eastAsia="en-US" w:bidi="ar-SA"/>
      </w:rPr>
    </w:lvl>
    <w:lvl w:ilvl="7" w:tplc="E452A26C">
      <w:numFmt w:val="bullet"/>
      <w:lvlText w:val="•"/>
      <w:lvlJc w:val="left"/>
      <w:pPr>
        <w:ind w:left="3597" w:hanging="360"/>
      </w:pPr>
      <w:rPr>
        <w:rFonts w:hint="default"/>
        <w:lang w:val="en-US" w:eastAsia="en-US" w:bidi="ar-SA"/>
      </w:rPr>
    </w:lvl>
    <w:lvl w:ilvl="8" w:tplc="8BBADCC2">
      <w:numFmt w:val="bullet"/>
      <w:lvlText w:val="•"/>
      <w:lvlJc w:val="left"/>
      <w:pPr>
        <w:ind w:left="4008" w:hanging="360"/>
      </w:pPr>
      <w:rPr>
        <w:rFonts w:hint="default"/>
        <w:lang w:val="en-US" w:eastAsia="en-US" w:bidi="ar-SA"/>
      </w:rPr>
    </w:lvl>
  </w:abstractNum>
  <w:abstractNum w:abstractNumId="1" w15:restartNumberingAfterBreak="0">
    <w:nsid w:val="52402AC3"/>
    <w:multiLevelType w:val="hybridMultilevel"/>
    <w:tmpl w:val="71E497EC"/>
    <w:lvl w:ilvl="0" w:tplc="A5648FA6">
      <w:numFmt w:val="bullet"/>
      <w:lvlText w:val="•"/>
      <w:lvlJc w:val="left"/>
      <w:pPr>
        <w:ind w:left="720" w:hanging="360"/>
      </w:pPr>
      <w:rPr>
        <w:rFonts w:ascii="Calibri" w:eastAsia="Calibri" w:hAnsi="Calibri" w:cs="Calibri" w:hint="default"/>
        <w:color w:val="6D6E71"/>
        <w:sz w:val="18"/>
        <w:szCs w:val="18"/>
        <w:lang w:val="en-US" w:eastAsia="en-US" w:bidi="ar-SA"/>
      </w:rPr>
    </w:lvl>
    <w:lvl w:ilvl="1" w:tplc="76F62432">
      <w:numFmt w:val="bullet"/>
      <w:lvlText w:val="•"/>
      <w:lvlJc w:val="left"/>
      <w:pPr>
        <w:ind w:left="1131" w:hanging="360"/>
      </w:pPr>
      <w:rPr>
        <w:rFonts w:hint="default"/>
        <w:lang w:val="en-US" w:eastAsia="en-US" w:bidi="ar-SA"/>
      </w:rPr>
    </w:lvl>
    <w:lvl w:ilvl="2" w:tplc="EBE2F39E">
      <w:numFmt w:val="bullet"/>
      <w:lvlText w:val="•"/>
      <w:lvlJc w:val="left"/>
      <w:pPr>
        <w:ind w:left="1542" w:hanging="360"/>
      </w:pPr>
      <w:rPr>
        <w:rFonts w:hint="default"/>
        <w:lang w:val="en-US" w:eastAsia="en-US" w:bidi="ar-SA"/>
      </w:rPr>
    </w:lvl>
    <w:lvl w:ilvl="3" w:tplc="8D30D6DA">
      <w:numFmt w:val="bullet"/>
      <w:lvlText w:val="•"/>
      <w:lvlJc w:val="left"/>
      <w:pPr>
        <w:ind w:left="1953" w:hanging="360"/>
      </w:pPr>
      <w:rPr>
        <w:rFonts w:hint="default"/>
        <w:lang w:val="en-US" w:eastAsia="en-US" w:bidi="ar-SA"/>
      </w:rPr>
    </w:lvl>
    <w:lvl w:ilvl="4" w:tplc="1B76C354">
      <w:numFmt w:val="bullet"/>
      <w:lvlText w:val="•"/>
      <w:lvlJc w:val="left"/>
      <w:pPr>
        <w:ind w:left="2364" w:hanging="360"/>
      </w:pPr>
      <w:rPr>
        <w:rFonts w:hint="default"/>
        <w:lang w:val="en-US" w:eastAsia="en-US" w:bidi="ar-SA"/>
      </w:rPr>
    </w:lvl>
    <w:lvl w:ilvl="5" w:tplc="FBC8C33A">
      <w:numFmt w:val="bullet"/>
      <w:lvlText w:val="•"/>
      <w:lvlJc w:val="left"/>
      <w:pPr>
        <w:ind w:left="2775" w:hanging="360"/>
      </w:pPr>
      <w:rPr>
        <w:rFonts w:hint="default"/>
        <w:lang w:val="en-US" w:eastAsia="en-US" w:bidi="ar-SA"/>
      </w:rPr>
    </w:lvl>
    <w:lvl w:ilvl="6" w:tplc="126AB516">
      <w:numFmt w:val="bullet"/>
      <w:lvlText w:val="•"/>
      <w:lvlJc w:val="left"/>
      <w:pPr>
        <w:ind w:left="3186" w:hanging="360"/>
      </w:pPr>
      <w:rPr>
        <w:rFonts w:hint="default"/>
        <w:lang w:val="en-US" w:eastAsia="en-US" w:bidi="ar-SA"/>
      </w:rPr>
    </w:lvl>
    <w:lvl w:ilvl="7" w:tplc="92DA2220">
      <w:numFmt w:val="bullet"/>
      <w:lvlText w:val="•"/>
      <w:lvlJc w:val="left"/>
      <w:pPr>
        <w:ind w:left="3597" w:hanging="360"/>
      </w:pPr>
      <w:rPr>
        <w:rFonts w:hint="default"/>
        <w:lang w:val="en-US" w:eastAsia="en-US" w:bidi="ar-SA"/>
      </w:rPr>
    </w:lvl>
    <w:lvl w:ilvl="8" w:tplc="90E89796">
      <w:numFmt w:val="bullet"/>
      <w:lvlText w:val="•"/>
      <w:lvlJc w:val="left"/>
      <w:pPr>
        <w:ind w:left="4008" w:hanging="360"/>
      </w:pPr>
      <w:rPr>
        <w:rFonts w:hint="default"/>
        <w:lang w:val="en-US" w:eastAsia="en-US" w:bidi="ar-SA"/>
      </w:rPr>
    </w:lvl>
  </w:abstractNum>
  <w:abstractNum w:abstractNumId="2" w15:restartNumberingAfterBreak="0">
    <w:nsid w:val="7E142814"/>
    <w:multiLevelType w:val="hybridMultilevel"/>
    <w:tmpl w:val="90C07D04"/>
    <w:lvl w:ilvl="0" w:tplc="693A5562">
      <w:numFmt w:val="bullet"/>
      <w:lvlText w:val="•"/>
      <w:lvlJc w:val="left"/>
      <w:pPr>
        <w:ind w:left="720" w:hanging="360"/>
      </w:pPr>
      <w:rPr>
        <w:rFonts w:ascii="Calibri" w:eastAsia="Calibri" w:hAnsi="Calibri" w:cs="Calibri" w:hint="default"/>
        <w:color w:val="6D6E71"/>
        <w:sz w:val="18"/>
        <w:szCs w:val="18"/>
        <w:lang w:val="en-US" w:eastAsia="en-US" w:bidi="ar-SA"/>
      </w:rPr>
    </w:lvl>
    <w:lvl w:ilvl="1" w:tplc="27C073C4">
      <w:numFmt w:val="bullet"/>
      <w:lvlText w:val="•"/>
      <w:lvlJc w:val="left"/>
      <w:pPr>
        <w:ind w:left="1131" w:hanging="360"/>
      </w:pPr>
      <w:rPr>
        <w:rFonts w:hint="default"/>
        <w:lang w:val="en-US" w:eastAsia="en-US" w:bidi="ar-SA"/>
      </w:rPr>
    </w:lvl>
    <w:lvl w:ilvl="2" w:tplc="87F07824">
      <w:numFmt w:val="bullet"/>
      <w:lvlText w:val="•"/>
      <w:lvlJc w:val="left"/>
      <w:pPr>
        <w:ind w:left="1542" w:hanging="360"/>
      </w:pPr>
      <w:rPr>
        <w:rFonts w:hint="default"/>
        <w:lang w:val="en-US" w:eastAsia="en-US" w:bidi="ar-SA"/>
      </w:rPr>
    </w:lvl>
    <w:lvl w:ilvl="3" w:tplc="9280D116">
      <w:numFmt w:val="bullet"/>
      <w:lvlText w:val="•"/>
      <w:lvlJc w:val="left"/>
      <w:pPr>
        <w:ind w:left="1953" w:hanging="360"/>
      </w:pPr>
      <w:rPr>
        <w:rFonts w:hint="default"/>
        <w:lang w:val="en-US" w:eastAsia="en-US" w:bidi="ar-SA"/>
      </w:rPr>
    </w:lvl>
    <w:lvl w:ilvl="4" w:tplc="BDFE4126">
      <w:numFmt w:val="bullet"/>
      <w:lvlText w:val="•"/>
      <w:lvlJc w:val="left"/>
      <w:pPr>
        <w:ind w:left="2364" w:hanging="360"/>
      </w:pPr>
      <w:rPr>
        <w:rFonts w:hint="default"/>
        <w:lang w:val="en-US" w:eastAsia="en-US" w:bidi="ar-SA"/>
      </w:rPr>
    </w:lvl>
    <w:lvl w:ilvl="5" w:tplc="E0B2B076">
      <w:numFmt w:val="bullet"/>
      <w:lvlText w:val="•"/>
      <w:lvlJc w:val="left"/>
      <w:pPr>
        <w:ind w:left="2775" w:hanging="360"/>
      </w:pPr>
      <w:rPr>
        <w:rFonts w:hint="default"/>
        <w:lang w:val="en-US" w:eastAsia="en-US" w:bidi="ar-SA"/>
      </w:rPr>
    </w:lvl>
    <w:lvl w:ilvl="6" w:tplc="4260E598">
      <w:numFmt w:val="bullet"/>
      <w:lvlText w:val="•"/>
      <w:lvlJc w:val="left"/>
      <w:pPr>
        <w:ind w:left="3186" w:hanging="360"/>
      </w:pPr>
      <w:rPr>
        <w:rFonts w:hint="default"/>
        <w:lang w:val="en-US" w:eastAsia="en-US" w:bidi="ar-SA"/>
      </w:rPr>
    </w:lvl>
    <w:lvl w:ilvl="7" w:tplc="9AF063DE">
      <w:numFmt w:val="bullet"/>
      <w:lvlText w:val="•"/>
      <w:lvlJc w:val="left"/>
      <w:pPr>
        <w:ind w:left="3597" w:hanging="360"/>
      </w:pPr>
      <w:rPr>
        <w:rFonts w:hint="default"/>
        <w:lang w:val="en-US" w:eastAsia="en-US" w:bidi="ar-SA"/>
      </w:rPr>
    </w:lvl>
    <w:lvl w:ilvl="8" w:tplc="AFB2D078">
      <w:numFmt w:val="bullet"/>
      <w:lvlText w:val="•"/>
      <w:lvlJc w:val="left"/>
      <w:pPr>
        <w:ind w:left="4008"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8F3448"/>
    <w:rsid w:val="00097C1A"/>
    <w:rsid w:val="002A5F9D"/>
    <w:rsid w:val="006505CC"/>
    <w:rsid w:val="008F3448"/>
    <w:rsid w:val="009941F3"/>
    <w:rsid w:val="00B6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190744F6"/>
  <w15:docId w15:val="{BC111821-C32D-4B52-A94C-F85AFB72F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419"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Title">
    <w:name w:val="Title"/>
    <w:basedOn w:val="Normal"/>
    <w:uiPriority w:val="10"/>
    <w:qFormat/>
    <w:pPr>
      <w:spacing w:before="217"/>
      <w:ind w:left="186" w:right="3336"/>
    </w:pPr>
    <w:rPr>
      <w:b/>
      <w:bCs/>
      <w:sz w:val="68"/>
      <w:szCs w:val="6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Marco Diaz</cp:lastModifiedBy>
  <cp:revision>5</cp:revision>
  <dcterms:created xsi:type="dcterms:W3CDTF">2021-02-16T01:32:00Z</dcterms:created>
  <dcterms:modified xsi:type="dcterms:W3CDTF">2021-02-17T05:15:00Z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Creator">
    <vt:lpwstr>Adobe InDesign CC 13.0 (Macintosh)</vt:lpwstr>
  </property>
  <property fmtid="{D5CDD505-2E9C-101B-9397-08002B2CF9AE}" pid="4" name="LastSaved">
    <vt:filetime>2021-02-03T00:00:00Z</vt:filetime>
  </property>
</Properties>
</file>