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Progress Note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Video Telehealth (Y/N):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Client location during session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e.g., home; state of residence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Clinical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Diagnosis: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Subjective </w:t>
      </w:r>
      <w:r w:rsidDel="00000000" w:rsidR="00000000" w:rsidRPr="00000000">
        <w:rPr>
          <w:i w:val="1"/>
          <w:sz w:val="20"/>
          <w:szCs w:val="20"/>
          <w:rtl w:val="0"/>
        </w:rPr>
        <w:t xml:space="preserve">(patient report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Objective (</w:t>
      </w:r>
      <w:r w:rsidDel="00000000" w:rsidR="00000000" w:rsidRPr="00000000">
        <w:rPr>
          <w:i w:val="1"/>
          <w:sz w:val="20"/>
          <w:szCs w:val="20"/>
          <w:rtl w:val="0"/>
        </w:rPr>
        <w:t xml:space="preserve">factual account of what was observed, mental health status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Assessment: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Risk Assessment (</w:t>
      </w:r>
      <w:r w:rsidDel="00000000" w:rsidR="00000000" w:rsidRPr="00000000">
        <w:rPr>
          <w:i w:val="1"/>
          <w:sz w:val="20"/>
          <w:szCs w:val="20"/>
          <w:rtl w:val="0"/>
        </w:rPr>
        <w:t xml:space="preserve">SI, HI, DV, unsafe environment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 xml:space="preserve">If Yes, identify safety plan: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Client response to clinical Interventions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Progress in treatment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Plan: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Clinical Questionnaire Results (</w:t>
      </w:r>
      <w:r w:rsidDel="00000000" w:rsidR="00000000" w:rsidRPr="00000000">
        <w:rPr>
          <w:i w:val="1"/>
          <w:sz w:val="20"/>
          <w:szCs w:val="20"/>
          <w:rtl w:val="0"/>
        </w:rPr>
        <w:t xml:space="preserve">e.g, PHQ-9 score of 12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Electronically signed and dated with provider name and credentials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tl w:val="0"/>
      </w:rPr>
      <w:t xml:space="preserve">November 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