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Discharge Summary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Date of Discharge: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Diagnosis at Discharge: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Reason for Discharge/Summary of Treatment: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Pre/Post Clinical Questionnaire results (</w:t>
      </w:r>
      <w:r w:rsidDel="00000000" w:rsidR="00000000" w:rsidRPr="00000000">
        <w:rPr>
          <w:i w:val="1"/>
          <w:sz w:val="20"/>
          <w:szCs w:val="20"/>
          <w:rtl w:val="0"/>
        </w:rPr>
        <w:t xml:space="preserve">or most recent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Risk Factors at Discharge </w:t>
      </w: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if any</w:t>
      </w:r>
      <w:r w:rsidDel="00000000" w:rsidR="00000000" w:rsidRPr="00000000">
        <w:rPr>
          <w:rtl w:val="0"/>
        </w:rPr>
        <w:t xml:space="preserve">):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Referrals to Resources at Discharge (</w:t>
      </w:r>
      <w:r w:rsidDel="00000000" w:rsidR="00000000" w:rsidRPr="00000000">
        <w:rPr>
          <w:sz w:val="20"/>
          <w:szCs w:val="20"/>
          <w:rtl w:val="0"/>
        </w:rPr>
        <w:t xml:space="preserve">i</w:t>
      </w:r>
      <w:r w:rsidDel="00000000" w:rsidR="00000000" w:rsidRPr="00000000">
        <w:rPr>
          <w:i w:val="1"/>
          <w:sz w:val="20"/>
          <w:szCs w:val="20"/>
          <w:rtl w:val="0"/>
        </w:rPr>
        <w:t xml:space="preserve">f any</w:t>
      </w:r>
      <w:r w:rsidDel="00000000" w:rsidR="00000000" w:rsidRPr="00000000">
        <w:rPr>
          <w:rtl w:val="0"/>
        </w:rPr>
        <w:t xml:space="preserve">):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Electronically signed and dated with provider name and credentials</w:t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>
        <w:rtl w:val="0"/>
      </w:rPr>
      <w:t xml:space="preserve">November 2022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