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Rule="auto"/>
        <w:rPr>
          <w:rFonts w:ascii="Proxima Nova Extrabold" w:cs="Proxima Nova Extrabold" w:eastAsia="Proxima Nova Extrabold" w:hAnsi="Proxima Nova Extrabold"/>
          <w:color w:val="004455"/>
          <w:sz w:val="60"/>
          <w:szCs w:val="6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004455"/>
          <w:sz w:val="60"/>
          <w:szCs w:val="60"/>
        </w:rPr>
        <w:drawing>
          <wp:inline distB="114300" distT="114300" distL="114300" distR="114300">
            <wp:extent cx="1843088" cy="5787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5787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16" w:lineRule="auto"/>
        <w:ind w:right="-180"/>
        <w:rPr>
          <w:rFonts w:ascii="Proxima Nova Extrabold" w:cs="Proxima Nova Extrabold" w:eastAsia="Proxima Nova Extrabold" w:hAnsi="Proxima Nova Extrabold"/>
          <w:color w:val="004455"/>
          <w:sz w:val="60"/>
          <w:szCs w:val="6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004455"/>
          <w:sz w:val="60"/>
          <w:szCs w:val="60"/>
          <w:rtl w:val="0"/>
        </w:rPr>
        <w:t xml:space="preserve">Safety Plan Template: Child/Adolescent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Triggers</w:t>
        <w:br w:type="textWrapping"/>
      </w: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These are situations, people, or things that make me feel upset, angry, sad, anxious, and/or uncomfortable.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1.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5. </w:t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Warning signs</w:t>
      </w:r>
    </w:p>
    <w:p w:rsidR="00000000" w:rsidDel="00000000" w:rsidP="00000000" w:rsidRDefault="00000000" w:rsidRPr="00000000" w14:paraId="0000000C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I know I need to use my coping skills when I notice these warning signs (mood, behavior, situations, thoughts, images).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1.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5. </w:t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Coping skills</w:t>
      </w:r>
    </w:p>
    <w:p w:rsidR="00000000" w:rsidDel="00000000" w:rsidP="00000000" w:rsidRDefault="00000000" w:rsidRPr="00000000" w14:paraId="00000014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Things I can do to help calm myself down or feel better.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1.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color w:val="004455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Adult support</w:t>
      </w:r>
      <w:r w:rsidDel="00000000" w:rsidR="00000000" w:rsidRPr="00000000">
        <w:rPr>
          <w:rFonts w:ascii="Proxima Nova" w:cs="Proxima Nova" w:eastAsia="Proxima Nova" w:hAnsi="Proxima Nova"/>
          <w:color w:val="0044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color w:val="004455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Adults at home or school I feel safe around, and can talk to when I am upset.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1.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5. </w:t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004455"/>
          <w:sz w:val="24"/>
          <w:szCs w:val="24"/>
          <w:rtl w:val="0"/>
        </w:rPr>
        <w:t xml:space="preserve">Professional support</w:t>
      </w:r>
    </w:p>
    <w:p w:rsidR="00000000" w:rsidDel="00000000" w:rsidP="00000000" w:rsidRDefault="00000000" w:rsidRPr="00000000" w14:paraId="00000029">
      <w:pPr>
        <w:rPr>
          <w:rFonts w:ascii="Proxima Nova Semibold" w:cs="Proxima Nova Semibold" w:eastAsia="Proxima Nova Semibold" w:hAnsi="Proxima Nova Semibold"/>
          <w:color w:val="004455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Who I should contact in a crisis or where I should go in a crisis. </w:t>
      </w: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u w:val="single"/>
          <w:rtl w:val="0"/>
        </w:rPr>
        <w:t xml:space="preserve">OR </w:t>
      </w: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Who a parent/legal guardian should contact in a crisis situation. Where a parent/legal guardian should take a child/adolescent in a crisis situation.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1. 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2.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3.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4.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5. </w:t>
      </w:r>
    </w:p>
    <w:p w:rsidR="00000000" w:rsidDel="00000000" w:rsidP="00000000" w:rsidRDefault="00000000" w:rsidRPr="00000000" w14:paraId="0000002F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Proxima Nova" w:cs="Proxima Nova" w:eastAsia="Proxima Nova" w:hAnsi="Proxima Nova"/>
          <w:color w:val="004455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004455"/>
          <w:sz w:val="20"/>
          <w:szCs w:val="20"/>
          <w:rtl w:val="0"/>
        </w:rPr>
        <w:t xml:space="preserve">Therapist and client discussed this safety plan, and the client agreed to plan on ____________ (date). The plan was also reviewed with the client’s parent/guardian. A copy was provided to the client and/or guardian.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  <w:font w:name="Proxima Nova Semibold">
    <w:embedRegular w:fontKey="{00000000-0000-0000-0000-000000000000}" r:id="rId6" w:subsetted="0"/>
    <w:embedBold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spacing w:line="240" w:lineRule="auto"/>
      <w:jc w:val="right"/>
      <w:rPr/>
    </w:pPr>
    <w:r w:rsidDel="00000000" w:rsidR="00000000" w:rsidRPr="00000000">
      <w:rPr>
        <w:rFonts w:ascii="Proxima Nova" w:cs="Proxima Nova" w:eastAsia="Proxima Nova" w:hAnsi="Proxima Nova"/>
        <w:color w:val="004455"/>
        <w:sz w:val="16"/>
        <w:szCs w:val="16"/>
        <w:rtl w:val="0"/>
      </w:rPr>
      <w:t xml:space="preserve">Last updated: February 2022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Relationship Id="rId6" Type="http://schemas.openxmlformats.org/officeDocument/2006/relationships/font" Target="fonts/ProximaNovaSemibold-regular.ttf"/><Relationship Id="rId7" Type="http://schemas.openxmlformats.org/officeDocument/2006/relationships/font" Target="fonts/ProximaNovaSemibold-bold.ttf"/><Relationship Id="rId8" Type="http://schemas.openxmlformats.org/officeDocument/2006/relationships/font" Target="fonts/ProximaNova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