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A5" w:rsidRPr="002754EB" w:rsidRDefault="002200A5" w:rsidP="002200A5">
      <w:pPr>
        <w:tabs>
          <w:tab w:val="left" w:pos="1720"/>
        </w:tabs>
        <w:rPr>
          <w:sz w:val="18"/>
        </w:rPr>
      </w:pPr>
      <w:bookmarkStart w:id="0" w:name="_GoBack"/>
      <w:bookmarkEnd w:id="0"/>
    </w:p>
    <w:tbl>
      <w:tblPr>
        <w:tblW w:w="10800" w:type="dxa"/>
        <w:tblInd w:w="-605" w:type="dxa"/>
        <w:tblLayout w:type="fixed"/>
        <w:tblLook w:val="00A0" w:firstRow="1" w:lastRow="0" w:firstColumn="1" w:lastColumn="0" w:noHBand="0" w:noVBand="0"/>
      </w:tblPr>
      <w:tblGrid>
        <w:gridCol w:w="3510"/>
        <w:gridCol w:w="7290"/>
      </w:tblGrid>
      <w:tr w:rsidR="002200A5" w:rsidRPr="00A930AB">
        <w:trPr>
          <w:tblHeader/>
        </w:trPr>
        <w:tc>
          <w:tcPr>
            <w:tcW w:w="10800" w:type="dxa"/>
            <w:gridSpan w:val="2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:rsidR="002200A5" w:rsidRPr="00A605C4" w:rsidRDefault="002200A5" w:rsidP="002200A5">
            <w:pPr>
              <w:pStyle w:val="Header"/>
              <w:rPr>
                <w:szCs w:val="36"/>
                <w:lang w:val="en-US" w:eastAsia="en-US"/>
              </w:rPr>
            </w:pPr>
            <w:r w:rsidRPr="00A605C4">
              <w:rPr>
                <w:szCs w:val="36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Organization Name"/>
                  </w:textInput>
                </w:ffData>
              </w:fldChar>
            </w:r>
            <w:bookmarkStart w:id="1" w:name="Text1"/>
            <w:r w:rsidRPr="00A605C4">
              <w:rPr>
                <w:szCs w:val="36"/>
                <w:lang w:val="en-US" w:eastAsia="en-US"/>
              </w:rPr>
              <w:instrText xml:space="preserve"> FORMTEXT </w:instrText>
            </w:r>
            <w:r w:rsidRPr="00A605C4">
              <w:rPr>
                <w:szCs w:val="36"/>
                <w:lang w:val="en-US" w:eastAsia="en-US"/>
              </w:rPr>
            </w:r>
            <w:r w:rsidRPr="00A605C4">
              <w:rPr>
                <w:szCs w:val="36"/>
                <w:lang w:val="en-US" w:eastAsia="en-US"/>
              </w:rPr>
              <w:fldChar w:fldCharType="separate"/>
            </w:r>
            <w:r w:rsidRPr="00A605C4">
              <w:rPr>
                <w:noProof/>
                <w:szCs w:val="36"/>
                <w:lang w:val="en-US" w:eastAsia="en-US"/>
              </w:rPr>
              <w:t>Organization Name</w:t>
            </w:r>
            <w:r w:rsidRPr="00A605C4">
              <w:rPr>
                <w:szCs w:val="36"/>
                <w:lang w:val="en-US" w:eastAsia="en-US"/>
              </w:rPr>
              <w:fldChar w:fldCharType="end"/>
            </w:r>
            <w:bookmarkEnd w:id="1"/>
          </w:p>
          <w:p w:rsidR="002200A5" w:rsidRPr="002200A5" w:rsidRDefault="002200A5" w:rsidP="002200A5">
            <w:pPr>
              <w:pStyle w:val="Header"/>
              <w:rPr>
                <w:szCs w:val="36"/>
                <w:lang w:val="en-US" w:eastAsia="en-US"/>
              </w:rPr>
            </w:pPr>
            <w:r w:rsidRPr="002200A5">
              <w:rPr>
                <w:b/>
                <w:szCs w:val="36"/>
                <w:lang w:val="en-US" w:eastAsia="en-US"/>
              </w:rPr>
              <w:t xml:space="preserve">&gt;&gt; Claims Management Procedures </w:t>
            </w:r>
            <w:r w:rsidRPr="002200A5">
              <w:rPr>
                <w:szCs w:val="36"/>
                <w:lang w:val="en-US" w:eastAsia="en-US"/>
              </w:rPr>
              <w:tab/>
            </w:r>
          </w:p>
        </w:tc>
      </w:tr>
      <w:tr w:rsidR="002200A5" w:rsidRPr="00D512C7">
        <w:trPr>
          <w:trHeight w:val="1854"/>
        </w:trPr>
        <w:tc>
          <w:tcPr>
            <w:tcW w:w="10800" w:type="dxa"/>
            <w:gridSpan w:val="2"/>
            <w:shd w:val="clear" w:color="auto" w:fill="auto"/>
          </w:tcPr>
          <w:p w:rsidR="006969F3" w:rsidRPr="00D512C7" w:rsidRDefault="006969F3" w:rsidP="006969F3">
            <w:pPr>
              <w:pStyle w:val="Numberedlist"/>
              <w:numPr>
                <w:ilvl w:val="0"/>
                <w:numId w:val="0"/>
              </w:numPr>
              <w:spacing w:beforeLines="80" w:before="192" w:afterLines="60" w:after="144"/>
            </w:pPr>
            <w:r w:rsidRPr="00D512C7">
              <w:rPr>
                <w:b/>
                <w:color w:val="9C3022"/>
              </w:rPr>
              <w:t>Please review and customize this sample document to reflect your organization’s expectations.</w:t>
            </w:r>
          </w:p>
          <w:p w:rsidR="002200A5" w:rsidRPr="00D512C7" w:rsidRDefault="002200A5" w:rsidP="002200A5">
            <w:pPr>
              <w:pStyle w:val="Numberedlist"/>
              <w:tabs>
                <w:tab w:val="clear" w:pos="720"/>
              </w:tabs>
              <w:spacing w:beforeLines="80" w:before="192" w:afterLines="60" w:after="144"/>
              <w:ind w:left="360"/>
            </w:pPr>
            <w:r w:rsidRPr="00D512C7">
              <w:t>In the event of a work-related injury or illness, the injured worker must report it to his/her supervisor immediately.</w:t>
            </w:r>
          </w:p>
          <w:p w:rsidR="002200A5" w:rsidRPr="00D512C7" w:rsidRDefault="002200A5" w:rsidP="002200A5">
            <w:pPr>
              <w:pStyle w:val="Numberedlist"/>
              <w:tabs>
                <w:tab w:val="clear" w:pos="720"/>
              </w:tabs>
              <w:spacing w:beforeLines="80" w:before="192" w:afterLines="60" w:after="144"/>
              <w:ind w:left="360"/>
            </w:pPr>
            <w:r w:rsidRPr="00D512C7">
              <w:t xml:space="preserve">If the injured employee needs </w:t>
            </w:r>
            <w:r w:rsidRPr="00D512C7">
              <w:rPr>
                <w:iCs/>
              </w:rPr>
              <w:t>immediate medical attention,</w:t>
            </w:r>
            <w:r w:rsidRPr="00D512C7">
              <w:t xml:space="preserve"> he/she will be driven or sent to the nearest hospital or clinic.</w:t>
            </w:r>
          </w:p>
          <w:p w:rsidR="002200A5" w:rsidRPr="00D512C7" w:rsidRDefault="002200A5" w:rsidP="002200A5">
            <w:pPr>
              <w:pStyle w:val="Numberedlist"/>
              <w:tabs>
                <w:tab w:val="clear" w:pos="720"/>
              </w:tabs>
              <w:spacing w:beforeLines="80" w:before="192" w:after="60"/>
              <w:ind w:left="360"/>
              <w:rPr>
                <w:i/>
              </w:rPr>
            </w:pPr>
            <w:r w:rsidRPr="00D512C7">
              <w:t xml:space="preserve">Once notified of an injury, the supervisor will give the injured worker a copy of the Designated Provider List Notification Letter. </w:t>
            </w:r>
            <w:r w:rsidRPr="00D512C7">
              <w:rPr>
                <w:i/>
              </w:rPr>
              <w:t xml:space="preserve">Be sure to have the employee sign and date this letter. Keep a copy in your personnel files and give a copy to the employee. </w:t>
            </w:r>
          </w:p>
          <w:p w:rsidR="002200A5" w:rsidRPr="00D512C7" w:rsidRDefault="002200A5" w:rsidP="002200A5">
            <w:pPr>
              <w:pStyle w:val="Numberedlist"/>
              <w:tabs>
                <w:tab w:val="clear" w:pos="720"/>
              </w:tabs>
              <w:spacing w:beforeLines="80" w:before="192" w:afterLines="60" w:after="144"/>
              <w:ind w:left="360"/>
            </w:pPr>
            <w:r w:rsidRPr="00D512C7">
              <w:t>If the injury is not an emergency, an appointment will be made with the injured worker’s selection of the designated medical provider as soon as possible.</w:t>
            </w:r>
          </w:p>
          <w:p w:rsidR="00D512C7" w:rsidRPr="00D512C7" w:rsidRDefault="002200A5" w:rsidP="00D512C7">
            <w:pPr>
              <w:pStyle w:val="Numberedlist"/>
              <w:tabs>
                <w:tab w:val="clear" w:pos="720"/>
              </w:tabs>
              <w:spacing w:beforeLines="80" w:before="192" w:after="60"/>
              <w:ind w:left="360"/>
            </w:pPr>
            <w:r w:rsidRPr="00D512C7">
              <w:t xml:space="preserve">Report the claim within 24 hours to Pinnacol Assurance. This can be done on </w:t>
            </w:r>
            <w:proofErr w:type="spellStart"/>
            <w:r w:rsidRPr="00D512C7">
              <w:t>Pinnacol’s</w:t>
            </w:r>
            <w:proofErr w:type="spellEnd"/>
            <w:r w:rsidRPr="00D512C7">
              <w:t xml:space="preserve"> website (www.pinnacol.com), by phone at 800.873.7242</w:t>
            </w:r>
            <w:r w:rsidRPr="00D512C7">
              <w:rPr>
                <w:i/>
              </w:rPr>
              <w:t xml:space="preserve">, </w:t>
            </w:r>
            <w:r w:rsidRPr="00D512C7">
              <w:t xml:space="preserve">or by fax at 800.361.5000. </w:t>
            </w:r>
          </w:p>
          <w:p w:rsidR="00D512C7" w:rsidRPr="00D512C7" w:rsidRDefault="00D512C7" w:rsidP="00D512C7">
            <w:pPr>
              <w:pStyle w:val="Numberedlist"/>
              <w:tabs>
                <w:tab w:val="clear" w:pos="720"/>
              </w:tabs>
              <w:spacing w:beforeLines="80" w:before="192" w:after="60"/>
              <w:ind w:left="360"/>
            </w:pPr>
            <w:r w:rsidRPr="00D512C7">
              <w:t>In the event of a work-related fatality, OSHA (800.321</w:t>
            </w:r>
            <w:r w:rsidR="005573ED">
              <w:t>.</w:t>
            </w:r>
            <w:r w:rsidRPr="00D512C7">
              <w:t>6742) must be notified within eight hours and work-related in-patient hospitalizations, amputations, or an employee’s loss of an eye must be reported to OSHA within 24 hours.</w:t>
            </w:r>
          </w:p>
          <w:p w:rsidR="002200A5" w:rsidRPr="00D512C7" w:rsidRDefault="00D512C7" w:rsidP="00D512C7">
            <w:pPr>
              <w:pStyle w:val="Numberedlist"/>
              <w:tabs>
                <w:tab w:val="clear" w:pos="720"/>
              </w:tabs>
              <w:spacing w:beforeLines="80" w:before="192" w:after="60"/>
              <w:ind w:left="360"/>
            </w:pPr>
            <w:r w:rsidRPr="00D512C7">
              <w:t>In the event of an injury that results in a fatality or an accident in which three or more employees are injured, the Colorado Division of Workers’ Compensation (303.318.8700) must be notified immediately.</w:t>
            </w:r>
          </w:p>
          <w:p w:rsidR="002200A5" w:rsidRPr="00D512C7" w:rsidRDefault="009C330E" w:rsidP="002200A5">
            <w:pPr>
              <w:pStyle w:val="Numberedlist"/>
              <w:tabs>
                <w:tab w:val="clear" w:pos="720"/>
              </w:tabs>
              <w:spacing w:beforeLines="80" w:before="192" w:after="60"/>
              <w:ind w:left="360"/>
            </w:pPr>
            <w:r w:rsidRPr="00D512C7">
              <w:t>D</w:t>
            </w:r>
            <w:r w:rsidR="002200A5" w:rsidRPr="00D512C7">
              <w:t>ocumented accident investigation</w:t>
            </w:r>
            <w:r w:rsidRPr="00D512C7">
              <w:t>s</w:t>
            </w:r>
            <w:r w:rsidR="002200A5" w:rsidRPr="00D512C7">
              <w:t xml:space="preserve"> will be conducted following all work-related injuries. The supervisor or safety coordinator will be responsible for interviewing the injured employee and all witnesses. </w:t>
            </w:r>
          </w:p>
          <w:p w:rsidR="002200A5" w:rsidRPr="00D512C7" w:rsidRDefault="002200A5" w:rsidP="002200A5">
            <w:pPr>
              <w:pStyle w:val="Numberedlist"/>
              <w:tabs>
                <w:tab w:val="clear" w:pos="720"/>
              </w:tabs>
              <w:spacing w:beforeLines="80" w:before="192" w:after="60"/>
              <w:ind w:left="360"/>
            </w:pPr>
            <w:r w:rsidRPr="00D512C7">
              <w:t>Management will use information from the accident investigation to identify and implement changes that may help prevent future incidents.</w:t>
            </w:r>
          </w:p>
          <w:p w:rsidR="002200A5" w:rsidRPr="00D512C7" w:rsidRDefault="002200A5" w:rsidP="002200A5">
            <w:pPr>
              <w:pStyle w:val="Numberedlist"/>
              <w:tabs>
                <w:tab w:val="clear" w:pos="720"/>
              </w:tabs>
              <w:spacing w:beforeLines="80" w:before="192" w:after="60"/>
              <w:ind w:left="360"/>
            </w:pPr>
            <w:r w:rsidRPr="00D512C7">
              <w:t>For an employee who is not working due to an injury, management will contact the injured employee at least once a week to answer questions, keep the injured employee informed of organization activities and discuss return-to-work options.</w:t>
            </w:r>
          </w:p>
          <w:p w:rsidR="002200A5" w:rsidRPr="00D512C7" w:rsidRDefault="002200A5" w:rsidP="002200A5">
            <w:pPr>
              <w:pStyle w:val="Numberedlist"/>
              <w:tabs>
                <w:tab w:val="clear" w:pos="720"/>
              </w:tabs>
              <w:spacing w:beforeLines="80" w:before="192" w:after="60"/>
              <w:ind w:left="360"/>
            </w:pPr>
            <w:r w:rsidRPr="00D512C7">
              <w:t>Following an injured worker’s medical visit, the employer will obtain a copy of the medical providers’ status report.</w:t>
            </w:r>
          </w:p>
          <w:p w:rsidR="002200A5" w:rsidRPr="00D512C7" w:rsidRDefault="002200A5" w:rsidP="002200A5">
            <w:pPr>
              <w:pStyle w:val="Numberedlist"/>
              <w:tabs>
                <w:tab w:val="clear" w:pos="720"/>
              </w:tabs>
              <w:spacing w:beforeLines="80" w:before="192" w:after="60"/>
              <w:ind w:left="360"/>
            </w:pPr>
            <w:r w:rsidRPr="00D512C7">
              <w:t>Modified duty procedures will be as follows:</w:t>
            </w:r>
          </w:p>
          <w:p w:rsidR="002200A5" w:rsidRPr="00D512C7" w:rsidRDefault="002200A5" w:rsidP="002200A5">
            <w:pPr>
              <w:pStyle w:val="Bullet"/>
              <w:numPr>
                <w:ilvl w:val="0"/>
                <w:numId w:val="8"/>
              </w:numPr>
              <w:rPr>
                <w:szCs w:val="20"/>
              </w:rPr>
            </w:pPr>
            <w:r w:rsidRPr="00D512C7">
              <w:rPr>
                <w:szCs w:val="20"/>
              </w:rPr>
              <w:t>The employee’s supervisor will determine if the employee can return to his/her regular job duties within his/her medical restrictions.</w:t>
            </w:r>
          </w:p>
          <w:p w:rsidR="002200A5" w:rsidRPr="00D512C7" w:rsidRDefault="002200A5" w:rsidP="002200A5">
            <w:pPr>
              <w:pStyle w:val="Bullet"/>
              <w:numPr>
                <w:ilvl w:val="0"/>
                <w:numId w:val="8"/>
              </w:numPr>
              <w:rPr>
                <w:szCs w:val="20"/>
              </w:rPr>
            </w:pPr>
            <w:r w:rsidRPr="00D512C7">
              <w:rPr>
                <w:szCs w:val="20"/>
              </w:rPr>
              <w:t xml:space="preserve">If the employee is unable to return to regular job duties, the supervisor will determine if the employee’s position can be temporarily modified to accommodate the restrictions. </w:t>
            </w:r>
          </w:p>
          <w:p w:rsidR="002200A5" w:rsidRPr="00D512C7" w:rsidRDefault="002200A5" w:rsidP="002200A5">
            <w:pPr>
              <w:pStyle w:val="Bullet"/>
              <w:numPr>
                <w:ilvl w:val="0"/>
                <w:numId w:val="8"/>
              </w:numPr>
              <w:rPr>
                <w:szCs w:val="20"/>
              </w:rPr>
            </w:pPr>
            <w:r w:rsidRPr="00D512C7">
              <w:rPr>
                <w:szCs w:val="20"/>
              </w:rPr>
              <w:t xml:space="preserve">If the job cannot be modified, management will evaluate other tasks the employee may be able to perform until the employee is released to regular work duty or placed at </w:t>
            </w:r>
            <w:r w:rsidR="006969F3" w:rsidRPr="00D512C7">
              <w:rPr>
                <w:szCs w:val="20"/>
              </w:rPr>
              <w:t>maximum medical improvement (</w:t>
            </w:r>
            <w:r w:rsidRPr="00D512C7">
              <w:rPr>
                <w:szCs w:val="20"/>
              </w:rPr>
              <w:t>MMI</w:t>
            </w:r>
            <w:r w:rsidR="006969F3" w:rsidRPr="00D512C7">
              <w:rPr>
                <w:szCs w:val="20"/>
              </w:rPr>
              <w:t>)</w:t>
            </w:r>
            <w:r w:rsidRPr="00D512C7">
              <w:rPr>
                <w:szCs w:val="20"/>
              </w:rPr>
              <w:t>.</w:t>
            </w:r>
          </w:p>
          <w:p w:rsidR="002200A5" w:rsidRPr="00D512C7" w:rsidRDefault="002200A5" w:rsidP="002200A5">
            <w:pPr>
              <w:pStyle w:val="Bulletlast"/>
              <w:numPr>
                <w:ilvl w:val="0"/>
                <w:numId w:val="8"/>
              </w:numPr>
              <w:spacing w:after="0"/>
              <w:rPr>
                <w:i/>
                <w:szCs w:val="20"/>
              </w:rPr>
            </w:pPr>
            <w:r w:rsidRPr="00D512C7">
              <w:rPr>
                <w:szCs w:val="20"/>
              </w:rPr>
              <w:t xml:space="preserve">If the employee is unable to return to a modified position, the medical restrictions will be re-evaluated after each doctor’s </w:t>
            </w:r>
            <w:r w:rsidR="009C330E" w:rsidRPr="00D512C7">
              <w:rPr>
                <w:szCs w:val="20"/>
              </w:rPr>
              <w:t xml:space="preserve">visit to ensure the employee </w:t>
            </w:r>
            <w:r w:rsidRPr="00D512C7">
              <w:rPr>
                <w:szCs w:val="20"/>
              </w:rPr>
              <w:t>return</w:t>
            </w:r>
            <w:r w:rsidR="009C330E" w:rsidRPr="00D512C7">
              <w:rPr>
                <w:szCs w:val="20"/>
              </w:rPr>
              <w:t>s</w:t>
            </w:r>
            <w:r w:rsidRPr="00D512C7">
              <w:rPr>
                <w:szCs w:val="20"/>
              </w:rPr>
              <w:t xml:space="preserve"> to work as soon as possible.</w:t>
            </w:r>
          </w:p>
          <w:p w:rsidR="002200A5" w:rsidRPr="00D512C7" w:rsidRDefault="002200A5" w:rsidP="002200A5">
            <w:pPr>
              <w:pStyle w:val="Numberedlist"/>
              <w:tabs>
                <w:tab w:val="clear" w:pos="720"/>
              </w:tabs>
              <w:spacing w:before="80" w:afterLines="60" w:after="144"/>
              <w:ind w:left="360"/>
            </w:pPr>
            <w:r w:rsidRPr="00D512C7">
              <w:t xml:space="preserve">If required, an entry will be made on the OSHA 300 Log for all cases involving medical treatment. </w:t>
            </w:r>
          </w:p>
          <w:p w:rsidR="002200A5" w:rsidRPr="00D512C7" w:rsidRDefault="002200A5" w:rsidP="002200A5">
            <w:pPr>
              <w:pStyle w:val="Numberedlist"/>
              <w:tabs>
                <w:tab w:val="clear" w:pos="720"/>
              </w:tabs>
              <w:spacing w:before="80" w:afterLines="60" w:after="144"/>
              <w:ind w:left="360"/>
            </w:pPr>
            <w:r w:rsidRPr="00D512C7">
              <w:t xml:space="preserve">Complete records will be kept for all workers’ compensation claims. </w:t>
            </w:r>
          </w:p>
        </w:tc>
      </w:tr>
      <w:tr w:rsidR="002200A5" w:rsidRPr="00D512C7">
        <w:trPr>
          <w:trHeight w:val="398"/>
        </w:trPr>
        <w:tc>
          <w:tcPr>
            <w:tcW w:w="3510" w:type="dxa"/>
            <w:shd w:val="clear" w:color="auto" w:fill="auto"/>
          </w:tcPr>
          <w:p w:rsidR="002200A5" w:rsidRPr="00D512C7" w:rsidRDefault="006969F3" w:rsidP="002200A5">
            <w:pPr>
              <w:pStyle w:val="Numberedlist"/>
              <w:numPr>
                <w:ilvl w:val="0"/>
                <w:numId w:val="0"/>
              </w:numPr>
              <w:tabs>
                <w:tab w:val="left" w:pos="3105"/>
              </w:tabs>
              <w:spacing w:beforeLines="80" w:before="192" w:afterLines="60" w:after="144"/>
              <w:jc w:val="right"/>
              <w:rPr>
                <w:b/>
                <w:color w:val="005596"/>
                <w:spacing w:val="-6"/>
              </w:rPr>
            </w:pPr>
            <w:r w:rsidRPr="00D512C7">
              <w:rPr>
                <w:b/>
                <w:color w:val="005596"/>
                <w:spacing w:val="-6"/>
              </w:rPr>
              <w:t>Claims Administrator’s s</w:t>
            </w:r>
            <w:r w:rsidR="002200A5" w:rsidRPr="00D512C7">
              <w:rPr>
                <w:b/>
                <w:color w:val="005596"/>
                <w:spacing w:val="-6"/>
              </w:rPr>
              <w:t>ignature: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auto"/>
          </w:tcPr>
          <w:p w:rsidR="002200A5" w:rsidRPr="00D512C7" w:rsidRDefault="002200A5" w:rsidP="002200A5">
            <w:pPr>
              <w:pStyle w:val="Numberedlist"/>
              <w:numPr>
                <w:ilvl w:val="0"/>
                <w:numId w:val="0"/>
              </w:numPr>
              <w:spacing w:beforeLines="80" w:before="192" w:afterLines="60" w:after="144"/>
              <w:rPr>
                <w:spacing w:val="-6"/>
              </w:rPr>
            </w:pPr>
          </w:p>
        </w:tc>
      </w:tr>
      <w:tr w:rsidR="002200A5" w:rsidRPr="00D512C7">
        <w:trPr>
          <w:trHeight w:val="398"/>
        </w:trPr>
        <w:tc>
          <w:tcPr>
            <w:tcW w:w="3510" w:type="dxa"/>
            <w:shd w:val="clear" w:color="auto" w:fill="auto"/>
          </w:tcPr>
          <w:p w:rsidR="002200A5" w:rsidRPr="00D512C7" w:rsidRDefault="002200A5" w:rsidP="002200A5">
            <w:pPr>
              <w:pStyle w:val="Numberedlist"/>
              <w:numPr>
                <w:ilvl w:val="0"/>
                <w:numId w:val="0"/>
              </w:numPr>
              <w:tabs>
                <w:tab w:val="left" w:pos="3105"/>
              </w:tabs>
              <w:spacing w:beforeLines="80" w:before="192" w:afterLines="60" w:after="144"/>
              <w:jc w:val="right"/>
              <w:rPr>
                <w:b/>
                <w:color w:val="005596"/>
                <w:spacing w:val="-6"/>
              </w:rPr>
            </w:pPr>
            <w:r w:rsidRPr="00D512C7">
              <w:rPr>
                <w:b/>
                <w:color w:val="005596"/>
                <w:spacing w:val="-6"/>
              </w:rPr>
              <w:t>Date: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auto"/>
          </w:tcPr>
          <w:p w:rsidR="002200A5" w:rsidRPr="00D512C7" w:rsidRDefault="002200A5" w:rsidP="002200A5">
            <w:pPr>
              <w:pStyle w:val="Numberedlist"/>
              <w:numPr>
                <w:ilvl w:val="0"/>
                <w:numId w:val="0"/>
              </w:numPr>
              <w:spacing w:beforeLines="80" w:before="192" w:afterLines="60" w:after="144"/>
              <w:rPr>
                <w:spacing w:val="-6"/>
              </w:rPr>
            </w:pPr>
          </w:p>
        </w:tc>
      </w:tr>
    </w:tbl>
    <w:p w:rsidR="002200A5" w:rsidRPr="00D512C7" w:rsidRDefault="002200A5" w:rsidP="002200A5">
      <w:pPr>
        <w:tabs>
          <w:tab w:val="left" w:pos="1720"/>
        </w:tabs>
        <w:rPr>
          <w:szCs w:val="20"/>
        </w:rPr>
      </w:pPr>
    </w:p>
    <w:sectPr w:rsidR="002200A5" w:rsidRPr="00D512C7" w:rsidSect="002200A5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66" w:rsidRDefault="00FD0266">
      <w:r>
        <w:separator/>
      </w:r>
    </w:p>
  </w:endnote>
  <w:endnote w:type="continuationSeparator" w:id="0">
    <w:p w:rsidR="00FD0266" w:rsidRDefault="00FD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Zapf Dingbats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LT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A5" w:rsidRPr="00260E18" w:rsidRDefault="002200A5" w:rsidP="002200A5">
    <w:pPr>
      <w:pStyle w:val="Footer"/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Template </w:t>
    </w:r>
    <w:r w:rsidRPr="00260E18">
      <w:rPr>
        <w:color w:val="999999"/>
        <w:sz w:val="16"/>
        <w:szCs w:val="16"/>
      </w:rPr>
      <w:t>Provided by Pinnacol Assurance</w:t>
    </w:r>
  </w:p>
  <w:p w:rsidR="002200A5" w:rsidRPr="00260E18" w:rsidRDefault="002200A5" w:rsidP="002200A5">
    <w:pPr>
      <w:pStyle w:val="Footer"/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>LP09_6_1213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66" w:rsidRDefault="00FD0266">
      <w:r>
        <w:separator/>
      </w:r>
    </w:p>
  </w:footnote>
  <w:footnote w:type="continuationSeparator" w:id="0">
    <w:p w:rsidR="00FD0266" w:rsidRDefault="00FD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9456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693"/>
    <w:multiLevelType w:val="hybridMultilevel"/>
    <w:tmpl w:val="410861D8"/>
    <w:lvl w:ilvl="0" w:tplc="DA0C1A56">
      <w:start w:val="1"/>
      <w:numFmt w:val="bullet"/>
      <w:pStyle w:val="Bullet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932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B65E40"/>
    <w:multiLevelType w:val="hybridMultilevel"/>
    <w:tmpl w:val="A348783C"/>
    <w:lvl w:ilvl="0" w:tplc="69AE38A4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10488"/>
    <w:multiLevelType w:val="hybridMultilevel"/>
    <w:tmpl w:val="0D224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9A215C">
      <w:start w:val="1"/>
      <w:numFmt w:val="bullet"/>
      <w:pStyle w:val="Sub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2B8695C"/>
    <w:multiLevelType w:val="hybridMultilevel"/>
    <w:tmpl w:val="5CA81D08"/>
    <w:lvl w:ilvl="0" w:tplc="068811F4">
      <w:start w:val="1"/>
      <w:numFmt w:val="decimal"/>
      <w:pStyle w:val="Numbered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3F19DF"/>
    <w:multiLevelType w:val="hybridMultilevel"/>
    <w:tmpl w:val="8B26C62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BFC5E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B6A7250"/>
    <w:multiLevelType w:val="hybridMultilevel"/>
    <w:tmpl w:val="700264EA"/>
    <w:lvl w:ilvl="0" w:tplc="00010409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9B"/>
    <w:rsid w:val="000152C6"/>
    <w:rsid w:val="000A345F"/>
    <w:rsid w:val="0021562F"/>
    <w:rsid w:val="002200A5"/>
    <w:rsid w:val="002707E1"/>
    <w:rsid w:val="00374015"/>
    <w:rsid w:val="00420928"/>
    <w:rsid w:val="005573ED"/>
    <w:rsid w:val="006969F3"/>
    <w:rsid w:val="006A4AC8"/>
    <w:rsid w:val="00875E52"/>
    <w:rsid w:val="009C330E"/>
    <w:rsid w:val="00A605C4"/>
    <w:rsid w:val="00CC28AB"/>
    <w:rsid w:val="00CF4C9B"/>
    <w:rsid w:val="00D512C7"/>
    <w:rsid w:val="00FA741E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  <w:lang w:val="x-none" w:eastAsia="x-none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rsid w:val="0035158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C95A9F"/>
    <w:rPr>
      <w:rFonts w:ascii="Courier New" w:eastAsia="Times New Roman" w:hAnsi="Courier New"/>
      <w:szCs w:val="20"/>
      <w:lang w:val="x-none" w:eastAsia="x-none"/>
    </w:rPr>
  </w:style>
  <w:style w:type="character" w:customStyle="1" w:styleId="PlainTextChar">
    <w:name w:val="Plain Text Char"/>
    <w:link w:val="PlainText"/>
    <w:rsid w:val="00C95A9F"/>
    <w:rPr>
      <w:rFonts w:ascii="Courier New" w:eastAsia="Times New Roman" w:hAnsi="Courier New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B81FD1"/>
    <w:pPr>
      <w:spacing w:before="120"/>
    </w:pPr>
    <w:rPr>
      <w:b/>
      <w:color w:val="005596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97742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297742"/>
    <w:rPr>
      <w:rFonts w:ascii="Arial" w:hAnsi="Arial"/>
      <w:szCs w:val="24"/>
    </w:rPr>
  </w:style>
  <w:style w:type="paragraph" w:styleId="TOAHeading">
    <w:name w:val="toa heading"/>
    <w:basedOn w:val="Normal"/>
    <w:next w:val="Normal"/>
    <w:rsid w:val="00297742"/>
    <w:pPr>
      <w:tabs>
        <w:tab w:val="left" w:pos="9000"/>
        <w:tab w:val="right" w:pos="9360"/>
      </w:tabs>
      <w:suppressAutoHyphens/>
    </w:pPr>
    <w:rPr>
      <w:rFonts w:ascii="Courier" w:eastAsia="Times New Roman" w:hAnsi="Courier"/>
      <w:sz w:val="24"/>
      <w:szCs w:val="20"/>
    </w:rPr>
  </w:style>
  <w:style w:type="paragraph" w:styleId="BodyText">
    <w:name w:val="Body Text"/>
    <w:basedOn w:val="Normal"/>
    <w:link w:val="BodyTextChar"/>
    <w:rsid w:val="0032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32784C"/>
    <w:rPr>
      <w:rFonts w:ascii="Arial" w:hAnsi="Arial"/>
      <w:szCs w:val="24"/>
    </w:rPr>
  </w:style>
  <w:style w:type="character" w:customStyle="1" w:styleId="bold">
    <w:name w:val="bold"/>
    <w:rsid w:val="0032784C"/>
    <w:rPr>
      <w:rFonts w:ascii="HelveticaNeueLT-Bold" w:hAnsi="HelveticaNeueLT-Bold"/>
      <w:b/>
      <w:color w:val="000000"/>
      <w:sz w:val="18"/>
      <w:szCs w:val="18"/>
    </w:rPr>
  </w:style>
  <w:style w:type="character" w:customStyle="1" w:styleId="bigtitles">
    <w:name w:val="big titles"/>
    <w:rsid w:val="00484D6B"/>
    <w:rPr>
      <w:rFonts w:ascii="EurostileLT" w:hAnsi="EurostileLT"/>
      <w:color w:val="333333"/>
      <w:sz w:val="28"/>
      <w:szCs w:val="28"/>
    </w:rPr>
  </w:style>
  <w:style w:type="character" w:customStyle="1" w:styleId="Title1">
    <w:name w:val="Title1"/>
    <w:rsid w:val="00484D6B"/>
    <w:rPr>
      <w:rFonts w:ascii="EurostileLT" w:hAnsi="EurostileLT"/>
      <w:color w:val="333333"/>
      <w:sz w:val="36"/>
      <w:szCs w:val="36"/>
    </w:rPr>
  </w:style>
  <w:style w:type="paragraph" w:styleId="BodyTextIndent2">
    <w:name w:val="Body Text Indent 2"/>
    <w:basedOn w:val="Normal"/>
    <w:link w:val="BodyTextIndent2Char"/>
    <w:rsid w:val="004B22E8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4B22E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  <w:lang w:val="x-none" w:eastAsia="x-none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rsid w:val="0035158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C95A9F"/>
    <w:rPr>
      <w:rFonts w:ascii="Courier New" w:eastAsia="Times New Roman" w:hAnsi="Courier New"/>
      <w:szCs w:val="20"/>
      <w:lang w:val="x-none" w:eastAsia="x-none"/>
    </w:rPr>
  </w:style>
  <w:style w:type="character" w:customStyle="1" w:styleId="PlainTextChar">
    <w:name w:val="Plain Text Char"/>
    <w:link w:val="PlainText"/>
    <w:rsid w:val="00C95A9F"/>
    <w:rPr>
      <w:rFonts w:ascii="Courier New" w:eastAsia="Times New Roman" w:hAnsi="Courier New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B81FD1"/>
    <w:pPr>
      <w:spacing w:before="120"/>
    </w:pPr>
    <w:rPr>
      <w:b/>
      <w:color w:val="005596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97742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297742"/>
    <w:rPr>
      <w:rFonts w:ascii="Arial" w:hAnsi="Arial"/>
      <w:szCs w:val="24"/>
    </w:rPr>
  </w:style>
  <w:style w:type="paragraph" w:styleId="TOAHeading">
    <w:name w:val="toa heading"/>
    <w:basedOn w:val="Normal"/>
    <w:next w:val="Normal"/>
    <w:rsid w:val="00297742"/>
    <w:pPr>
      <w:tabs>
        <w:tab w:val="left" w:pos="9000"/>
        <w:tab w:val="right" w:pos="9360"/>
      </w:tabs>
      <w:suppressAutoHyphens/>
    </w:pPr>
    <w:rPr>
      <w:rFonts w:ascii="Courier" w:eastAsia="Times New Roman" w:hAnsi="Courier"/>
      <w:sz w:val="24"/>
      <w:szCs w:val="20"/>
    </w:rPr>
  </w:style>
  <w:style w:type="paragraph" w:styleId="BodyText">
    <w:name w:val="Body Text"/>
    <w:basedOn w:val="Normal"/>
    <w:link w:val="BodyTextChar"/>
    <w:rsid w:val="0032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32784C"/>
    <w:rPr>
      <w:rFonts w:ascii="Arial" w:hAnsi="Arial"/>
      <w:szCs w:val="24"/>
    </w:rPr>
  </w:style>
  <w:style w:type="character" w:customStyle="1" w:styleId="bold">
    <w:name w:val="bold"/>
    <w:rsid w:val="0032784C"/>
    <w:rPr>
      <w:rFonts w:ascii="HelveticaNeueLT-Bold" w:hAnsi="HelveticaNeueLT-Bold"/>
      <w:b/>
      <w:color w:val="000000"/>
      <w:sz w:val="18"/>
      <w:szCs w:val="18"/>
    </w:rPr>
  </w:style>
  <w:style w:type="character" w:customStyle="1" w:styleId="bigtitles">
    <w:name w:val="big titles"/>
    <w:rsid w:val="00484D6B"/>
    <w:rPr>
      <w:rFonts w:ascii="EurostileLT" w:hAnsi="EurostileLT"/>
      <w:color w:val="333333"/>
      <w:sz w:val="28"/>
      <w:szCs w:val="28"/>
    </w:rPr>
  </w:style>
  <w:style w:type="character" w:customStyle="1" w:styleId="Title1">
    <w:name w:val="Title1"/>
    <w:rsid w:val="00484D6B"/>
    <w:rPr>
      <w:rFonts w:ascii="EurostileLT" w:hAnsi="EurostileLT"/>
      <w:color w:val="333333"/>
      <w:sz w:val="36"/>
      <w:szCs w:val="36"/>
    </w:rPr>
  </w:style>
  <w:style w:type="paragraph" w:styleId="BodyTextIndent2">
    <w:name w:val="Body Text Indent 2"/>
    <w:basedOn w:val="Normal"/>
    <w:link w:val="BodyTextIndent2Char"/>
    <w:rsid w:val="004B22E8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4B22E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&gt;&gt; Job Hazard Assessment Form</vt:lpstr>
    </vt:vector>
  </TitlesOfParts>
  <Company>Pinnacol Assurance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 Job Hazard Assessment Form</dc:title>
  <dc:creator>Rachael Hamm Plett</dc:creator>
  <cp:lastModifiedBy>yeagera</cp:lastModifiedBy>
  <cp:revision>2</cp:revision>
  <cp:lastPrinted>2010-10-19T16:13:00Z</cp:lastPrinted>
  <dcterms:created xsi:type="dcterms:W3CDTF">2015-04-07T14:26:00Z</dcterms:created>
  <dcterms:modified xsi:type="dcterms:W3CDTF">2015-04-07T14:26:00Z</dcterms:modified>
</cp:coreProperties>
</file>