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7 -->
  <w:body>
    <w:p w:rsidR="001909A9" w:rsidRPr="00E7067F" w:rsidP="001909A9">
      <w:pPr>
        <w:jc w:val="center"/>
        <w:rPr>
          <w:b/>
          <w:szCs w:val="24"/>
          <w:u w:val="single"/>
        </w:rPr>
      </w:pPr>
      <w:r w:rsidRPr="00E7067F">
        <w:rPr>
          <w:b/>
          <w:szCs w:val="24"/>
          <w:u w:val="single"/>
        </w:rPr>
        <w:t>SUMMARY OF PRODUCT CHARACTERISTICS</w:t>
      </w:r>
    </w:p>
    <w:p w:rsidR="00E7067F" w:rsidP="001909A9">
      <w:pPr>
        <w:rPr>
          <w:b/>
          <w:szCs w:val="24"/>
        </w:rPr>
      </w:pPr>
    </w:p>
    <w:p w:rsidR="00E7067F" w:rsidP="001909A9">
      <w:pPr>
        <w:rPr>
          <w:b/>
          <w:szCs w:val="24"/>
        </w:rPr>
      </w:pPr>
    </w:p>
    <w:p w:rsidR="001909A9" w:rsidRPr="00982C6C" w:rsidP="001909A9">
      <w:pPr>
        <w:rPr>
          <w:szCs w:val="24"/>
        </w:rPr>
      </w:pPr>
      <w:r w:rsidRPr="00982C6C">
        <w:rPr>
          <w:b/>
          <w:szCs w:val="24"/>
        </w:rPr>
        <w:t>1.</w:t>
        <w:tab/>
        <w:t>NAME OF THE VETERINARY MEDICINAL PRODUCT</w:t>
      </w:r>
    </w:p>
    <w:p w:rsidR="001909A9" w:rsidRPr="00982C6C" w:rsidP="001909A9">
      <w:pPr>
        <w:rPr>
          <w:szCs w:val="24"/>
        </w:rPr>
      </w:pPr>
    </w:p>
    <w:p w:rsidR="001909A9" w:rsidP="001909A9">
      <w:pPr>
        <w:rPr>
          <w:szCs w:val="24"/>
        </w:rPr>
      </w:pPr>
      <w:r w:rsidRPr="00982C6C">
        <w:rPr>
          <w:szCs w:val="24"/>
          <w:lang w:val="en-IE"/>
        </w:rPr>
        <w:t xml:space="preserve">Dycoxan 2.5 mg/ml Oral Suspension for </w:t>
      </w:r>
      <w:r w:rsidRPr="00982C6C">
        <w:rPr>
          <w:szCs w:val="24"/>
        </w:rPr>
        <w:t xml:space="preserve">sheep and cattle </w:t>
      </w:r>
    </w:p>
    <w:p w:rsidR="001909A9" w:rsidP="001909A9">
      <w:pPr>
        <w:rPr>
          <w:szCs w:val="24"/>
        </w:rPr>
      </w:pPr>
      <w:r w:rsidRPr="001E4C24">
        <w:rPr>
          <w:szCs w:val="24"/>
        </w:rPr>
        <w:t>Diacox 2.5 mg/ml Oral Suspension for sheep and cattle</w:t>
      </w:r>
      <w:r>
        <w:rPr>
          <w:szCs w:val="24"/>
        </w:rPr>
        <w:t xml:space="preserve"> (DE, FR)</w:t>
      </w:r>
    </w:p>
    <w:p w:rsidR="001909A9" w:rsidRPr="00982C6C" w:rsidP="001909A9">
      <w:pPr>
        <w:rPr>
          <w:szCs w:val="24"/>
          <w:lang w:val="en-IE"/>
        </w:rPr>
      </w:pPr>
      <w:r w:rsidRPr="004C56ED">
        <w:rPr>
          <w:szCs w:val="24"/>
          <w:lang w:val="en-IE"/>
        </w:rPr>
        <w:t>R</w:t>
      </w:r>
      <w:r>
        <w:rPr>
          <w:szCs w:val="24"/>
          <w:lang w:val="en-IE"/>
        </w:rPr>
        <w:t xml:space="preserve">umicox </w:t>
      </w:r>
      <w:r w:rsidRPr="00982C6C">
        <w:rPr>
          <w:szCs w:val="24"/>
          <w:lang w:val="en-IE"/>
        </w:rPr>
        <w:t xml:space="preserve">2.5 mg/ml Oral Suspension for </w:t>
      </w:r>
      <w:r w:rsidRPr="00982C6C">
        <w:rPr>
          <w:szCs w:val="24"/>
        </w:rPr>
        <w:t>sheep and cattle</w:t>
      </w:r>
      <w:r>
        <w:rPr>
          <w:szCs w:val="24"/>
        </w:rPr>
        <w:t xml:space="preserve"> (ES, IT, PT)</w:t>
      </w:r>
    </w:p>
    <w:p w:rsidR="001909A9" w:rsidRPr="00982C6C" w:rsidP="001909A9">
      <w:pPr>
        <w:rPr>
          <w:szCs w:val="24"/>
        </w:rPr>
      </w:pPr>
    </w:p>
    <w:p w:rsidR="001909A9" w:rsidRPr="00982C6C" w:rsidP="001909A9">
      <w:pPr>
        <w:rPr>
          <w:szCs w:val="24"/>
        </w:rPr>
      </w:pPr>
    </w:p>
    <w:p w:rsidR="001909A9" w:rsidRPr="00982C6C" w:rsidP="001909A9">
      <w:pPr>
        <w:rPr>
          <w:szCs w:val="24"/>
        </w:rPr>
      </w:pPr>
      <w:r w:rsidRPr="00982C6C">
        <w:rPr>
          <w:b/>
          <w:szCs w:val="24"/>
        </w:rPr>
        <w:t>2.</w:t>
        <w:tab/>
        <w:t>QUALITATIVE AND QUANTITATIVE COMPOSITION</w:t>
      </w:r>
    </w:p>
    <w:p w:rsidR="001909A9" w:rsidRPr="00982C6C" w:rsidP="001909A9">
      <w:pPr>
        <w:rPr>
          <w:szCs w:val="24"/>
        </w:rPr>
      </w:pPr>
    </w:p>
    <w:p w:rsidR="001909A9" w:rsidRPr="00982C6C" w:rsidP="001909A9">
      <w:pPr>
        <w:tabs>
          <w:tab w:val="left" w:pos="709"/>
        </w:tabs>
        <w:autoSpaceDE w:val="0"/>
        <w:autoSpaceDN w:val="0"/>
        <w:adjustRightInd w:val="0"/>
        <w:rPr>
          <w:szCs w:val="24"/>
          <w:lang w:val="en-IE"/>
        </w:rPr>
      </w:pPr>
      <w:r w:rsidRPr="00982C6C">
        <w:rPr>
          <w:szCs w:val="24"/>
          <w:lang w:val="en-IE"/>
        </w:rPr>
        <w:t>1 ml contains</w:t>
      </w:r>
    </w:p>
    <w:p w:rsidR="001909A9" w:rsidRPr="00982C6C" w:rsidP="001909A9">
      <w:pPr>
        <w:tabs>
          <w:tab w:val="left" w:pos="709"/>
        </w:tabs>
        <w:autoSpaceDE w:val="0"/>
        <w:autoSpaceDN w:val="0"/>
        <w:adjustRightInd w:val="0"/>
        <w:rPr>
          <w:szCs w:val="24"/>
          <w:lang w:val="en-IE"/>
        </w:rPr>
      </w:pPr>
      <w:r w:rsidRPr="00982C6C">
        <w:rPr>
          <w:szCs w:val="24"/>
          <w:lang w:val="en-IE"/>
        </w:rPr>
        <w:tab/>
      </w:r>
    </w:p>
    <w:p w:rsidR="001909A9" w:rsidRPr="00982C6C" w:rsidP="001909A9">
      <w:pPr>
        <w:tabs>
          <w:tab w:val="left" w:pos="709"/>
        </w:tabs>
        <w:autoSpaceDE w:val="0"/>
        <w:autoSpaceDN w:val="0"/>
        <w:adjustRightInd w:val="0"/>
        <w:rPr>
          <w:szCs w:val="24"/>
          <w:lang w:val="en-IE"/>
        </w:rPr>
      </w:pPr>
      <w:r w:rsidRPr="00982C6C">
        <w:rPr>
          <w:b/>
          <w:bCs/>
          <w:iCs/>
          <w:szCs w:val="24"/>
          <w:lang w:val="en-IE"/>
        </w:rPr>
        <w:t>Active substance</w:t>
      </w:r>
      <w:r w:rsidRPr="00982C6C">
        <w:rPr>
          <w:b/>
          <w:bCs/>
          <w:i/>
          <w:iCs/>
          <w:szCs w:val="24"/>
          <w:lang w:val="en-IE"/>
        </w:rPr>
        <w:t>:</w:t>
        <w:tab/>
        <w:tab/>
        <w:tab/>
      </w:r>
    </w:p>
    <w:p w:rsidR="001909A9" w:rsidRPr="00982C6C" w:rsidP="001909A9">
      <w:pPr>
        <w:tabs>
          <w:tab w:val="left" w:pos="709"/>
        </w:tabs>
        <w:autoSpaceDE w:val="0"/>
        <w:autoSpaceDN w:val="0"/>
        <w:adjustRightInd w:val="0"/>
        <w:rPr>
          <w:szCs w:val="24"/>
          <w:u w:val="single"/>
          <w:lang w:val="en-IE"/>
        </w:rPr>
      </w:pPr>
      <w:r w:rsidRPr="00982C6C">
        <w:rPr>
          <w:szCs w:val="24"/>
          <w:lang w:val="en-IE"/>
        </w:rPr>
        <w:t xml:space="preserve">Diclazuril </w:t>
        <w:tab/>
        <w:tab/>
        <w:tab/>
        <w:tab/>
        <w:t xml:space="preserve">2.5 mg </w:t>
      </w:r>
    </w:p>
    <w:p w:rsidR="001909A9" w:rsidRPr="00982C6C" w:rsidP="001909A9">
      <w:pPr>
        <w:tabs>
          <w:tab w:val="left" w:pos="1920"/>
        </w:tabs>
        <w:autoSpaceDE w:val="0"/>
        <w:autoSpaceDN w:val="0"/>
        <w:adjustRightInd w:val="0"/>
        <w:rPr>
          <w:b/>
          <w:bCs/>
          <w:i/>
          <w:iCs/>
          <w:szCs w:val="24"/>
          <w:lang w:val="en-IE"/>
        </w:rPr>
      </w:pPr>
    </w:p>
    <w:p w:rsidR="001909A9" w:rsidRPr="00982C6C" w:rsidP="001909A9">
      <w:pPr>
        <w:tabs>
          <w:tab w:val="left" w:pos="1920"/>
        </w:tabs>
        <w:autoSpaceDE w:val="0"/>
        <w:autoSpaceDN w:val="0"/>
        <w:adjustRightInd w:val="0"/>
        <w:rPr>
          <w:b/>
          <w:bCs/>
          <w:i/>
          <w:iCs/>
          <w:szCs w:val="24"/>
          <w:lang w:val="en-IE"/>
        </w:rPr>
      </w:pPr>
      <w:r w:rsidRPr="00982C6C">
        <w:rPr>
          <w:b/>
          <w:bCs/>
          <w:iCs/>
          <w:szCs w:val="24"/>
          <w:lang w:val="en-IE"/>
        </w:rPr>
        <w:t>Excipients</w:t>
      </w:r>
      <w:r w:rsidRPr="00982C6C">
        <w:rPr>
          <w:b/>
          <w:bCs/>
          <w:i/>
          <w:iCs/>
          <w:szCs w:val="24"/>
          <w:lang w:val="en-IE"/>
        </w:rPr>
        <w:t>:</w:t>
      </w:r>
    </w:p>
    <w:p w:rsidR="001909A9" w:rsidRPr="00982C6C" w:rsidP="001909A9">
      <w:pPr>
        <w:tabs>
          <w:tab w:val="left" w:pos="1920"/>
        </w:tabs>
        <w:autoSpaceDE w:val="0"/>
        <w:autoSpaceDN w:val="0"/>
        <w:adjustRightInd w:val="0"/>
        <w:rPr>
          <w:szCs w:val="24"/>
          <w:lang w:val="en-IE"/>
        </w:rPr>
      </w:pPr>
      <w:r w:rsidRPr="00982C6C">
        <w:rPr>
          <w:szCs w:val="24"/>
          <w:lang w:val="en-IE"/>
        </w:rPr>
        <w:t xml:space="preserve">Methyl Parahydroxybenzoate </w:t>
      </w:r>
      <w:r w:rsidRPr="00982C6C">
        <w:rPr>
          <w:szCs w:val="24"/>
        </w:rPr>
        <w:t>(E218)</w:t>
      </w:r>
      <w:r w:rsidRPr="00982C6C">
        <w:rPr>
          <w:szCs w:val="24"/>
          <w:lang w:val="en-IE"/>
        </w:rPr>
        <w:tab/>
        <w:t>1.8 mg</w:t>
      </w:r>
    </w:p>
    <w:p w:rsidR="001909A9" w:rsidRPr="00982C6C" w:rsidP="001909A9">
      <w:pPr>
        <w:tabs>
          <w:tab w:val="left" w:pos="1920"/>
        </w:tabs>
        <w:autoSpaceDE w:val="0"/>
        <w:autoSpaceDN w:val="0"/>
        <w:adjustRightInd w:val="0"/>
        <w:rPr>
          <w:szCs w:val="24"/>
          <w:lang w:val="en-IE"/>
        </w:rPr>
      </w:pPr>
      <w:r w:rsidRPr="00982C6C">
        <w:rPr>
          <w:szCs w:val="24"/>
          <w:lang w:val="en-IE"/>
        </w:rPr>
        <w:t>Propyl Parahydroxybenzoate</w:t>
        <w:tab/>
        <w:t xml:space="preserve">  </w:t>
        <w:tab/>
        <w:t>0.2 mg</w:t>
      </w:r>
    </w:p>
    <w:p w:rsidR="001909A9" w:rsidRPr="00982C6C" w:rsidP="001909A9">
      <w:pPr>
        <w:autoSpaceDE w:val="0"/>
        <w:autoSpaceDN w:val="0"/>
        <w:adjustRightInd w:val="0"/>
        <w:rPr>
          <w:szCs w:val="24"/>
          <w:lang w:val="en-IE"/>
        </w:rPr>
      </w:pPr>
    </w:p>
    <w:p w:rsidR="001909A9" w:rsidRPr="00982C6C" w:rsidP="001909A9">
      <w:pPr>
        <w:rPr>
          <w:szCs w:val="24"/>
        </w:rPr>
      </w:pPr>
      <w:r w:rsidRPr="00982C6C">
        <w:rPr>
          <w:szCs w:val="24"/>
          <w:lang w:val="en-IE"/>
        </w:rPr>
        <w:t>For the full list of excipients, see section 6.1</w:t>
      </w:r>
    </w:p>
    <w:p w:rsidR="001909A9" w:rsidP="001909A9">
      <w:pPr>
        <w:rPr>
          <w:szCs w:val="24"/>
        </w:rPr>
      </w:pPr>
    </w:p>
    <w:p w:rsidR="00E7067F" w:rsidRPr="00982C6C" w:rsidP="001909A9">
      <w:pPr>
        <w:rPr>
          <w:szCs w:val="24"/>
        </w:rPr>
      </w:pPr>
    </w:p>
    <w:p w:rsidR="001909A9" w:rsidRPr="00982C6C" w:rsidP="001909A9">
      <w:pPr>
        <w:rPr>
          <w:szCs w:val="24"/>
        </w:rPr>
      </w:pPr>
      <w:r w:rsidRPr="00982C6C">
        <w:rPr>
          <w:b/>
          <w:szCs w:val="24"/>
        </w:rPr>
        <w:t>3.</w:t>
        <w:tab/>
        <w:t>PHARMACEUTICAL FORM</w:t>
      </w:r>
    </w:p>
    <w:p w:rsidR="001909A9" w:rsidRPr="00982C6C" w:rsidP="001909A9">
      <w:pPr>
        <w:rPr>
          <w:szCs w:val="24"/>
        </w:rPr>
      </w:pPr>
    </w:p>
    <w:p w:rsidR="001909A9" w:rsidRPr="00982C6C" w:rsidP="001909A9">
      <w:pPr>
        <w:rPr>
          <w:szCs w:val="24"/>
          <w:lang w:val="en-IE"/>
        </w:rPr>
      </w:pPr>
      <w:r w:rsidRPr="00982C6C">
        <w:rPr>
          <w:szCs w:val="24"/>
          <w:lang w:val="en-IE"/>
        </w:rPr>
        <w:t>Oral suspension.</w:t>
      </w:r>
    </w:p>
    <w:p w:rsidR="001909A9" w:rsidRPr="00982C6C" w:rsidP="001909A9">
      <w:pPr>
        <w:rPr>
          <w:szCs w:val="24"/>
        </w:rPr>
      </w:pPr>
      <w:r w:rsidRPr="00982C6C">
        <w:rPr>
          <w:szCs w:val="24"/>
        </w:rPr>
        <w:t>White to off-white suspension</w:t>
      </w:r>
    </w:p>
    <w:p w:rsidR="001909A9" w:rsidP="001909A9">
      <w:pPr>
        <w:rPr>
          <w:szCs w:val="24"/>
        </w:rPr>
      </w:pPr>
    </w:p>
    <w:p w:rsidR="00E7067F" w:rsidRPr="00982C6C" w:rsidP="001909A9">
      <w:pPr>
        <w:rPr>
          <w:szCs w:val="24"/>
        </w:rPr>
      </w:pPr>
    </w:p>
    <w:p w:rsidR="001909A9" w:rsidRPr="00982C6C" w:rsidP="001909A9">
      <w:pPr>
        <w:rPr>
          <w:b/>
          <w:szCs w:val="24"/>
        </w:rPr>
      </w:pPr>
      <w:r w:rsidRPr="00982C6C">
        <w:rPr>
          <w:b/>
          <w:szCs w:val="24"/>
        </w:rPr>
        <w:t>4.</w:t>
        <w:tab/>
        <w:t>CLINICAL PARTICULARS</w:t>
      </w:r>
    </w:p>
    <w:p w:rsidR="001909A9" w:rsidRPr="00982C6C" w:rsidP="001909A9">
      <w:pPr>
        <w:rPr>
          <w:szCs w:val="24"/>
        </w:rPr>
      </w:pPr>
    </w:p>
    <w:p w:rsidR="001909A9" w:rsidRPr="00982C6C" w:rsidP="001909A9">
      <w:pPr>
        <w:rPr>
          <w:b/>
          <w:szCs w:val="24"/>
        </w:rPr>
      </w:pPr>
      <w:r w:rsidRPr="00982C6C">
        <w:rPr>
          <w:b/>
          <w:szCs w:val="24"/>
        </w:rPr>
        <w:t>4.1</w:t>
        <w:tab/>
        <w:t>Target species</w:t>
      </w:r>
    </w:p>
    <w:p w:rsidR="001909A9" w:rsidRPr="00982C6C" w:rsidP="001909A9">
      <w:pPr>
        <w:rPr>
          <w:szCs w:val="24"/>
        </w:rPr>
      </w:pPr>
      <w:r w:rsidRPr="00982C6C">
        <w:rPr>
          <w:szCs w:val="24"/>
        </w:rPr>
        <w:t>Sheep (lambs),Cattle (calves)</w:t>
      </w:r>
    </w:p>
    <w:p w:rsidR="001909A9" w:rsidRPr="00982C6C" w:rsidP="001909A9">
      <w:pPr>
        <w:rPr>
          <w:szCs w:val="24"/>
        </w:rPr>
      </w:pPr>
    </w:p>
    <w:p w:rsidR="001909A9" w:rsidRPr="00982C6C" w:rsidP="001909A9">
      <w:pPr>
        <w:rPr>
          <w:szCs w:val="24"/>
        </w:rPr>
      </w:pPr>
    </w:p>
    <w:p w:rsidR="001909A9" w:rsidRPr="00982C6C" w:rsidP="001909A9">
      <w:pPr>
        <w:rPr>
          <w:szCs w:val="24"/>
        </w:rPr>
      </w:pPr>
      <w:r w:rsidRPr="00982C6C">
        <w:rPr>
          <w:b/>
          <w:szCs w:val="24"/>
        </w:rPr>
        <w:t>4.2</w:t>
        <w:tab/>
        <w:t>Indications for use, specifying the target species</w:t>
      </w:r>
    </w:p>
    <w:p w:rsidR="001909A9" w:rsidRPr="00982C6C" w:rsidP="001909A9">
      <w:pPr>
        <w:rPr>
          <w:szCs w:val="24"/>
        </w:rPr>
      </w:pPr>
    </w:p>
    <w:p w:rsidR="001909A9" w:rsidRPr="00982C6C" w:rsidP="001909A9">
      <w:pPr>
        <w:autoSpaceDE w:val="0"/>
        <w:autoSpaceDN w:val="0"/>
        <w:adjustRightInd w:val="0"/>
        <w:rPr>
          <w:szCs w:val="24"/>
          <w:lang w:val="en-US"/>
        </w:rPr>
      </w:pPr>
      <w:r w:rsidRPr="00982C6C">
        <w:rPr>
          <w:szCs w:val="24"/>
          <w:lang w:val="en-US"/>
        </w:rPr>
        <w:t>In lambs:</w:t>
      </w:r>
    </w:p>
    <w:p w:rsidR="001909A9" w:rsidRPr="00982C6C" w:rsidP="001909A9">
      <w:pPr>
        <w:autoSpaceDE w:val="0"/>
        <w:autoSpaceDN w:val="0"/>
        <w:adjustRightInd w:val="0"/>
        <w:rPr>
          <w:szCs w:val="24"/>
          <w:lang w:val="en-US"/>
        </w:rPr>
      </w:pPr>
      <w:r>
        <w:rPr>
          <w:szCs w:val="24"/>
          <w:lang w:val="en-US"/>
        </w:rPr>
        <w:t>P</w:t>
      </w:r>
      <w:r w:rsidRPr="00982C6C">
        <w:rPr>
          <w:szCs w:val="24"/>
          <w:lang w:val="en-US"/>
        </w:rPr>
        <w:t xml:space="preserve">revention of clinical signs of coccidiosis caused by </w:t>
      </w:r>
      <w:r w:rsidRPr="00982C6C">
        <w:rPr>
          <w:i/>
          <w:szCs w:val="24"/>
          <w:lang w:val="en-US"/>
        </w:rPr>
        <w:t>Eimeria crandallis</w:t>
      </w:r>
      <w:r w:rsidRPr="00982C6C">
        <w:rPr>
          <w:szCs w:val="24"/>
          <w:lang w:val="en-US"/>
        </w:rPr>
        <w:t xml:space="preserve"> and </w:t>
      </w:r>
      <w:r w:rsidRPr="00982C6C">
        <w:rPr>
          <w:i/>
          <w:szCs w:val="24"/>
          <w:lang w:val="en-US"/>
        </w:rPr>
        <w:t>Eimeria ovinoidalis</w:t>
      </w:r>
      <w:r w:rsidRPr="00982C6C">
        <w:rPr>
          <w:szCs w:val="24"/>
          <w:lang w:val="en-US"/>
        </w:rPr>
        <w:t xml:space="preserve"> sensitive to diclazuril.</w:t>
      </w:r>
    </w:p>
    <w:p w:rsidR="001909A9" w:rsidRPr="00982C6C" w:rsidP="001909A9">
      <w:pPr>
        <w:autoSpaceDE w:val="0"/>
        <w:autoSpaceDN w:val="0"/>
        <w:adjustRightInd w:val="0"/>
        <w:rPr>
          <w:szCs w:val="24"/>
          <w:lang w:val="en-US"/>
        </w:rPr>
      </w:pPr>
    </w:p>
    <w:p w:rsidR="001909A9" w:rsidRPr="00982C6C" w:rsidP="001909A9">
      <w:pPr>
        <w:autoSpaceDE w:val="0"/>
        <w:autoSpaceDN w:val="0"/>
        <w:adjustRightInd w:val="0"/>
        <w:rPr>
          <w:szCs w:val="24"/>
          <w:lang w:val="en-US"/>
        </w:rPr>
      </w:pPr>
      <w:r w:rsidRPr="00982C6C">
        <w:rPr>
          <w:szCs w:val="24"/>
          <w:lang w:val="en-US"/>
        </w:rPr>
        <w:t>In calves:</w:t>
      </w:r>
    </w:p>
    <w:p w:rsidR="001909A9" w:rsidRPr="00982C6C" w:rsidP="001909A9">
      <w:pPr>
        <w:rPr>
          <w:szCs w:val="24"/>
        </w:rPr>
      </w:pPr>
      <w:r w:rsidRPr="00982C6C">
        <w:rPr>
          <w:szCs w:val="24"/>
          <w:lang w:val="en-US"/>
        </w:rPr>
        <w:t xml:space="preserve">Prevention of clinical signs of coccidiosis caused by </w:t>
      </w:r>
      <w:r w:rsidRPr="00982C6C">
        <w:rPr>
          <w:i/>
          <w:szCs w:val="24"/>
          <w:lang w:val="en-US"/>
        </w:rPr>
        <w:t>Eimeria bovis</w:t>
      </w:r>
      <w:r w:rsidRPr="00982C6C">
        <w:rPr>
          <w:szCs w:val="24"/>
          <w:lang w:val="en-US"/>
        </w:rPr>
        <w:t xml:space="preserve"> and </w:t>
      </w:r>
      <w:r w:rsidRPr="00982C6C">
        <w:rPr>
          <w:i/>
          <w:szCs w:val="24"/>
          <w:lang w:val="en-US"/>
        </w:rPr>
        <w:t>Eimeria zuernii</w:t>
      </w:r>
      <w:r w:rsidRPr="00982C6C">
        <w:rPr>
          <w:szCs w:val="24"/>
          <w:lang w:val="en-US"/>
        </w:rPr>
        <w:t xml:space="preserve"> sensitive to diclazuril</w:t>
      </w:r>
      <w:r w:rsidRPr="00982C6C">
        <w:rPr>
          <w:i/>
          <w:szCs w:val="24"/>
          <w:lang w:val="en-US"/>
        </w:rPr>
        <w:t>.</w:t>
      </w:r>
    </w:p>
    <w:p w:rsidR="001909A9" w:rsidRPr="00982C6C" w:rsidP="001909A9">
      <w:pPr>
        <w:rPr>
          <w:szCs w:val="24"/>
        </w:rPr>
      </w:pPr>
    </w:p>
    <w:p w:rsidR="001909A9" w:rsidP="001909A9">
      <w:pPr>
        <w:rPr>
          <w:szCs w:val="24"/>
        </w:rPr>
      </w:pPr>
    </w:p>
    <w:p w:rsidR="00E7067F" w:rsidP="001909A9">
      <w:pPr>
        <w:rPr>
          <w:szCs w:val="24"/>
        </w:rPr>
      </w:pPr>
    </w:p>
    <w:p w:rsidR="00E7067F" w:rsidP="001909A9">
      <w:pPr>
        <w:rPr>
          <w:szCs w:val="24"/>
        </w:rPr>
      </w:pPr>
    </w:p>
    <w:p w:rsidR="00E7067F" w:rsidRPr="00982C6C" w:rsidP="001909A9">
      <w:pPr>
        <w:rPr>
          <w:szCs w:val="24"/>
        </w:rPr>
      </w:pPr>
    </w:p>
    <w:p w:rsidR="001909A9" w:rsidRPr="00982C6C" w:rsidP="001909A9">
      <w:pPr>
        <w:rPr>
          <w:szCs w:val="24"/>
        </w:rPr>
      </w:pPr>
      <w:r w:rsidRPr="00982C6C">
        <w:rPr>
          <w:b/>
          <w:szCs w:val="24"/>
        </w:rPr>
        <w:t>4.3</w:t>
        <w:tab/>
        <w:t>Contraindications</w:t>
      </w:r>
    </w:p>
    <w:p w:rsidR="001909A9" w:rsidRPr="00982C6C" w:rsidP="001909A9">
      <w:pPr>
        <w:rPr>
          <w:szCs w:val="24"/>
        </w:rPr>
      </w:pPr>
    </w:p>
    <w:p w:rsidR="001909A9" w:rsidRPr="00982C6C" w:rsidP="001909A9">
      <w:pPr>
        <w:rPr>
          <w:szCs w:val="24"/>
        </w:rPr>
      </w:pPr>
      <w:r w:rsidRPr="00982C6C">
        <w:rPr>
          <w:szCs w:val="24"/>
        </w:rPr>
        <w:t>Do not use in cases of hypersensitivity to the active substance or to any of the excipients.</w:t>
      </w:r>
    </w:p>
    <w:p w:rsidR="001909A9" w:rsidRPr="00982C6C" w:rsidP="001909A9">
      <w:pPr>
        <w:rPr>
          <w:szCs w:val="24"/>
        </w:rPr>
      </w:pPr>
    </w:p>
    <w:p w:rsidR="001909A9" w:rsidRPr="00982C6C" w:rsidP="001909A9">
      <w:pPr>
        <w:rPr>
          <w:b/>
          <w:szCs w:val="24"/>
        </w:rPr>
      </w:pPr>
      <w:r w:rsidRPr="00982C6C">
        <w:rPr>
          <w:b/>
          <w:szCs w:val="24"/>
        </w:rPr>
        <w:t>4.4</w:t>
        <w:tab/>
        <w:t>Special warnings for each target species</w:t>
      </w:r>
    </w:p>
    <w:p w:rsidR="001909A9" w:rsidRPr="00982C6C" w:rsidP="001909A9">
      <w:pPr>
        <w:rPr>
          <w:szCs w:val="24"/>
        </w:rPr>
      </w:pPr>
    </w:p>
    <w:p w:rsidR="001909A9" w:rsidRPr="00982C6C" w:rsidP="001909A9">
      <w:pPr>
        <w:rPr>
          <w:szCs w:val="24"/>
          <w:lang w:val="en-US"/>
        </w:rPr>
      </w:pPr>
      <w:r w:rsidRPr="00982C6C">
        <w:rPr>
          <w:szCs w:val="24"/>
          <w:lang w:val="en-US"/>
        </w:rPr>
        <w:t>Avoid under-dosing, which may be due to underestimation of body weight, misadministration of the product or lack of calibration of the dosing device (if any).</w:t>
      </w:r>
    </w:p>
    <w:p w:rsidR="001909A9" w:rsidRPr="00982C6C" w:rsidP="001909A9">
      <w:pPr>
        <w:rPr>
          <w:szCs w:val="24"/>
          <w:lang w:val="en-IE"/>
        </w:rPr>
      </w:pPr>
      <w:r w:rsidRPr="00982C6C">
        <w:rPr>
          <w:szCs w:val="24"/>
          <w:lang w:val="en-IE"/>
        </w:rPr>
        <w:t>It is recommended to treat all lambs of the flock and all calves in a pen. This will contribute to reduce the infection pressure and assure a better epidemiological control of the coccidiosis infection.</w:t>
      </w:r>
    </w:p>
    <w:p w:rsidR="001909A9" w:rsidRPr="00982C6C" w:rsidP="001909A9">
      <w:pPr>
        <w:rPr>
          <w:szCs w:val="24"/>
        </w:rPr>
      </w:pPr>
      <w:r w:rsidRPr="00982C6C">
        <w:rPr>
          <w:szCs w:val="24"/>
          <w:lang w:val="en-US"/>
        </w:rPr>
        <w:t>If there is no recent and confirmed history of clinical coccidiosis, the presence of coccidia in the flock or herd should be confirmed by faecal sampling prior to treatment.</w:t>
      </w:r>
    </w:p>
    <w:p w:rsidR="001909A9" w:rsidRPr="00982C6C" w:rsidP="001909A9">
      <w:pPr>
        <w:rPr>
          <w:szCs w:val="24"/>
          <w:lang w:val="en-IE"/>
        </w:rPr>
      </w:pPr>
    </w:p>
    <w:p w:rsidR="001909A9" w:rsidRPr="0008103C" w:rsidP="001909A9">
      <w:pPr>
        <w:rPr>
          <w:szCs w:val="24"/>
          <w:lang w:eastAsia="en-IE"/>
        </w:rPr>
      </w:pPr>
      <w:r w:rsidRPr="0008103C">
        <w:rPr>
          <w:szCs w:val="24"/>
        </w:rPr>
        <w:t>In certain cases, only a transient reduction of oocyst shedding may be achieved.  Suspected clinical cases of resistance to anticoccidials should be further investigated and where evidence strongly suggest resistance to a particular antiprotozoal, an anticoccidial belonging to another pharmacological class and having a different mode of action should be used</w:t>
      </w:r>
      <w:r>
        <w:rPr>
          <w:szCs w:val="24"/>
        </w:rPr>
        <w:t>.</w:t>
      </w:r>
    </w:p>
    <w:p w:rsidR="001909A9" w:rsidRPr="00982C6C" w:rsidP="001909A9">
      <w:pPr>
        <w:rPr>
          <w:szCs w:val="24"/>
        </w:rPr>
      </w:pPr>
    </w:p>
    <w:p w:rsidR="001909A9" w:rsidRPr="00982C6C" w:rsidP="001909A9">
      <w:pPr>
        <w:rPr>
          <w:bCs/>
          <w:szCs w:val="24"/>
          <w:lang w:val="en-AU"/>
        </w:rPr>
      </w:pPr>
      <w:r w:rsidRPr="00982C6C">
        <w:rPr>
          <w:bCs/>
          <w:szCs w:val="24"/>
        </w:rPr>
        <w:t>Frequent and repeated use</w:t>
      </w:r>
      <w:r w:rsidRPr="00982C6C">
        <w:rPr>
          <w:bCs/>
          <w:szCs w:val="24"/>
          <w:lang w:val="en-AU"/>
        </w:rPr>
        <w:t xml:space="preserve"> of antiprotozoals may lead to the development of resistance in the target parasite.</w:t>
      </w:r>
    </w:p>
    <w:p w:rsidR="001909A9" w:rsidRPr="00982C6C" w:rsidP="001909A9">
      <w:pPr>
        <w:rPr>
          <w:szCs w:val="24"/>
        </w:rPr>
      </w:pPr>
    </w:p>
    <w:p w:rsidR="001909A9" w:rsidRPr="00982C6C" w:rsidP="001909A9">
      <w:pPr>
        <w:rPr>
          <w:szCs w:val="24"/>
        </w:rPr>
      </w:pPr>
      <w:r w:rsidRPr="00982C6C">
        <w:rPr>
          <w:b/>
          <w:szCs w:val="24"/>
        </w:rPr>
        <w:t>4.5</w:t>
        <w:tab/>
        <w:t>Special precautions for use</w:t>
      </w:r>
    </w:p>
    <w:p w:rsidR="001909A9" w:rsidRPr="00982C6C" w:rsidP="001909A9">
      <w:pPr>
        <w:rPr>
          <w:szCs w:val="24"/>
        </w:rPr>
      </w:pPr>
    </w:p>
    <w:p w:rsidR="001909A9" w:rsidRPr="00982C6C" w:rsidP="001909A9">
      <w:pPr>
        <w:keepNext/>
        <w:keepLines/>
        <w:rPr>
          <w:szCs w:val="24"/>
          <w:u w:val="single"/>
        </w:rPr>
      </w:pPr>
      <w:r w:rsidRPr="00982C6C">
        <w:rPr>
          <w:szCs w:val="24"/>
          <w:u w:val="single"/>
        </w:rPr>
        <w:t>Special precautions for use in animals</w:t>
      </w:r>
    </w:p>
    <w:p w:rsidR="001909A9" w:rsidRPr="00982C6C" w:rsidP="001909A9">
      <w:pPr>
        <w:rPr>
          <w:szCs w:val="24"/>
        </w:rPr>
      </w:pPr>
    </w:p>
    <w:p w:rsidR="001909A9" w:rsidRPr="00982C6C" w:rsidP="001909A9">
      <w:pPr>
        <w:keepNext/>
        <w:outlineLvl w:val="2"/>
        <w:rPr>
          <w:b/>
          <w:szCs w:val="24"/>
          <w:lang w:val="en-IE"/>
        </w:rPr>
      </w:pPr>
      <w:r w:rsidRPr="00982C6C">
        <w:rPr>
          <w:b/>
          <w:szCs w:val="24"/>
          <w:lang w:val="en-IE"/>
        </w:rPr>
        <w:t>Lambs</w:t>
      </w:r>
    </w:p>
    <w:p w:rsidR="001909A9" w:rsidRPr="00982C6C" w:rsidP="001909A9">
      <w:pPr>
        <w:rPr>
          <w:szCs w:val="24"/>
          <w:lang w:val="en-IE"/>
        </w:rPr>
      </w:pPr>
      <w:r w:rsidRPr="00982C6C">
        <w:rPr>
          <w:szCs w:val="24"/>
          <w:lang w:val="en-IE"/>
        </w:rPr>
        <w:t xml:space="preserve">On rare occasions, in highly susceptible lambs e.g. where they have been housed for long periods of time before being turned out onto heavily contaminated pasture, a severe scour has been seen shortly after dosing. In such cases, fluid therapy is essential. </w:t>
      </w:r>
    </w:p>
    <w:p w:rsidR="001909A9" w:rsidRPr="00982C6C" w:rsidP="001909A9">
      <w:pPr>
        <w:rPr>
          <w:szCs w:val="24"/>
          <w:lang w:val="en-IE"/>
        </w:rPr>
      </w:pPr>
    </w:p>
    <w:p w:rsidR="001909A9" w:rsidRPr="00982C6C" w:rsidP="001909A9">
      <w:pPr>
        <w:rPr>
          <w:szCs w:val="24"/>
          <w:lang w:val="en-IE"/>
        </w:rPr>
      </w:pPr>
    </w:p>
    <w:p w:rsidR="001909A9" w:rsidRPr="00982C6C" w:rsidP="001909A9">
      <w:pPr>
        <w:keepNext/>
        <w:outlineLvl w:val="2"/>
        <w:rPr>
          <w:b/>
          <w:szCs w:val="24"/>
          <w:lang w:val="en-IE"/>
        </w:rPr>
      </w:pPr>
      <w:r w:rsidRPr="00982C6C">
        <w:rPr>
          <w:b/>
          <w:szCs w:val="24"/>
          <w:lang w:val="en-IE"/>
        </w:rPr>
        <w:t>Calves</w:t>
      </w:r>
    </w:p>
    <w:p w:rsidR="001909A9" w:rsidRPr="00982C6C" w:rsidP="001909A9">
      <w:pPr>
        <w:rPr>
          <w:szCs w:val="24"/>
          <w:lang w:val="en-IE"/>
        </w:rPr>
      </w:pPr>
      <w:r w:rsidRPr="00982C6C">
        <w:rPr>
          <w:szCs w:val="24"/>
          <w:lang w:val="en-IE"/>
        </w:rPr>
        <w:t>Clinical coccidiosis generally occurs late in the parasite’s life cycle after most of the damage to the calf’s intestine has already been done. This severely damaged intestine can easily be infected by secondary bacteria and/or other agents. In cases of acute clinical coccidiosis treated with the product, fluid therapy is essential.  Symptoms of clinical disease may remain obvious in some calves treated with the product, even though oocyst excretion is reduced to a very low level, and overall prevalence of diarrhoea is decreased.</w:t>
      </w:r>
    </w:p>
    <w:p w:rsidR="001909A9" w:rsidRPr="00982C6C" w:rsidP="001909A9">
      <w:pPr>
        <w:rPr>
          <w:szCs w:val="24"/>
          <w:lang w:val="en-IE"/>
        </w:rPr>
      </w:pPr>
    </w:p>
    <w:p w:rsidR="001909A9" w:rsidRPr="00982C6C" w:rsidP="001909A9">
      <w:pPr>
        <w:rPr>
          <w:szCs w:val="24"/>
        </w:rPr>
      </w:pPr>
    </w:p>
    <w:p w:rsidR="001909A9" w:rsidRPr="00982C6C" w:rsidP="001909A9">
      <w:pPr>
        <w:rPr>
          <w:szCs w:val="24"/>
        </w:rPr>
      </w:pPr>
      <w:r w:rsidRPr="00982C6C">
        <w:rPr>
          <w:szCs w:val="24"/>
        </w:rPr>
        <w:t xml:space="preserve">The preferred timing of treatment is directed by the known epidemiology of </w:t>
      </w:r>
      <w:r w:rsidRPr="00982C6C">
        <w:rPr>
          <w:i/>
          <w:szCs w:val="24"/>
        </w:rPr>
        <w:t>Eimeria</w:t>
      </w:r>
      <w:r w:rsidRPr="00982C6C">
        <w:rPr>
          <w:szCs w:val="24"/>
        </w:rPr>
        <w:t xml:space="preserve"> spp. and the presence of coccidia in the flock or herd should be confirmed by faecal sampling prior to treatment, if there is no recent and confirmed history of clinical coccidiosis. </w:t>
      </w:r>
    </w:p>
    <w:p w:rsidR="001909A9" w:rsidRPr="00982C6C" w:rsidP="001909A9">
      <w:pPr>
        <w:rPr>
          <w:szCs w:val="24"/>
        </w:rPr>
      </w:pPr>
      <w:r w:rsidRPr="00982C6C">
        <w:rPr>
          <w:szCs w:val="24"/>
        </w:rPr>
        <w:t xml:space="preserve">Coccidiosis is an indicator of insufficient hygiene in the flock/pen. It is recommended to improve hygiene and to treat all lambs in the flock and all calves in a pen. </w:t>
      </w:r>
    </w:p>
    <w:p w:rsidR="001909A9" w:rsidRPr="00982C6C" w:rsidP="001909A9">
      <w:pPr>
        <w:rPr>
          <w:szCs w:val="24"/>
        </w:rPr>
      </w:pPr>
    </w:p>
    <w:p w:rsidR="001909A9" w:rsidRPr="00982C6C" w:rsidP="001909A9">
      <w:pPr>
        <w:rPr>
          <w:bCs/>
          <w:szCs w:val="24"/>
          <w:u w:val="single"/>
          <w:lang w:val="en-IE"/>
        </w:rPr>
      </w:pPr>
      <w:r w:rsidRPr="00982C6C">
        <w:rPr>
          <w:bCs/>
          <w:szCs w:val="24"/>
          <w:u w:val="single"/>
          <w:lang w:val="en-IE"/>
        </w:rPr>
        <w:t>Special precautions to be taken by the person administering the veterinary medicinal product to animals</w:t>
      </w:r>
    </w:p>
    <w:p w:rsidR="001909A9" w:rsidRPr="00982C6C" w:rsidP="001909A9">
      <w:pPr>
        <w:rPr>
          <w:szCs w:val="24"/>
          <w:lang w:val="en-IE"/>
        </w:rPr>
      </w:pPr>
      <w:r w:rsidRPr="00982C6C">
        <w:rPr>
          <w:szCs w:val="24"/>
          <w:lang w:val="en-IE"/>
        </w:rPr>
        <w:t>Wash hands after use.</w:t>
      </w:r>
    </w:p>
    <w:p w:rsidR="001909A9" w:rsidRPr="00982C6C" w:rsidP="001909A9">
      <w:pPr>
        <w:rPr>
          <w:szCs w:val="24"/>
        </w:rPr>
      </w:pPr>
    </w:p>
    <w:p w:rsidR="001909A9" w:rsidRPr="00982C6C" w:rsidP="001909A9">
      <w:pPr>
        <w:rPr>
          <w:szCs w:val="24"/>
        </w:rPr>
      </w:pPr>
      <w:r w:rsidRPr="00982C6C">
        <w:rPr>
          <w:b/>
          <w:szCs w:val="24"/>
        </w:rPr>
        <w:t>4.6</w:t>
        <w:tab/>
        <w:t>Adverse reactions (frequency and seriousness)</w:t>
      </w:r>
    </w:p>
    <w:p w:rsidR="001909A9" w:rsidRPr="00982C6C" w:rsidP="001909A9">
      <w:pPr>
        <w:rPr>
          <w:szCs w:val="24"/>
        </w:rPr>
      </w:pPr>
    </w:p>
    <w:p w:rsidR="001909A9" w:rsidRPr="00982C6C" w:rsidP="001909A9">
      <w:pPr>
        <w:autoSpaceDE w:val="0"/>
        <w:autoSpaceDN w:val="0"/>
        <w:adjustRightInd w:val="0"/>
        <w:rPr>
          <w:szCs w:val="24"/>
          <w:lang w:val="en-US"/>
        </w:rPr>
      </w:pPr>
      <w:r w:rsidRPr="00982C6C">
        <w:rPr>
          <w:szCs w:val="24"/>
          <w:lang w:val="en-US"/>
        </w:rPr>
        <w:t xml:space="preserve">In very rare cases, adverse events involving gastrointestinal disorders (such as diarrhoea, with possible presence of blood), lethargy and/or neurological troubles (agitation, recumbency, paresis...) have been reported.  Some treated animals may show signs of clinical disease (diarrhoea) even though oocyst excretion is reduced to a very low level.  </w:t>
      </w:r>
    </w:p>
    <w:p w:rsidR="001909A9" w:rsidRPr="00982C6C" w:rsidP="001909A9">
      <w:pPr>
        <w:autoSpaceDE w:val="0"/>
        <w:autoSpaceDN w:val="0"/>
        <w:adjustRightInd w:val="0"/>
        <w:rPr>
          <w:szCs w:val="24"/>
          <w:lang w:val="en-US"/>
        </w:rPr>
      </w:pPr>
      <w:r w:rsidRPr="00982C6C">
        <w:rPr>
          <w:szCs w:val="24"/>
          <w:lang w:val="en-US"/>
        </w:rPr>
        <w:t>The frequency of adverse reactions is defined using the following convention:</w:t>
      </w:r>
    </w:p>
    <w:p w:rsidR="001909A9" w:rsidRPr="00982C6C" w:rsidP="001909A9">
      <w:pPr>
        <w:autoSpaceDE w:val="0"/>
        <w:autoSpaceDN w:val="0"/>
        <w:adjustRightInd w:val="0"/>
        <w:ind w:firstLine="720"/>
        <w:rPr>
          <w:szCs w:val="24"/>
          <w:lang w:val="en-US"/>
        </w:rPr>
      </w:pPr>
      <w:r w:rsidRPr="00982C6C">
        <w:rPr>
          <w:szCs w:val="24"/>
          <w:lang w:val="en-US"/>
        </w:rPr>
        <w:t>- very common (more than 1 in 10 animals treated displaying adverse reaction(s))</w:t>
      </w:r>
    </w:p>
    <w:p w:rsidR="001909A9" w:rsidRPr="00982C6C" w:rsidP="001909A9">
      <w:pPr>
        <w:autoSpaceDE w:val="0"/>
        <w:autoSpaceDN w:val="0"/>
        <w:adjustRightInd w:val="0"/>
        <w:ind w:firstLine="720"/>
        <w:rPr>
          <w:szCs w:val="24"/>
          <w:lang w:val="en-US"/>
        </w:rPr>
      </w:pPr>
      <w:r w:rsidRPr="00982C6C">
        <w:rPr>
          <w:szCs w:val="24"/>
          <w:lang w:val="en-US"/>
        </w:rPr>
        <w:t>- common (more than 1 but less than 10 animals in 100 animals treated)</w:t>
      </w:r>
    </w:p>
    <w:p w:rsidR="001909A9" w:rsidRPr="00982C6C" w:rsidP="001909A9">
      <w:pPr>
        <w:autoSpaceDE w:val="0"/>
        <w:autoSpaceDN w:val="0"/>
        <w:adjustRightInd w:val="0"/>
        <w:ind w:firstLine="720"/>
        <w:rPr>
          <w:szCs w:val="24"/>
          <w:lang w:val="en-US"/>
        </w:rPr>
      </w:pPr>
      <w:r w:rsidRPr="00982C6C">
        <w:rPr>
          <w:szCs w:val="24"/>
          <w:lang w:val="en-US"/>
        </w:rPr>
        <w:t>- uncommon (more than 1 but less than 10 animals in 1,000 animals treated)</w:t>
      </w:r>
    </w:p>
    <w:p w:rsidR="001909A9" w:rsidRPr="00982C6C" w:rsidP="001909A9">
      <w:pPr>
        <w:autoSpaceDE w:val="0"/>
        <w:autoSpaceDN w:val="0"/>
        <w:adjustRightInd w:val="0"/>
        <w:ind w:firstLine="720"/>
        <w:rPr>
          <w:szCs w:val="24"/>
          <w:lang w:val="en-US"/>
        </w:rPr>
      </w:pPr>
      <w:r w:rsidRPr="00982C6C">
        <w:rPr>
          <w:szCs w:val="24"/>
          <w:lang w:val="en-US"/>
        </w:rPr>
        <w:t>- rare (more than 1 but less than 10 animals in 10,000 animals treated)</w:t>
      </w:r>
    </w:p>
    <w:p w:rsidR="001909A9" w:rsidRPr="00982C6C" w:rsidP="001909A9">
      <w:pPr>
        <w:ind w:firstLine="720"/>
        <w:rPr>
          <w:szCs w:val="24"/>
          <w:lang w:val="en-US"/>
        </w:rPr>
      </w:pPr>
      <w:r w:rsidRPr="00982C6C">
        <w:rPr>
          <w:szCs w:val="24"/>
          <w:lang w:val="en-US"/>
        </w:rPr>
        <w:t>- very rare (less than 1 animal in 10,000 animals treated, including isolated reports)</w:t>
      </w:r>
    </w:p>
    <w:p w:rsidR="001909A9" w:rsidRPr="00982C6C" w:rsidP="001909A9">
      <w:pPr>
        <w:rPr>
          <w:szCs w:val="24"/>
        </w:rPr>
      </w:pPr>
    </w:p>
    <w:p w:rsidR="001909A9" w:rsidRPr="00982C6C" w:rsidP="001909A9">
      <w:pPr>
        <w:rPr>
          <w:szCs w:val="24"/>
        </w:rPr>
      </w:pPr>
      <w:r w:rsidRPr="00982C6C">
        <w:rPr>
          <w:b/>
          <w:szCs w:val="24"/>
        </w:rPr>
        <w:t>4.7</w:t>
        <w:tab/>
        <w:t>Use during pregnancy, lactation or lay</w:t>
      </w:r>
    </w:p>
    <w:p w:rsidR="001909A9" w:rsidRPr="00982C6C" w:rsidP="001909A9">
      <w:pPr>
        <w:rPr>
          <w:szCs w:val="24"/>
        </w:rPr>
      </w:pPr>
    </w:p>
    <w:p w:rsidR="001909A9" w:rsidRPr="00982C6C" w:rsidP="001909A9">
      <w:pPr>
        <w:rPr>
          <w:szCs w:val="24"/>
          <w:lang w:val="en-IE"/>
        </w:rPr>
      </w:pPr>
      <w:r w:rsidRPr="00982C6C">
        <w:rPr>
          <w:szCs w:val="24"/>
          <w:lang w:val="en-IE"/>
        </w:rPr>
        <w:t>Not applicable.</w:t>
      </w:r>
    </w:p>
    <w:p w:rsidR="001909A9" w:rsidRPr="00982C6C" w:rsidP="001909A9">
      <w:pPr>
        <w:rPr>
          <w:szCs w:val="24"/>
        </w:rPr>
      </w:pPr>
    </w:p>
    <w:p w:rsidR="001909A9" w:rsidRPr="00982C6C" w:rsidP="001909A9">
      <w:pPr>
        <w:rPr>
          <w:szCs w:val="24"/>
        </w:rPr>
      </w:pPr>
      <w:r w:rsidRPr="00982C6C">
        <w:rPr>
          <w:b/>
          <w:szCs w:val="24"/>
        </w:rPr>
        <w:t>4.8</w:t>
        <w:tab/>
        <w:t>Interaction with other medicinal products and other forms of interaction</w:t>
      </w:r>
    </w:p>
    <w:p w:rsidR="001909A9" w:rsidRPr="00982C6C" w:rsidP="001909A9">
      <w:pPr>
        <w:rPr>
          <w:szCs w:val="24"/>
        </w:rPr>
      </w:pPr>
    </w:p>
    <w:p w:rsidR="001909A9" w:rsidRPr="00982C6C" w:rsidP="001909A9">
      <w:pPr>
        <w:rPr>
          <w:szCs w:val="24"/>
          <w:lang w:val="en-IE"/>
        </w:rPr>
      </w:pPr>
      <w:r w:rsidRPr="00982C6C">
        <w:rPr>
          <w:szCs w:val="24"/>
          <w:lang w:val="en-IE"/>
        </w:rPr>
        <w:t>None known.</w:t>
      </w:r>
    </w:p>
    <w:p w:rsidR="001909A9" w:rsidRPr="00982C6C" w:rsidP="001909A9">
      <w:pPr>
        <w:rPr>
          <w:szCs w:val="24"/>
        </w:rPr>
      </w:pPr>
    </w:p>
    <w:p w:rsidR="001909A9" w:rsidRPr="00982C6C" w:rsidP="001909A9">
      <w:pPr>
        <w:rPr>
          <w:szCs w:val="24"/>
        </w:rPr>
      </w:pPr>
      <w:r w:rsidRPr="00982C6C">
        <w:rPr>
          <w:b/>
          <w:szCs w:val="24"/>
        </w:rPr>
        <w:t>4.9</w:t>
        <w:tab/>
        <w:t>Amounts</w:t>
      </w:r>
      <w:r w:rsidRPr="00982C6C">
        <w:rPr>
          <w:b/>
          <w:bCs/>
          <w:szCs w:val="24"/>
        </w:rPr>
        <w:t xml:space="preserve"> to be administered and administration route</w:t>
      </w:r>
    </w:p>
    <w:p w:rsidR="001909A9" w:rsidRPr="00982C6C" w:rsidP="001909A9">
      <w:pPr>
        <w:rPr>
          <w:szCs w:val="24"/>
        </w:rPr>
      </w:pPr>
    </w:p>
    <w:p w:rsidR="001909A9" w:rsidRPr="00982C6C" w:rsidP="001909A9">
      <w:pPr>
        <w:rPr>
          <w:szCs w:val="24"/>
          <w:lang w:val="en-IE"/>
        </w:rPr>
      </w:pPr>
      <w:r w:rsidRPr="00982C6C">
        <w:rPr>
          <w:szCs w:val="24"/>
          <w:lang w:val="en-IE"/>
        </w:rPr>
        <w:t>For oral use only.</w:t>
      </w:r>
    </w:p>
    <w:p w:rsidR="001909A9" w:rsidRPr="00982C6C" w:rsidP="001909A9">
      <w:pPr>
        <w:rPr>
          <w:szCs w:val="24"/>
          <w:lang w:val="en-IE"/>
        </w:rPr>
      </w:pPr>
    </w:p>
    <w:p w:rsidR="001909A9" w:rsidRPr="00982C6C" w:rsidP="001909A9">
      <w:pPr>
        <w:rPr>
          <w:szCs w:val="24"/>
          <w:lang w:val="en-IE"/>
        </w:rPr>
      </w:pPr>
      <w:r w:rsidRPr="00982C6C">
        <w:rPr>
          <w:szCs w:val="24"/>
          <w:lang w:val="en-IE"/>
        </w:rPr>
        <w:t>To ensure the correct dosage, bodyweight should be determined as accurately as possible.</w:t>
      </w:r>
    </w:p>
    <w:p w:rsidR="001909A9" w:rsidRPr="00982C6C" w:rsidP="001909A9">
      <w:pPr>
        <w:rPr>
          <w:szCs w:val="24"/>
        </w:rPr>
      </w:pPr>
      <w:r w:rsidRPr="00982C6C">
        <w:rPr>
          <w:szCs w:val="24"/>
        </w:rPr>
        <w:t>If animals are to be treated collectively rather than individually, they should be grouped according to their bodyweight and dosed accordingly, in order to avoid under- or overdosing.</w:t>
      </w:r>
    </w:p>
    <w:p w:rsidR="001909A9" w:rsidRPr="00982C6C" w:rsidP="001909A9">
      <w:pPr>
        <w:rPr>
          <w:szCs w:val="24"/>
          <w:lang w:val="en-IE"/>
        </w:rPr>
      </w:pPr>
    </w:p>
    <w:p w:rsidR="001909A9" w:rsidRPr="00982C6C" w:rsidP="001909A9">
      <w:pPr>
        <w:rPr>
          <w:szCs w:val="24"/>
          <w:lang w:val="en-IE"/>
        </w:rPr>
      </w:pPr>
      <w:r w:rsidRPr="00982C6C">
        <w:rPr>
          <w:szCs w:val="24"/>
        </w:rPr>
        <w:t>1 mg diclazuril per kg bodyweight (equivalent to 1 ml of the oral suspension per 2.5 kg bodyweight) as a single oral administration.</w:t>
      </w:r>
    </w:p>
    <w:p w:rsidR="001909A9" w:rsidRPr="00982C6C" w:rsidP="001909A9">
      <w:pPr>
        <w:rPr>
          <w:szCs w:val="24"/>
          <w:lang w:val="en-IE"/>
        </w:rPr>
      </w:pPr>
    </w:p>
    <w:p w:rsidR="001909A9" w:rsidRPr="00982C6C" w:rsidP="001909A9">
      <w:pPr>
        <w:rPr>
          <w:szCs w:val="24"/>
        </w:rPr>
      </w:pPr>
      <w:r w:rsidRPr="00982C6C">
        <w:rPr>
          <w:szCs w:val="24"/>
        </w:rPr>
        <w:t>Lambs:</w:t>
      </w:r>
    </w:p>
    <w:p w:rsidR="001909A9" w:rsidRPr="00982C6C" w:rsidP="001909A9">
      <w:pPr>
        <w:rPr>
          <w:szCs w:val="24"/>
        </w:rPr>
      </w:pPr>
      <w:r w:rsidRPr="00982C6C">
        <w:rPr>
          <w:szCs w:val="24"/>
        </w:rPr>
        <w:t>A single oral administration of 1 mg diclazuril per kg bodyweight or 1 ml the product oral suspension per 2.5 kg bodyweight at about 4-6 weeks of age at the time that coccidiosis can normally be expected on the farm.</w:t>
      </w:r>
    </w:p>
    <w:p w:rsidR="001909A9" w:rsidRPr="00982C6C" w:rsidP="001909A9">
      <w:pPr>
        <w:ind w:left="720"/>
        <w:rPr>
          <w:szCs w:val="24"/>
        </w:rPr>
      </w:pPr>
    </w:p>
    <w:p w:rsidR="001909A9" w:rsidRPr="00982C6C" w:rsidP="001909A9">
      <w:pPr>
        <w:rPr>
          <w:szCs w:val="24"/>
        </w:rPr>
      </w:pPr>
      <w:r w:rsidRPr="00982C6C">
        <w:rPr>
          <w:szCs w:val="24"/>
        </w:rPr>
        <w:t>Under conditions of high infection pressure, a second treatment may be indicated about 3 weeks after the first dosing.</w:t>
      </w:r>
    </w:p>
    <w:p w:rsidR="001909A9" w:rsidRPr="00982C6C" w:rsidP="001909A9">
      <w:pPr>
        <w:rPr>
          <w:szCs w:val="24"/>
        </w:rPr>
      </w:pPr>
    </w:p>
    <w:p w:rsidR="001909A9" w:rsidRPr="00982C6C" w:rsidP="001909A9">
      <w:pPr>
        <w:rPr>
          <w:szCs w:val="24"/>
        </w:rPr>
      </w:pPr>
      <w:r w:rsidRPr="00982C6C">
        <w:rPr>
          <w:szCs w:val="24"/>
        </w:rPr>
        <w:t>Calves:</w:t>
      </w:r>
    </w:p>
    <w:p w:rsidR="001909A9" w:rsidRPr="00982C6C" w:rsidP="001909A9">
      <w:pPr>
        <w:rPr>
          <w:szCs w:val="24"/>
        </w:rPr>
      </w:pPr>
      <w:r w:rsidRPr="00982C6C">
        <w:rPr>
          <w:szCs w:val="24"/>
        </w:rPr>
        <w:t>A single administration of 1 mg diclazuril per kg bodyweight or 1 ml the product oral suspension per 2.5 kg bodyweight, administered as a single dose, 14 days after moving into a potentially high risk environment.</w:t>
      </w:r>
    </w:p>
    <w:p w:rsidR="001909A9" w:rsidRPr="00982C6C" w:rsidP="001909A9">
      <w:pPr>
        <w:rPr>
          <w:szCs w:val="24"/>
          <w:lang w:val="en-IE"/>
        </w:rPr>
      </w:pPr>
    </w:p>
    <w:p w:rsidR="001909A9" w:rsidRPr="00982C6C" w:rsidP="001909A9">
      <w:pPr>
        <w:rPr>
          <w:szCs w:val="24"/>
          <w:lang w:val="en-IE"/>
        </w:rPr>
      </w:pPr>
      <w:r w:rsidRPr="00982C6C">
        <w:rPr>
          <w:szCs w:val="24"/>
          <w:lang w:val="en-IE"/>
        </w:rPr>
        <w:t>If a satisfactory response is not observed, then further advice should be sought from your veterinary surgeon and the cause of the condition should be reviewed. It is good practice to ensure the cleanliness of calf housing.</w:t>
      </w:r>
    </w:p>
    <w:p w:rsidR="001909A9" w:rsidRPr="00982C6C" w:rsidP="001909A9">
      <w:pPr>
        <w:rPr>
          <w:szCs w:val="24"/>
          <w:lang w:val="en-IE"/>
        </w:rPr>
      </w:pPr>
    </w:p>
    <w:p w:rsidR="001909A9" w:rsidRPr="00982C6C" w:rsidP="001909A9">
      <w:pPr>
        <w:rPr>
          <w:b/>
          <w:bCs/>
          <w:szCs w:val="24"/>
          <w:lang w:val="en-IE"/>
        </w:rPr>
      </w:pPr>
      <w:r w:rsidRPr="00982C6C">
        <w:rPr>
          <w:b/>
          <w:bCs/>
          <w:szCs w:val="24"/>
          <w:lang w:val="en-IE"/>
        </w:rPr>
        <w:t>Method of administration</w:t>
      </w:r>
    </w:p>
    <w:p w:rsidR="001909A9" w:rsidRPr="00982C6C" w:rsidP="001909A9">
      <w:pPr>
        <w:rPr>
          <w:szCs w:val="24"/>
          <w:lang w:val="en-IE"/>
        </w:rPr>
      </w:pPr>
      <w:r w:rsidRPr="00982C6C">
        <w:rPr>
          <w:szCs w:val="24"/>
          <w:lang w:val="en-IE"/>
        </w:rPr>
        <w:t xml:space="preserve">Shake well before use. </w:t>
      </w:r>
    </w:p>
    <w:p w:rsidR="001909A9" w:rsidRPr="00982C6C" w:rsidP="001909A9">
      <w:pPr>
        <w:rPr>
          <w:szCs w:val="24"/>
          <w:lang w:val="en-IE"/>
        </w:rPr>
      </w:pPr>
      <w:r w:rsidRPr="00982C6C">
        <w:rPr>
          <w:szCs w:val="24"/>
          <w:lang w:val="en-IE"/>
        </w:rPr>
        <w:t>The product oral suspension should be administered with a drenching gun. Appropriate drenching equipment should be used to allow accurate dosing. This is particularly important when administering small volumes.</w:t>
      </w:r>
    </w:p>
    <w:p w:rsidR="001909A9" w:rsidRPr="00982C6C" w:rsidP="001909A9">
      <w:pPr>
        <w:rPr>
          <w:szCs w:val="24"/>
        </w:rPr>
      </w:pPr>
    </w:p>
    <w:p w:rsidR="001909A9" w:rsidRPr="00982C6C" w:rsidP="001909A9">
      <w:pPr>
        <w:rPr>
          <w:b/>
          <w:bCs/>
          <w:szCs w:val="24"/>
        </w:rPr>
      </w:pPr>
      <w:r w:rsidRPr="00982C6C">
        <w:rPr>
          <w:b/>
          <w:bCs/>
          <w:szCs w:val="24"/>
        </w:rPr>
        <w:t>4.10</w:t>
        <w:tab/>
        <w:t>Overdose (symptoms, emergency procedures, antidotes), if necessary</w:t>
      </w:r>
    </w:p>
    <w:p w:rsidR="00E7067F" w:rsidP="001909A9">
      <w:pPr>
        <w:rPr>
          <w:szCs w:val="24"/>
          <w:lang w:val="en-IE"/>
        </w:rPr>
      </w:pPr>
    </w:p>
    <w:p w:rsidR="001909A9" w:rsidRPr="00982C6C" w:rsidP="001909A9">
      <w:pPr>
        <w:rPr>
          <w:szCs w:val="24"/>
          <w:lang w:val="en-IE"/>
        </w:rPr>
      </w:pPr>
      <w:r w:rsidRPr="00982C6C">
        <w:rPr>
          <w:szCs w:val="24"/>
          <w:lang w:val="en-IE"/>
        </w:rPr>
        <w:t>Diclazuril  oral suspension was given to lambs as a single dose up to 60 times the therapeutic dose. No adverse clinical effects were reported.</w:t>
      </w:r>
    </w:p>
    <w:p w:rsidR="001909A9" w:rsidRPr="00982C6C" w:rsidP="001909A9">
      <w:pPr>
        <w:rPr>
          <w:szCs w:val="24"/>
          <w:lang w:val="en-IE"/>
        </w:rPr>
      </w:pPr>
      <w:r w:rsidRPr="00982C6C">
        <w:rPr>
          <w:szCs w:val="24"/>
          <w:lang w:val="en-IE"/>
        </w:rPr>
        <w:t>No adverse effects were noted either at 5 times the therapeutic dose administered four consecutive times with a 7-day interval.</w:t>
      </w:r>
    </w:p>
    <w:p w:rsidR="001909A9" w:rsidRPr="00982C6C" w:rsidP="001909A9">
      <w:pPr>
        <w:rPr>
          <w:szCs w:val="24"/>
          <w:lang w:val="en-IE"/>
        </w:rPr>
      </w:pPr>
      <w:r w:rsidRPr="00982C6C">
        <w:rPr>
          <w:szCs w:val="24"/>
          <w:lang w:val="en-IE"/>
        </w:rPr>
        <w:t>In calves, the product was tolerated when administered up to five times the recommended dose rate.</w:t>
      </w:r>
    </w:p>
    <w:p w:rsidR="001909A9" w:rsidRPr="00982C6C" w:rsidP="001909A9">
      <w:pPr>
        <w:rPr>
          <w:szCs w:val="24"/>
        </w:rPr>
      </w:pPr>
    </w:p>
    <w:p w:rsidR="001909A9" w:rsidRPr="00982C6C" w:rsidP="001909A9">
      <w:pPr>
        <w:rPr>
          <w:szCs w:val="24"/>
        </w:rPr>
      </w:pPr>
      <w:r w:rsidRPr="00982C6C">
        <w:rPr>
          <w:b/>
          <w:szCs w:val="24"/>
        </w:rPr>
        <w:t>4.</w:t>
      </w:r>
      <w:r w:rsidRPr="00982C6C">
        <w:rPr>
          <w:b/>
          <w:bCs/>
          <w:szCs w:val="24"/>
        </w:rPr>
        <w:t>11</w:t>
      </w:r>
      <w:r w:rsidRPr="00982C6C">
        <w:rPr>
          <w:b/>
          <w:szCs w:val="24"/>
        </w:rPr>
        <w:tab/>
        <w:t>Withdrawal period(s)</w:t>
      </w:r>
    </w:p>
    <w:p w:rsidR="001909A9" w:rsidRPr="00982C6C" w:rsidP="001909A9">
      <w:pPr>
        <w:rPr>
          <w:szCs w:val="24"/>
        </w:rPr>
      </w:pPr>
    </w:p>
    <w:p w:rsidR="001909A9" w:rsidRPr="00982C6C" w:rsidP="001909A9">
      <w:pPr>
        <w:spacing w:line="360" w:lineRule="auto"/>
        <w:rPr>
          <w:szCs w:val="24"/>
          <w:lang w:val="en-IE"/>
        </w:rPr>
      </w:pPr>
      <w:r w:rsidRPr="00982C6C">
        <w:rPr>
          <w:szCs w:val="24"/>
          <w:lang w:val="en-IE"/>
        </w:rPr>
        <w:t xml:space="preserve">Meat and offal: </w:t>
      </w:r>
    </w:p>
    <w:p w:rsidR="001909A9" w:rsidRPr="00982C6C" w:rsidP="001909A9">
      <w:pPr>
        <w:rPr>
          <w:szCs w:val="24"/>
        </w:rPr>
      </w:pPr>
      <w:r w:rsidRPr="00982C6C">
        <w:rPr>
          <w:szCs w:val="24"/>
        </w:rPr>
        <w:t>Sheep (lambs): zero days</w:t>
      </w:r>
    </w:p>
    <w:p w:rsidR="001909A9" w:rsidRPr="00982C6C" w:rsidP="001909A9">
      <w:pPr>
        <w:rPr>
          <w:szCs w:val="24"/>
        </w:rPr>
      </w:pPr>
      <w:r w:rsidRPr="00982C6C">
        <w:rPr>
          <w:szCs w:val="24"/>
        </w:rPr>
        <w:t>Cattle (calves): zero days</w:t>
      </w:r>
    </w:p>
    <w:p w:rsidR="001909A9" w:rsidP="001909A9">
      <w:pPr>
        <w:rPr>
          <w:szCs w:val="24"/>
        </w:rPr>
      </w:pPr>
    </w:p>
    <w:p w:rsidR="00E7067F" w:rsidRPr="00982C6C" w:rsidP="001909A9">
      <w:pPr>
        <w:rPr>
          <w:szCs w:val="24"/>
        </w:rPr>
      </w:pPr>
    </w:p>
    <w:p w:rsidR="001909A9" w:rsidRPr="00982C6C" w:rsidP="001909A9">
      <w:pPr>
        <w:rPr>
          <w:szCs w:val="24"/>
        </w:rPr>
      </w:pPr>
      <w:r w:rsidRPr="00982C6C">
        <w:rPr>
          <w:b/>
          <w:szCs w:val="24"/>
        </w:rPr>
        <w:t>5.</w:t>
        <w:tab/>
        <w:t>PHARMACOLOGICAL PROPERTIES</w:t>
      </w:r>
    </w:p>
    <w:p w:rsidR="001909A9" w:rsidRPr="00982C6C" w:rsidP="001909A9">
      <w:pPr>
        <w:rPr>
          <w:szCs w:val="24"/>
        </w:rPr>
      </w:pPr>
    </w:p>
    <w:p w:rsidR="001909A9" w:rsidRPr="00982C6C" w:rsidP="001909A9">
      <w:pPr>
        <w:rPr>
          <w:szCs w:val="24"/>
        </w:rPr>
      </w:pPr>
      <w:r w:rsidRPr="00982C6C">
        <w:rPr>
          <w:szCs w:val="24"/>
        </w:rPr>
        <w:t xml:space="preserve">Pharmacotherapeutic group: </w:t>
      </w:r>
      <w:r w:rsidRPr="00982C6C">
        <w:rPr>
          <w:szCs w:val="24"/>
          <w:lang w:val="en-IE"/>
        </w:rPr>
        <w:t>Antiprotozoals, triazine derivatives</w:t>
      </w:r>
    </w:p>
    <w:p w:rsidR="001909A9" w:rsidRPr="00982C6C" w:rsidP="001909A9">
      <w:pPr>
        <w:rPr>
          <w:szCs w:val="24"/>
        </w:rPr>
      </w:pPr>
      <w:r w:rsidRPr="00982C6C">
        <w:rPr>
          <w:szCs w:val="24"/>
        </w:rPr>
        <w:t xml:space="preserve">ATC vet code: </w:t>
      </w:r>
      <w:r w:rsidRPr="00982C6C">
        <w:rPr>
          <w:szCs w:val="24"/>
          <w:lang w:val="en-IE"/>
        </w:rPr>
        <w:t>QP51AJ03</w:t>
      </w:r>
    </w:p>
    <w:p w:rsidR="001909A9" w:rsidRPr="00982C6C" w:rsidP="001909A9">
      <w:pPr>
        <w:rPr>
          <w:szCs w:val="24"/>
        </w:rPr>
      </w:pPr>
    </w:p>
    <w:p w:rsidR="001909A9" w:rsidRPr="00982C6C" w:rsidP="001909A9">
      <w:pPr>
        <w:rPr>
          <w:b/>
          <w:szCs w:val="24"/>
        </w:rPr>
      </w:pPr>
      <w:r w:rsidRPr="00982C6C">
        <w:rPr>
          <w:b/>
          <w:szCs w:val="24"/>
        </w:rPr>
        <w:t>5.1</w:t>
        <w:tab/>
        <w:t>Pharmacodynamic properties</w:t>
      </w:r>
    </w:p>
    <w:p w:rsidR="001909A9" w:rsidRPr="00982C6C" w:rsidP="001909A9">
      <w:pPr>
        <w:rPr>
          <w:b/>
          <w:szCs w:val="24"/>
          <w:lang w:val="en-IE"/>
        </w:rPr>
      </w:pPr>
      <w:r w:rsidRPr="00982C6C">
        <w:rPr>
          <w:szCs w:val="24"/>
          <w:lang w:val="en-IE"/>
        </w:rPr>
        <w:t xml:space="preserve">Diclazuril is an anticoccidial of the benzene acetonitrile group and has an anticoccidial activity against </w:t>
      </w:r>
      <w:r w:rsidRPr="00982C6C">
        <w:rPr>
          <w:i/>
          <w:szCs w:val="24"/>
          <w:lang w:val="en-IE"/>
        </w:rPr>
        <w:t>Eimeria</w:t>
      </w:r>
      <w:r w:rsidRPr="00982C6C">
        <w:rPr>
          <w:szCs w:val="24"/>
          <w:lang w:val="en-IE"/>
        </w:rPr>
        <w:t xml:space="preserve"> species. Depending on the coccidia species, diclazuril has a coccidiocidal effect on the asexual or sexual stages of the development cycle of the parasite. Treatment with diclazuril causes interruption of the coccidial cycle and of excretion of oocysts for approximately 2 to 3 weeks after administration. This allows the lambs to bridge the period of decrease of maternal immunity (observed at approximately 4 weeks of age) and calves to reduce the infection pressure of their environment.</w:t>
      </w:r>
    </w:p>
    <w:p w:rsidR="001909A9" w:rsidP="001909A9">
      <w:pPr>
        <w:rPr>
          <w:szCs w:val="24"/>
        </w:rPr>
      </w:pPr>
    </w:p>
    <w:p w:rsidR="00E7067F" w:rsidRPr="00982C6C" w:rsidP="001909A9">
      <w:pPr>
        <w:rPr>
          <w:szCs w:val="24"/>
        </w:rPr>
      </w:pPr>
    </w:p>
    <w:p w:rsidR="001909A9" w:rsidRPr="00982C6C" w:rsidP="001909A9">
      <w:pPr>
        <w:rPr>
          <w:szCs w:val="24"/>
        </w:rPr>
      </w:pPr>
      <w:r w:rsidRPr="00982C6C">
        <w:rPr>
          <w:b/>
          <w:szCs w:val="24"/>
        </w:rPr>
        <w:t>5.2</w:t>
        <w:tab/>
        <w:t>Pharmacokinetic particulars</w:t>
      </w:r>
    </w:p>
    <w:p w:rsidR="001909A9" w:rsidRPr="00982C6C" w:rsidP="001909A9">
      <w:pPr>
        <w:rPr>
          <w:szCs w:val="24"/>
        </w:rPr>
      </w:pPr>
    </w:p>
    <w:p w:rsidR="001909A9" w:rsidRPr="00982C6C" w:rsidP="001909A9">
      <w:pPr>
        <w:rPr>
          <w:szCs w:val="24"/>
          <w:lang w:val="en-IE"/>
        </w:rPr>
      </w:pPr>
      <w:r w:rsidRPr="00982C6C">
        <w:rPr>
          <w:szCs w:val="24"/>
          <w:lang w:val="en-IE"/>
        </w:rPr>
        <w:t>The absorption of diclazuril when administered as an oral suspension to lambs and calves is poor.  In lambs, peak plasma concentrations are reached about 24 hours after dosing.  The absorption decreases with the age of the lambs.  The elimination half</w:t>
      </w:r>
      <w:r w:rsidRPr="00982C6C">
        <w:rPr>
          <w:szCs w:val="24"/>
          <w:lang w:val="en-IE"/>
        </w:rPr>
        <w:noBreakHyphen/>
        <w:t xml:space="preserve">life is about 30 hours.  </w:t>
      </w:r>
    </w:p>
    <w:p w:rsidR="001909A9" w:rsidRPr="00982C6C" w:rsidP="001909A9">
      <w:pPr>
        <w:rPr>
          <w:szCs w:val="24"/>
          <w:lang w:val="en-IE"/>
        </w:rPr>
      </w:pPr>
    </w:p>
    <w:p w:rsidR="001909A9" w:rsidRPr="00982C6C" w:rsidP="001909A9">
      <w:pPr>
        <w:rPr>
          <w:szCs w:val="24"/>
          <w:lang w:val="en-IE"/>
        </w:rPr>
      </w:pPr>
      <w:r w:rsidRPr="00982C6C">
        <w:rPr>
          <w:szCs w:val="24"/>
          <w:lang w:val="en-IE"/>
        </w:rPr>
        <w:t>In calves, kinetic profiles have been studied after administration of a single dose of 5 mg diclazuril per kg body weight and after dosing for 3 consecutive days at respectively 1 mg, 3 mg and 5 mg diclazuril per kg body weight.  Following the single dose of 5 mg peak plasma concentrations in the range of 21 to 75 ng/ml were reached after 8 to 24 hours.  Thereafter the concentrations decreased with a half</w:t>
      </w:r>
      <w:r w:rsidRPr="00982C6C">
        <w:rPr>
          <w:szCs w:val="24"/>
          <w:lang w:val="en-IE"/>
        </w:rPr>
        <w:noBreakHyphen/>
        <w:t>life of 16 hours to concentrations below 10 ng/ml after 48 hours.  Following the 3 consecutive daily doses of 1 mg diclazuril per kg body weight, mean peak plasma concentrations of 65.6 ng/ml were reached 10.5 hours after the last dose.  Thereafter the concentrations decreased with a half</w:t>
      </w:r>
      <w:r w:rsidRPr="00982C6C">
        <w:rPr>
          <w:szCs w:val="24"/>
          <w:lang w:val="en-IE"/>
        </w:rPr>
        <w:noBreakHyphen/>
        <w:t>life of 22 hours.  The AUC</w:t>
      </w:r>
      <w:r w:rsidRPr="00982C6C">
        <w:rPr>
          <w:szCs w:val="24"/>
          <w:vertAlign w:val="subscript"/>
          <w:lang w:val="en-IE"/>
        </w:rPr>
        <w:t>0</w:t>
      </w:r>
      <w:r w:rsidRPr="00982C6C">
        <w:rPr>
          <w:szCs w:val="24"/>
          <w:vertAlign w:val="subscript"/>
          <w:lang w:val="en-IE"/>
        </w:rPr>
        <w:noBreakHyphen/>
        <w:t xml:space="preserve">96 h </w:t>
      </w:r>
      <w:r w:rsidRPr="00982C6C">
        <w:rPr>
          <w:szCs w:val="24"/>
          <w:lang w:val="en-IE"/>
        </w:rPr>
        <w:t>was 2127 h.ng/ml.  Comparison with the profiles obtained after the multiple doses indicated dose proportionality and linearity.  The time to reach peak plasma concentrations and the subsequent depletion half</w:t>
      </w:r>
      <w:r w:rsidRPr="00982C6C">
        <w:rPr>
          <w:szCs w:val="24"/>
          <w:lang w:val="en-IE"/>
        </w:rPr>
        <w:noBreakHyphen/>
        <w:t xml:space="preserve">life were independent of the dose.  </w:t>
      </w:r>
      <w:r w:rsidRPr="00982C6C">
        <w:rPr>
          <w:i/>
          <w:iCs/>
          <w:szCs w:val="24"/>
          <w:lang w:val="en-IE"/>
        </w:rPr>
        <w:t>In vitro</w:t>
      </w:r>
      <w:r w:rsidRPr="00982C6C">
        <w:rPr>
          <w:szCs w:val="24"/>
          <w:lang w:val="en-IE"/>
        </w:rPr>
        <w:t xml:space="preserve"> studies in ovine and bovine hepatocytes indicated that the metabolic transformation of diclazuril is very limited, as was also observed for other species.  </w:t>
      </w:r>
      <w:r w:rsidRPr="00982C6C">
        <w:rPr>
          <w:i/>
          <w:iCs/>
          <w:szCs w:val="24"/>
          <w:lang w:val="en-IE"/>
        </w:rPr>
        <w:t xml:space="preserve">In vivo </w:t>
      </w:r>
      <w:r w:rsidRPr="00982C6C">
        <w:rPr>
          <w:szCs w:val="24"/>
          <w:lang w:val="en-IE"/>
        </w:rPr>
        <w:t>studies in a number of animal species have also demonstrated that diclazuril is not excreted and excreted virtually completely unchanged with the faeces.</w:t>
      </w:r>
    </w:p>
    <w:p w:rsidR="001909A9" w:rsidRPr="00982C6C" w:rsidP="001909A9">
      <w:pPr>
        <w:rPr>
          <w:szCs w:val="24"/>
        </w:rPr>
      </w:pPr>
    </w:p>
    <w:p w:rsidR="001909A9" w:rsidP="001909A9">
      <w:pPr>
        <w:rPr>
          <w:b/>
          <w:szCs w:val="24"/>
        </w:rPr>
      </w:pPr>
      <w:r w:rsidRPr="00982C6C">
        <w:rPr>
          <w:b/>
          <w:szCs w:val="24"/>
        </w:rPr>
        <w:t xml:space="preserve">5.3 </w:t>
        <w:tab/>
        <w:t>Environmental properites</w:t>
      </w:r>
    </w:p>
    <w:p w:rsidR="00E7067F" w:rsidRPr="00982C6C" w:rsidP="001909A9">
      <w:pPr>
        <w:rPr>
          <w:b/>
          <w:szCs w:val="24"/>
        </w:rPr>
      </w:pPr>
    </w:p>
    <w:p w:rsidR="001909A9" w:rsidRPr="00982C6C" w:rsidP="001909A9">
      <w:pPr>
        <w:rPr>
          <w:szCs w:val="24"/>
        </w:rPr>
      </w:pPr>
      <w:r w:rsidRPr="00982C6C">
        <w:rPr>
          <w:szCs w:val="24"/>
        </w:rPr>
        <w:t>Diclazuril has been shown to be very persistent in soil.</w:t>
      </w:r>
    </w:p>
    <w:p w:rsidR="001909A9" w:rsidRPr="00982C6C" w:rsidP="001909A9">
      <w:pPr>
        <w:rPr>
          <w:szCs w:val="24"/>
        </w:rPr>
      </w:pPr>
    </w:p>
    <w:p w:rsidR="001909A9" w:rsidRPr="00982C6C" w:rsidP="001909A9">
      <w:pPr>
        <w:rPr>
          <w:szCs w:val="24"/>
        </w:rPr>
      </w:pPr>
    </w:p>
    <w:p w:rsidR="001909A9" w:rsidRPr="00982C6C" w:rsidP="001909A9">
      <w:pPr>
        <w:rPr>
          <w:szCs w:val="24"/>
        </w:rPr>
      </w:pPr>
      <w:r w:rsidRPr="00982C6C">
        <w:rPr>
          <w:b/>
          <w:szCs w:val="24"/>
        </w:rPr>
        <w:t>6.</w:t>
        <w:tab/>
        <w:t>PHARMACEUTICAL PARTICULARS</w:t>
      </w:r>
    </w:p>
    <w:p w:rsidR="001909A9" w:rsidRPr="00982C6C" w:rsidP="001909A9">
      <w:pPr>
        <w:rPr>
          <w:szCs w:val="24"/>
        </w:rPr>
      </w:pPr>
    </w:p>
    <w:p w:rsidR="001909A9" w:rsidP="001909A9">
      <w:pPr>
        <w:rPr>
          <w:b/>
          <w:szCs w:val="24"/>
        </w:rPr>
      </w:pPr>
      <w:r w:rsidRPr="00982C6C">
        <w:rPr>
          <w:b/>
          <w:szCs w:val="24"/>
        </w:rPr>
        <w:t>6.1</w:t>
        <w:tab/>
        <w:t>List of excipients</w:t>
      </w:r>
    </w:p>
    <w:p w:rsidR="00E7067F" w:rsidRPr="00982C6C" w:rsidP="001909A9">
      <w:pPr>
        <w:rPr>
          <w:b/>
          <w:szCs w:val="24"/>
        </w:rPr>
      </w:pPr>
    </w:p>
    <w:p w:rsidR="001909A9" w:rsidRPr="00982C6C" w:rsidP="001909A9">
      <w:pPr>
        <w:rPr>
          <w:szCs w:val="24"/>
          <w:lang w:val="en-IE"/>
        </w:rPr>
      </w:pPr>
      <w:r w:rsidRPr="00982C6C">
        <w:rPr>
          <w:szCs w:val="24"/>
          <w:lang w:val="en-IE"/>
        </w:rPr>
        <w:t>Methyl Parahydroxybenzoate (E218)</w:t>
      </w:r>
    </w:p>
    <w:p w:rsidR="001909A9" w:rsidRPr="00982C6C" w:rsidP="001909A9">
      <w:pPr>
        <w:rPr>
          <w:szCs w:val="24"/>
          <w:lang w:val="en-IE"/>
        </w:rPr>
      </w:pPr>
      <w:r w:rsidRPr="00982C6C">
        <w:rPr>
          <w:szCs w:val="24"/>
          <w:lang w:val="en-IE"/>
        </w:rPr>
        <w:t>Propyl Parahydroxybenzoate</w:t>
      </w:r>
    </w:p>
    <w:p w:rsidR="001909A9" w:rsidRPr="00982C6C" w:rsidP="001909A9">
      <w:pPr>
        <w:rPr>
          <w:szCs w:val="24"/>
          <w:lang w:val="en-IE"/>
        </w:rPr>
      </w:pPr>
      <w:r w:rsidRPr="00982C6C">
        <w:rPr>
          <w:szCs w:val="24"/>
          <w:lang w:val="en-IE"/>
        </w:rPr>
        <w:t>Microcrystalline Cellulose</w:t>
      </w:r>
    </w:p>
    <w:p w:rsidR="001909A9" w:rsidRPr="00982C6C" w:rsidP="001909A9">
      <w:pPr>
        <w:rPr>
          <w:szCs w:val="24"/>
          <w:lang w:val="en-IE"/>
        </w:rPr>
      </w:pPr>
      <w:r w:rsidRPr="00982C6C">
        <w:rPr>
          <w:szCs w:val="24"/>
          <w:lang w:val="en-IE"/>
        </w:rPr>
        <w:t>Carmellose Sodium</w:t>
      </w:r>
    </w:p>
    <w:p w:rsidR="001909A9" w:rsidRPr="00982C6C" w:rsidP="001909A9">
      <w:pPr>
        <w:rPr>
          <w:szCs w:val="24"/>
          <w:lang w:val="en-IE"/>
        </w:rPr>
      </w:pPr>
      <w:r w:rsidRPr="00982C6C">
        <w:rPr>
          <w:szCs w:val="24"/>
          <w:lang w:val="en-IE"/>
        </w:rPr>
        <w:t xml:space="preserve">Polysorbate 20 </w:t>
      </w:r>
    </w:p>
    <w:p w:rsidR="001909A9" w:rsidRPr="00982C6C" w:rsidP="001909A9">
      <w:pPr>
        <w:rPr>
          <w:szCs w:val="24"/>
          <w:lang w:val="en-IE"/>
        </w:rPr>
      </w:pPr>
      <w:r w:rsidRPr="00982C6C">
        <w:rPr>
          <w:szCs w:val="24"/>
          <w:lang w:val="en-IE"/>
        </w:rPr>
        <w:t xml:space="preserve">Sodium Hydroxide </w:t>
      </w:r>
    </w:p>
    <w:p w:rsidR="001909A9" w:rsidRPr="00982C6C" w:rsidP="001909A9">
      <w:pPr>
        <w:rPr>
          <w:b/>
          <w:bCs/>
          <w:szCs w:val="24"/>
          <w:lang w:val="en-IE"/>
        </w:rPr>
      </w:pPr>
      <w:r w:rsidRPr="00982C6C">
        <w:rPr>
          <w:szCs w:val="24"/>
          <w:lang w:val="en-IE"/>
        </w:rPr>
        <w:t>Purified water</w:t>
      </w:r>
    </w:p>
    <w:p w:rsidR="001909A9" w:rsidRPr="00982C6C" w:rsidP="001909A9">
      <w:pPr>
        <w:rPr>
          <w:szCs w:val="24"/>
        </w:rPr>
      </w:pPr>
    </w:p>
    <w:p w:rsidR="001909A9" w:rsidRPr="00982C6C" w:rsidP="001909A9">
      <w:pPr>
        <w:rPr>
          <w:szCs w:val="24"/>
        </w:rPr>
      </w:pPr>
      <w:r w:rsidRPr="00982C6C">
        <w:rPr>
          <w:b/>
          <w:szCs w:val="24"/>
        </w:rPr>
        <w:t>6.2</w:t>
        <w:tab/>
        <w:t>Major incompatibilities</w:t>
      </w:r>
    </w:p>
    <w:p w:rsidR="001909A9" w:rsidRPr="00982C6C" w:rsidP="001909A9">
      <w:pPr>
        <w:rPr>
          <w:szCs w:val="24"/>
        </w:rPr>
      </w:pPr>
    </w:p>
    <w:p w:rsidR="001909A9" w:rsidRPr="00982C6C" w:rsidP="001909A9">
      <w:pPr>
        <w:rPr>
          <w:iCs/>
          <w:szCs w:val="24"/>
        </w:rPr>
      </w:pPr>
      <w:r w:rsidRPr="00982C6C">
        <w:rPr>
          <w:iCs/>
          <w:szCs w:val="24"/>
        </w:rPr>
        <w:t>In the absence of compatibility studies, this veterinary medicinal product must not be mixed with other veterinary medicinal products.</w:t>
      </w:r>
    </w:p>
    <w:p w:rsidR="001909A9" w:rsidRPr="00982C6C" w:rsidP="001909A9">
      <w:pPr>
        <w:rPr>
          <w:szCs w:val="24"/>
        </w:rPr>
      </w:pPr>
    </w:p>
    <w:p w:rsidR="001909A9" w:rsidRPr="00982C6C" w:rsidP="001909A9">
      <w:pPr>
        <w:rPr>
          <w:szCs w:val="24"/>
        </w:rPr>
      </w:pPr>
      <w:r w:rsidRPr="00982C6C">
        <w:rPr>
          <w:b/>
          <w:szCs w:val="24"/>
        </w:rPr>
        <w:t>6.3</w:t>
        <w:tab/>
        <w:t>Shelf life</w:t>
      </w:r>
    </w:p>
    <w:p w:rsidR="001909A9" w:rsidRPr="00982C6C" w:rsidP="001909A9">
      <w:pPr>
        <w:rPr>
          <w:szCs w:val="24"/>
        </w:rPr>
      </w:pPr>
    </w:p>
    <w:p w:rsidR="001909A9" w:rsidRPr="00982C6C" w:rsidP="001909A9">
      <w:pPr>
        <w:rPr>
          <w:szCs w:val="24"/>
          <w:lang w:val="en-IE"/>
        </w:rPr>
      </w:pPr>
      <w:r w:rsidRPr="00982C6C">
        <w:rPr>
          <w:szCs w:val="24"/>
          <w:lang w:val="en-IE"/>
        </w:rPr>
        <w:t>Shelf-life of the veterinary medicinal product as packaged for sale: 2 years.</w:t>
      </w:r>
    </w:p>
    <w:p w:rsidR="001909A9" w:rsidRPr="00982C6C" w:rsidP="001909A9">
      <w:pPr>
        <w:rPr>
          <w:szCs w:val="24"/>
          <w:lang w:val="en-IE"/>
        </w:rPr>
      </w:pPr>
      <w:r w:rsidRPr="00982C6C">
        <w:rPr>
          <w:szCs w:val="24"/>
          <w:lang w:val="en-IE"/>
        </w:rPr>
        <w:t xml:space="preserve">Shelf-life after first opening the immediate packaging: 6 months </w:t>
      </w:r>
    </w:p>
    <w:p w:rsidR="001909A9" w:rsidRPr="00982C6C" w:rsidP="001909A9">
      <w:pPr>
        <w:rPr>
          <w:szCs w:val="24"/>
        </w:rPr>
      </w:pPr>
    </w:p>
    <w:p w:rsidR="001909A9" w:rsidRPr="00982C6C" w:rsidP="001909A9">
      <w:pPr>
        <w:rPr>
          <w:szCs w:val="24"/>
        </w:rPr>
      </w:pPr>
      <w:r w:rsidRPr="00982C6C">
        <w:rPr>
          <w:b/>
          <w:szCs w:val="24"/>
        </w:rPr>
        <w:t>6.4.</w:t>
        <w:tab/>
        <w:t>Special precautions for storage</w:t>
      </w:r>
    </w:p>
    <w:p w:rsidR="001909A9" w:rsidRPr="00982C6C" w:rsidP="001909A9">
      <w:pPr>
        <w:rPr>
          <w:szCs w:val="24"/>
        </w:rPr>
      </w:pPr>
    </w:p>
    <w:p w:rsidR="001909A9" w:rsidRPr="00982C6C" w:rsidP="001909A9">
      <w:pPr>
        <w:rPr>
          <w:noProof/>
          <w:szCs w:val="24"/>
          <w:lang w:val="en-IE"/>
        </w:rPr>
      </w:pPr>
      <w:r w:rsidRPr="00982C6C">
        <w:rPr>
          <w:noProof/>
          <w:szCs w:val="24"/>
          <w:lang w:val="en-IE"/>
        </w:rPr>
        <w:t>This veterinary medicinal product does not require any special storage conditions.</w:t>
      </w:r>
    </w:p>
    <w:p w:rsidR="001909A9" w:rsidRPr="00982C6C" w:rsidP="001909A9">
      <w:pPr>
        <w:rPr>
          <w:szCs w:val="24"/>
        </w:rPr>
      </w:pPr>
    </w:p>
    <w:p w:rsidR="001909A9" w:rsidRPr="00982C6C" w:rsidP="001909A9">
      <w:pPr>
        <w:rPr>
          <w:szCs w:val="24"/>
        </w:rPr>
      </w:pPr>
      <w:r w:rsidRPr="00982C6C">
        <w:rPr>
          <w:b/>
          <w:szCs w:val="24"/>
        </w:rPr>
        <w:t>6.5</w:t>
        <w:tab/>
        <w:t xml:space="preserve">Nature and </w:t>
      </w:r>
      <w:r w:rsidRPr="00982C6C">
        <w:rPr>
          <w:b/>
          <w:bCs/>
          <w:szCs w:val="24"/>
        </w:rPr>
        <w:t>composition of immediate packaging</w:t>
      </w:r>
    </w:p>
    <w:p w:rsidR="001909A9" w:rsidRPr="00982C6C" w:rsidP="001909A9">
      <w:pPr>
        <w:rPr>
          <w:szCs w:val="24"/>
        </w:rPr>
      </w:pPr>
    </w:p>
    <w:p w:rsidR="001909A9" w:rsidRPr="00982C6C" w:rsidP="001909A9">
      <w:pPr>
        <w:rPr>
          <w:szCs w:val="24"/>
        </w:rPr>
      </w:pPr>
      <w:r w:rsidRPr="00982C6C">
        <w:rPr>
          <w:szCs w:val="24"/>
        </w:rPr>
        <w:t xml:space="preserve">200 ml, PET bottle with child resistant tamper evident HDPE cap with LDPE lining </w:t>
      </w:r>
    </w:p>
    <w:p w:rsidR="001909A9" w:rsidP="001909A9">
      <w:pPr>
        <w:rPr>
          <w:szCs w:val="24"/>
        </w:rPr>
      </w:pPr>
      <w:r w:rsidRPr="00982C6C">
        <w:rPr>
          <w:szCs w:val="24"/>
        </w:rPr>
        <w:t xml:space="preserve">1 litre, 2.5 litre and 5 litre high density polyethylene bottle with polypropylene tamper-evident cap with Alu seal </w:t>
      </w:r>
    </w:p>
    <w:p w:rsidR="001909A9" w:rsidRPr="00982C6C" w:rsidP="001909A9">
      <w:pPr>
        <w:rPr>
          <w:szCs w:val="24"/>
        </w:rPr>
      </w:pPr>
      <w:r>
        <w:rPr>
          <w:szCs w:val="24"/>
        </w:rPr>
        <w:t xml:space="preserve">Each pack size will be marketed with one container in a carton. </w:t>
      </w:r>
    </w:p>
    <w:p w:rsidR="001909A9" w:rsidRPr="00982C6C" w:rsidP="001909A9">
      <w:pPr>
        <w:rPr>
          <w:szCs w:val="24"/>
          <w:lang w:val="en-IE"/>
        </w:rPr>
      </w:pPr>
    </w:p>
    <w:p w:rsidR="001909A9" w:rsidRPr="00982C6C" w:rsidP="001909A9">
      <w:pPr>
        <w:rPr>
          <w:szCs w:val="24"/>
          <w:lang w:val="en-IE"/>
        </w:rPr>
      </w:pPr>
      <w:r w:rsidRPr="00982C6C">
        <w:rPr>
          <w:szCs w:val="24"/>
          <w:lang w:val="en-IE"/>
        </w:rPr>
        <w:t>Not all pack sizes may be marketed.</w:t>
      </w:r>
    </w:p>
    <w:p w:rsidR="001909A9" w:rsidRPr="00982C6C" w:rsidP="001909A9">
      <w:pPr>
        <w:rPr>
          <w:szCs w:val="24"/>
        </w:rPr>
      </w:pPr>
    </w:p>
    <w:p w:rsidR="001909A9" w:rsidRPr="00982C6C" w:rsidP="001909A9">
      <w:pPr>
        <w:ind w:left="567" w:hanging="567"/>
        <w:rPr>
          <w:szCs w:val="24"/>
        </w:rPr>
      </w:pPr>
      <w:r w:rsidRPr="00982C6C">
        <w:rPr>
          <w:b/>
          <w:szCs w:val="24"/>
        </w:rPr>
        <w:t>6.6</w:t>
      </w:r>
      <w:r w:rsidRPr="00982C6C">
        <w:rPr>
          <w:szCs w:val="24"/>
        </w:rPr>
        <w:tab/>
      </w:r>
      <w:r w:rsidRPr="00982C6C">
        <w:rPr>
          <w:b/>
          <w:szCs w:val="24"/>
        </w:rPr>
        <w:t>Special precautions for the disposal of unused veterinary medicinal product or waste materials derived from the use of such products</w:t>
      </w:r>
    </w:p>
    <w:p w:rsidR="001909A9" w:rsidRPr="00982C6C" w:rsidP="001909A9">
      <w:pPr>
        <w:rPr>
          <w:szCs w:val="24"/>
        </w:rPr>
      </w:pPr>
    </w:p>
    <w:p w:rsidR="001909A9" w:rsidRPr="00B7098F" w:rsidP="001909A9">
      <w:pPr>
        <w:rPr>
          <w:szCs w:val="24"/>
          <w:lang w:val="en-IE"/>
        </w:rPr>
      </w:pPr>
      <w:r w:rsidRPr="00982C6C">
        <w:rPr>
          <w:szCs w:val="24"/>
          <w:lang w:val="en-IE"/>
        </w:rPr>
        <w:t xml:space="preserve">Any unused veterinary medicinal product or waste material derived from such a veterinary medicinal product should be disposed of in accordance with local requirements. </w:t>
      </w:r>
    </w:p>
    <w:p w:rsidR="001909A9" w:rsidRPr="00982C6C" w:rsidP="001909A9">
      <w:pPr>
        <w:rPr>
          <w:szCs w:val="24"/>
        </w:rPr>
      </w:pPr>
    </w:p>
    <w:p w:rsidR="001909A9" w:rsidRPr="00982C6C" w:rsidP="001909A9">
      <w:pPr>
        <w:rPr>
          <w:b/>
          <w:szCs w:val="24"/>
        </w:rPr>
      </w:pPr>
      <w:r w:rsidRPr="00982C6C">
        <w:rPr>
          <w:b/>
          <w:szCs w:val="24"/>
        </w:rPr>
        <w:t>7.</w:t>
        <w:tab/>
        <w:t>MARKETING AUTHORISATION HOLDER</w:t>
      </w:r>
    </w:p>
    <w:p w:rsidR="001909A9" w:rsidRPr="00982C6C" w:rsidP="001909A9">
      <w:pPr>
        <w:rPr>
          <w:szCs w:val="24"/>
        </w:rPr>
      </w:pPr>
    </w:p>
    <w:p w:rsidR="006F1003" w:rsidRPr="00982C6C" w:rsidP="006F1003">
      <w:pPr>
        <w:autoSpaceDE w:val="0"/>
        <w:autoSpaceDN w:val="0"/>
        <w:adjustRightInd w:val="0"/>
        <w:rPr>
          <w:szCs w:val="24"/>
          <w:lang w:eastAsia="en-GB"/>
        </w:rPr>
      </w:pPr>
      <w:r w:rsidRPr="00982C6C">
        <w:rPr>
          <w:szCs w:val="24"/>
          <w:lang w:eastAsia="en-GB"/>
        </w:rPr>
        <w:t>Chanelle Pharmaceuticals Manufacturing Ltd.,</w:t>
      </w:r>
    </w:p>
    <w:p w:rsidR="006F1003" w:rsidRPr="00982C6C" w:rsidP="006F1003">
      <w:pPr>
        <w:autoSpaceDE w:val="0"/>
        <w:autoSpaceDN w:val="0"/>
        <w:adjustRightInd w:val="0"/>
        <w:rPr>
          <w:szCs w:val="24"/>
          <w:lang w:eastAsia="en-GB"/>
        </w:rPr>
      </w:pPr>
      <w:r w:rsidRPr="00982C6C">
        <w:rPr>
          <w:szCs w:val="24"/>
          <w:lang w:eastAsia="en-GB"/>
        </w:rPr>
        <w:t>Loughrea,</w:t>
      </w:r>
    </w:p>
    <w:p w:rsidR="006F1003" w:rsidRPr="00982C6C" w:rsidP="006F1003">
      <w:pPr>
        <w:autoSpaceDE w:val="0"/>
        <w:autoSpaceDN w:val="0"/>
        <w:adjustRightInd w:val="0"/>
        <w:rPr>
          <w:szCs w:val="24"/>
          <w:lang w:eastAsia="en-GB"/>
        </w:rPr>
      </w:pPr>
      <w:r w:rsidRPr="00982C6C">
        <w:rPr>
          <w:szCs w:val="24"/>
          <w:lang w:eastAsia="en-GB"/>
        </w:rPr>
        <w:t>Co. Galway,</w:t>
      </w:r>
    </w:p>
    <w:p w:rsidR="001909A9" w:rsidRPr="00982C6C" w:rsidP="00B7098F">
      <w:pPr>
        <w:autoSpaceDE w:val="0"/>
        <w:autoSpaceDN w:val="0"/>
        <w:adjustRightInd w:val="0"/>
        <w:rPr>
          <w:szCs w:val="24"/>
          <w:lang w:eastAsia="en-GB"/>
        </w:rPr>
      </w:pPr>
      <w:r w:rsidRPr="00982C6C" w:rsidR="006F1003">
        <w:rPr>
          <w:szCs w:val="24"/>
          <w:lang w:eastAsia="en-GB"/>
        </w:rPr>
        <w:t>Ireland.</w:t>
      </w:r>
    </w:p>
    <w:p w:rsidR="001909A9" w:rsidRPr="00982C6C" w:rsidP="001909A9">
      <w:pPr>
        <w:rPr>
          <w:szCs w:val="24"/>
        </w:rPr>
      </w:pPr>
    </w:p>
    <w:p w:rsidR="001909A9" w:rsidP="001909A9">
      <w:pPr>
        <w:rPr>
          <w:b/>
          <w:szCs w:val="24"/>
        </w:rPr>
      </w:pPr>
      <w:r w:rsidRPr="00982C6C">
        <w:rPr>
          <w:b/>
          <w:szCs w:val="24"/>
        </w:rPr>
        <w:t>8.</w:t>
        <w:tab/>
        <w:t>MARKETING AUTHORISATION NUMBER</w:t>
      </w:r>
    </w:p>
    <w:p w:rsidR="00E7067F" w:rsidP="001909A9">
      <w:pPr>
        <w:rPr>
          <w:b/>
          <w:szCs w:val="24"/>
        </w:rPr>
      </w:pPr>
    </w:p>
    <w:p w:rsidR="001909A9" w:rsidRPr="00982C6C" w:rsidP="001909A9">
      <w:pPr>
        <w:rPr>
          <w:szCs w:val="24"/>
        </w:rPr>
      </w:pPr>
      <w:r w:rsidRPr="00E7067F" w:rsidR="00E7067F">
        <w:rPr>
          <w:szCs w:val="24"/>
        </w:rPr>
        <w:t>Vm 08749/4085</w:t>
      </w:r>
    </w:p>
    <w:p w:rsidR="001909A9" w:rsidRPr="00982C6C" w:rsidP="001909A9">
      <w:pPr>
        <w:rPr>
          <w:szCs w:val="24"/>
        </w:rPr>
      </w:pPr>
    </w:p>
    <w:p w:rsidR="00E7067F" w:rsidP="001909A9">
      <w:pPr>
        <w:rPr>
          <w:b/>
          <w:szCs w:val="24"/>
        </w:rPr>
      </w:pPr>
      <w:r w:rsidRPr="00982C6C" w:rsidR="001909A9">
        <w:rPr>
          <w:b/>
          <w:szCs w:val="24"/>
        </w:rPr>
        <w:t>9.</w:t>
        <w:tab/>
        <w:t>DATE OF FIRST AUTHORISATION</w:t>
      </w:r>
    </w:p>
    <w:p w:rsidR="00E7067F" w:rsidP="001909A9">
      <w:pPr>
        <w:rPr>
          <w:b/>
          <w:szCs w:val="24"/>
        </w:rPr>
      </w:pPr>
    </w:p>
    <w:p w:rsidR="001909A9" w:rsidRPr="00982C6C" w:rsidP="001909A9">
      <w:pPr>
        <w:rPr>
          <w:szCs w:val="24"/>
        </w:rPr>
      </w:pPr>
      <w:r w:rsidR="00B7098F">
        <w:rPr>
          <w:szCs w:val="24"/>
        </w:rPr>
        <w:t>0</w:t>
      </w:r>
      <w:r w:rsidR="00E7067F">
        <w:rPr>
          <w:szCs w:val="24"/>
        </w:rPr>
        <w:t>6 July 2018</w:t>
      </w:r>
    </w:p>
    <w:p w:rsidR="001909A9" w:rsidRPr="00982C6C" w:rsidP="001909A9">
      <w:pPr>
        <w:rPr>
          <w:szCs w:val="24"/>
        </w:rPr>
      </w:pPr>
    </w:p>
    <w:p w:rsidR="001909A9" w:rsidRPr="00982C6C" w:rsidP="001909A9">
      <w:pPr>
        <w:rPr>
          <w:b/>
          <w:szCs w:val="24"/>
        </w:rPr>
      </w:pPr>
      <w:r w:rsidRPr="00982C6C">
        <w:rPr>
          <w:b/>
          <w:szCs w:val="24"/>
        </w:rPr>
        <w:t>10</w:t>
      </w:r>
      <w:r w:rsidR="00E7067F">
        <w:rPr>
          <w:b/>
          <w:szCs w:val="24"/>
        </w:rPr>
        <w:t>.</w:t>
      </w:r>
      <w:r w:rsidRPr="00982C6C">
        <w:rPr>
          <w:b/>
          <w:szCs w:val="24"/>
        </w:rPr>
        <w:tab/>
        <w:t>DATE OF REVISION OF THE TEXT</w:t>
      </w:r>
    </w:p>
    <w:p w:rsidR="001909A9" w:rsidP="001909A9">
      <w:pPr>
        <w:rPr>
          <w:szCs w:val="24"/>
        </w:rPr>
      </w:pPr>
    </w:p>
    <w:p w:rsidR="00E7067F" w:rsidP="001909A9">
      <w:pPr>
        <w:rPr>
          <w:szCs w:val="24"/>
        </w:rPr>
      </w:pPr>
      <w:r>
        <w:rPr>
          <w:szCs w:val="24"/>
        </w:rPr>
        <w:t>April 2019</w:t>
      </w:r>
    </w:p>
    <w:p w:rsidR="00B7098F" w:rsidP="001909A9">
      <w:pPr>
        <w:rPr>
          <w:szCs w:val="24"/>
        </w:rPr>
      </w:pPr>
    </w:p>
    <w:p w:rsidR="00B7098F" w:rsidP="001909A9">
      <w:pPr>
        <w:rPr>
          <w:szCs w:val="24"/>
        </w:rPr>
      </w:pPr>
    </w:p>
    <w:p w:rsidR="00B7098F" w:rsidP="001909A9">
      <w:pPr>
        <w:rPr>
          <w:szCs w:val="24"/>
        </w:rPr>
      </w:pPr>
    </w:p>
    <w:p w:rsidR="00B7098F" w:rsidP="001909A9">
      <w:pPr>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Morreale - Ines" style="width:88.35pt;height:65.75pt;margin-top:0.25pt;margin-left:364.7pt;position:absolute;visibility:visible;z-index:251658240" filled="f" stroked="f">
            <v:imagedata r:id="rId5" o:title="Morreale - Ines"/>
            <o:lock v:ext="edit" aspectratio="t"/>
          </v:shape>
        </w:pict>
      </w:r>
    </w:p>
    <w:p w:rsidR="00B7098F" w:rsidP="001909A9">
      <w:pPr>
        <w:rPr>
          <w:szCs w:val="24"/>
        </w:rPr>
      </w:pPr>
    </w:p>
    <w:p w:rsidR="00B7098F" w:rsidP="001909A9">
      <w:pPr>
        <w:rPr>
          <w:szCs w:val="24"/>
        </w:rPr>
      </w:pPr>
    </w:p>
    <w:p w:rsidR="00B7098F" w:rsidP="001909A9">
      <w:pPr>
        <w:rPr>
          <w:szCs w:val="24"/>
        </w:rPr>
      </w:pPr>
    </w:p>
    <w:p w:rsidR="00B7098F" w:rsidP="001909A9">
      <w:pPr>
        <w:rPr>
          <w:szCs w:val="24"/>
        </w:rPr>
      </w:pPr>
    </w:p>
    <w:p w:rsidR="00B7098F" w:rsidRPr="00982C6C" w:rsidP="00B7098F">
      <w:pPr>
        <w:jc w:val="right"/>
        <w:rPr>
          <w:szCs w:val="24"/>
        </w:rPr>
      </w:pPr>
      <w:r>
        <w:rPr>
          <w:szCs w:val="24"/>
        </w:rPr>
        <w:t>Approved 11 April 2019</w:t>
      </w:r>
    </w:p>
    <w:sectPr w:rsidSect="00E7067F">
      <w:headerReference w:type="default" r:id="rId6"/>
      <w:footerReference w:type="default" r:id="rId7"/>
      <w:type w:val="continuous"/>
      <w:pgSz w:w="11906" w:h="16838"/>
      <w:pgMar w:top="1134" w:right="1418"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7F">
    <w:pPr>
      <w:pStyle w:val="Footer"/>
      <w:jc w:val="center"/>
    </w:pPr>
  </w:p>
  <w:p w:rsidR="00E7067F">
    <w:pPr>
      <w:pStyle w:val="Footer"/>
      <w:jc w:val="center"/>
      <w:rPr>
        <w:sz w:val="20"/>
      </w:rPr>
    </w:pPr>
  </w:p>
  <w:p w:rsidR="00E7067F" w:rsidRPr="00E7067F">
    <w:pPr>
      <w:pStyle w:val="Footer"/>
      <w:jc w:val="center"/>
      <w:rPr>
        <w:sz w:val="20"/>
      </w:rPr>
    </w:pPr>
    <w:r w:rsidRPr="00E7067F">
      <w:rPr>
        <w:sz w:val="20"/>
      </w:rPr>
      <w:t xml:space="preserve">Page </w:t>
    </w:r>
    <w:r w:rsidRPr="00E7067F">
      <w:rPr>
        <w:b/>
        <w:bCs/>
        <w:sz w:val="20"/>
        <w:szCs w:val="24"/>
      </w:rPr>
      <w:fldChar w:fldCharType="begin"/>
    </w:r>
    <w:r w:rsidRPr="00E7067F">
      <w:rPr>
        <w:b/>
        <w:bCs/>
        <w:sz w:val="20"/>
      </w:rPr>
      <w:instrText xml:space="preserve"> PAGE </w:instrText>
    </w:r>
    <w:r w:rsidRPr="00E7067F">
      <w:rPr>
        <w:b/>
        <w:bCs/>
        <w:sz w:val="20"/>
        <w:szCs w:val="24"/>
      </w:rPr>
      <w:fldChar w:fldCharType="separate"/>
    </w:r>
    <w:r w:rsidR="00B7098F">
      <w:rPr>
        <w:b/>
        <w:bCs/>
        <w:noProof/>
        <w:sz w:val="20"/>
      </w:rPr>
      <w:t>6</w:t>
    </w:r>
    <w:r w:rsidRPr="00E7067F">
      <w:rPr>
        <w:b/>
        <w:bCs/>
        <w:sz w:val="20"/>
        <w:szCs w:val="24"/>
      </w:rPr>
      <w:fldChar w:fldCharType="end"/>
    </w:r>
    <w:r w:rsidRPr="00E7067F">
      <w:rPr>
        <w:sz w:val="20"/>
      </w:rPr>
      <w:t xml:space="preserve"> of </w:t>
    </w:r>
    <w:r w:rsidRPr="00E7067F">
      <w:rPr>
        <w:b/>
        <w:bCs/>
        <w:sz w:val="20"/>
        <w:szCs w:val="24"/>
      </w:rPr>
      <w:fldChar w:fldCharType="begin"/>
    </w:r>
    <w:r w:rsidRPr="00E7067F">
      <w:rPr>
        <w:b/>
        <w:bCs/>
        <w:sz w:val="20"/>
      </w:rPr>
      <w:instrText xml:space="preserve"> NUMPAGES  </w:instrText>
    </w:r>
    <w:r w:rsidRPr="00E7067F">
      <w:rPr>
        <w:b/>
        <w:bCs/>
        <w:sz w:val="20"/>
        <w:szCs w:val="24"/>
      </w:rPr>
      <w:fldChar w:fldCharType="separate"/>
    </w:r>
    <w:r w:rsidR="00B7098F">
      <w:rPr>
        <w:b/>
        <w:bCs/>
        <w:noProof/>
        <w:sz w:val="20"/>
      </w:rPr>
      <w:t>6</w:t>
    </w:r>
    <w:r w:rsidRPr="00E7067F">
      <w:rPr>
        <w:b/>
        <w:bCs/>
        <w:sz w:val="20"/>
        <w:szCs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44" w:rsidP="00E7067F">
    <w:pPr>
      <w:pStyle w:val="Header"/>
      <w:jc w:val="right"/>
      <w:rPr>
        <w:rFonts w:ascii="Arial" w:hAnsi="Arial" w:cs="Arial"/>
      </w:rPr>
    </w:pPr>
    <w:r w:rsidR="00052585">
      <w:rPr>
        <w:rFonts w:ascii="Arial" w:hAnsi="Arial" w:cs="Arial"/>
      </w:rPr>
      <w:t xml:space="preserve">Revised: </w:t>
    </w:r>
    <w:r w:rsidR="00E7067F">
      <w:rPr>
        <w:rFonts w:ascii="Arial" w:hAnsi="Arial" w:cs="Arial"/>
      </w:rPr>
      <w:t>April 2019</w:t>
    </w:r>
  </w:p>
  <w:p w:rsidR="00E7067F" w:rsidP="00E7067F">
    <w:pPr>
      <w:pStyle w:val="Header"/>
      <w:jc w:val="right"/>
      <w:rPr>
        <w:rFonts w:ascii="Arial" w:hAnsi="Arial" w:cs="Arial"/>
      </w:rPr>
    </w:pPr>
    <w:r>
      <w:rPr>
        <w:rFonts w:ascii="Arial" w:hAnsi="Arial" w:cs="Arial"/>
      </w:rPr>
      <w:t>AN: 01639/2018</w:t>
    </w:r>
  </w:p>
  <w:p w:rsidR="00E7067F" w:rsidRPr="00B53D3E" w:rsidP="00F16A3E">
    <w:pPr>
      <w:pStyle w:val="Header"/>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25A67"/>
    <w:multiLevelType w:val="hybridMultilevel"/>
    <w:tmpl w:val="55A28CAE"/>
    <w:lvl w:ilvl="0">
      <w:start w:val="1"/>
      <w:numFmt w:val="decimal"/>
      <w:lvlText w:val="%1."/>
      <w:lvlJc w:val="left"/>
      <w:pPr>
        <w:tabs>
          <w:tab w:val="num" w:pos="567"/>
        </w:tabs>
        <w:ind w:left="567" w:hanging="567"/>
      </w:pPr>
      <w:rPr>
        <w:rFonts w:ascii="Arial" w:hAnsi="Arial" w:cs="Arial" w:hint="default"/>
        <w:b/>
        <w:i w:val="0"/>
        <w:color w:val="auto"/>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5CC1"/>
    <w:rsid w:val="00052585"/>
    <w:rsid w:val="000668AF"/>
    <w:rsid w:val="0008103C"/>
    <w:rsid w:val="000B2715"/>
    <w:rsid w:val="000D18C8"/>
    <w:rsid w:val="000D71B3"/>
    <w:rsid w:val="000E4034"/>
    <w:rsid w:val="000E41CD"/>
    <w:rsid w:val="000F1D35"/>
    <w:rsid w:val="00112E59"/>
    <w:rsid w:val="0011746E"/>
    <w:rsid w:val="00146E63"/>
    <w:rsid w:val="00157262"/>
    <w:rsid w:val="00174291"/>
    <w:rsid w:val="001909A9"/>
    <w:rsid w:val="001A0091"/>
    <w:rsid w:val="001A02B7"/>
    <w:rsid w:val="001E3207"/>
    <w:rsid w:val="001E4C24"/>
    <w:rsid w:val="001E7ABB"/>
    <w:rsid w:val="001F6D81"/>
    <w:rsid w:val="002440C1"/>
    <w:rsid w:val="00262429"/>
    <w:rsid w:val="00265604"/>
    <w:rsid w:val="002750D9"/>
    <w:rsid w:val="002869ED"/>
    <w:rsid w:val="002B5CC1"/>
    <w:rsid w:val="002B7C4E"/>
    <w:rsid w:val="002C56B0"/>
    <w:rsid w:val="002D56AF"/>
    <w:rsid w:val="002D763E"/>
    <w:rsid w:val="002E3B0F"/>
    <w:rsid w:val="0033304B"/>
    <w:rsid w:val="003534A8"/>
    <w:rsid w:val="00357BF3"/>
    <w:rsid w:val="00383672"/>
    <w:rsid w:val="00392B18"/>
    <w:rsid w:val="003A7E37"/>
    <w:rsid w:val="003C5CB6"/>
    <w:rsid w:val="003F24A0"/>
    <w:rsid w:val="00446996"/>
    <w:rsid w:val="00495DBB"/>
    <w:rsid w:val="004C1DAC"/>
    <w:rsid w:val="004C56ED"/>
    <w:rsid w:val="004C7312"/>
    <w:rsid w:val="004D1544"/>
    <w:rsid w:val="00516CB9"/>
    <w:rsid w:val="00530E82"/>
    <w:rsid w:val="00550521"/>
    <w:rsid w:val="005969E3"/>
    <w:rsid w:val="005D5A4E"/>
    <w:rsid w:val="005F3F1B"/>
    <w:rsid w:val="0062063A"/>
    <w:rsid w:val="0069609E"/>
    <w:rsid w:val="006D7912"/>
    <w:rsid w:val="006E5A5F"/>
    <w:rsid w:val="006F1003"/>
    <w:rsid w:val="0076064D"/>
    <w:rsid w:val="007756C1"/>
    <w:rsid w:val="007A1E2E"/>
    <w:rsid w:val="007C77DB"/>
    <w:rsid w:val="008142E4"/>
    <w:rsid w:val="008226E1"/>
    <w:rsid w:val="00827EA4"/>
    <w:rsid w:val="008516DB"/>
    <w:rsid w:val="008A34E7"/>
    <w:rsid w:val="008A742E"/>
    <w:rsid w:val="008E1965"/>
    <w:rsid w:val="00910811"/>
    <w:rsid w:val="009314BB"/>
    <w:rsid w:val="00982C6C"/>
    <w:rsid w:val="009A5876"/>
    <w:rsid w:val="009D6DCD"/>
    <w:rsid w:val="00A04D75"/>
    <w:rsid w:val="00A07E0D"/>
    <w:rsid w:val="00A430B8"/>
    <w:rsid w:val="00AE427B"/>
    <w:rsid w:val="00B13090"/>
    <w:rsid w:val="00B53739"/>
    <w:rsid w:val="00B53D3E"/>
    <w:rsid w:val="00B7098F"/>
    <w:rsid w:val="00B8073F"/>
    <w:rsid w:val="00B82E92"/>
    <w:rsid w:val="00B96B53"/>
    <w:rsid w:val="00BC2626"/>
    <w:rsid w:val="00C52F30"/>
    <w:rsid w:val="00C97E13"/>
    <w:rsid w:val="00CF5643"/>
    <w:rsid w:val="00D04FD8"/>
    <w:rsid w:val="00D053B2"/>
    <w:rsid w:val="00D12108"/>
    <w:rsid w:val="00D202AE"/>
    <w:rsid w:val="00D33E1B"/>
    <w:rsid w:val="00D36F59"/>
    <w:rsid w:val="00D5113B"/>
    <w:rsid w:val="00E06FE9"/>
    <w:rsid w:val="00E07F2B"/>
    <w:rsid w:val="00E136E5"/>
    <w:rsid w:val="00E3505A"/>
    <w:rsid w:val="00E36BF6"/>
    <w:rsid w:val="00E7067F"/>
    <w:rsid w:val="00EA7F4E"/>
    <w:rsid w:val="00F16A3E"/>
    <w:rsid w:val="00FB1DCC"/>
    <w:rsid w:val="00FC59B6"/>
    <w:rsid w:val="00FD4DCD"/>
    <w:rsid w:val="00FF62CD"/>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Arial"/>
      <w:sz w:val="24"/>
      <w:lang w:val="en-GB" w:eastAsia="en-US" w:bidi="ar-SA"/>
    </w:rPr>
  </w:style>
  <w:style w:type="paragraph" w:styleId="Heading1">
    <w:name w:val="heading 1"/>
    <w:basedOn w:val="Normal"/>
    <w:next w:val="Normal"/>
    <w:qFormat/>
    <w:rsid w:val="00F16A3E"/>
    <w:pPr>
      <w:keepNext/>
      <w:jc w:val="left"/>
      <w:outlineLvl w:val="0"/>
    </w:pPr>
    <w:rPr>
      <w:rFonts w:ascii="Times New Roman" w:hAnsi="Times New Roman" w:cs="Times New Roman"/>
      <w:szCs w:val="24"/>
    </w:rPr>
  </w:style>
  <w:style w:type="paragraph" w:styleId="Heading2">
    <w:name w:val="heading 2"/>
    <w:basedOn w:val="Normal"/>
    <w:next w:val="Normal"/>
    <w:qFormat/>
    <w:rsid w:val="00F16A3E"/>
    <w:pPr>
      <w:keepNext/>
      <w:jc w:val="center"/>
      <w:outlineLvl w:val="1"/>
    </w:pPr>
    <w:rPr>
      <w:rFonts w:ascii="Times New Roman" w:hAnsi="Times New Roman" w:cs="Times New Roman"/>
      <w:b/>
      <w:bCs/>
      <w:szCs w:val="24"/>
    </w:rPr>
  </w:style>
  <w:style w:type="paragraph" w:styleId="Heading3">
    <w:name w:val="heading 3"/>
    <w:basedOn w:val="Normal"/>
    <w:next w:val="Normal"/>
    <w:qFormat/>
    <w:rsid w:val="00F16A3E"/>
    <w:pPr>
      <w:keepNext/>
      <w:keepLines/>
      <w:tabs>
        <w:tab w:val="left" w:pos="567"/>
      </w:tabs>
      <w:spacing w:before="120" w:after="80" w:line="260" w:lineRule="exact"/>
      <w:jc w:val="left"/>
      <w:outlineLvl w:val="2"/>
    </w:pPr>
    <w:rPr>
      <w:rFonts w:ascii="Times New Roman" w:hAnsi="Times New Roman" w:cs="Times New Roman"/>
      <w:b/>
      <w:kern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rFonts w:ascii="TimesNewRoman,Bold" w:hAnsi="TimesNewRoman,Bold"/>
      <w:lang w:val="en-US" w:eastAsia="en-US" w:bidi="ar-SA"/>
    </w:rPr>
  </w:style>
  <w:style w:type="paragraph" w:styleId="Title">
    <w:name w:val="Title"/>
    <w:basedOn w:val="Default"/>
    <w:next w:val="Default"/>
    <w:qFormat/>
    <w:rPr>
      <w:szCs w:val="24"/>
    </w:rPr>
  </w:style>
  <w:style w:type="paragraph" w:customStyle="1" w:styleId="ipidtitelnr">
    <w:name w:val="ipidtitel +nr"/>
    <w:basedOn w:val="Default"/>
    <w:next w:val="Default"/>
    <w:rPr>
      <w:szCs w:val="24"/>
    </w:rPr>
  </w:style>
  <w:style w:type="paragraph" w:customStyle="1" w:styleId="ipidtekst">
    <w:name w:val="ipid tekst"/>
    <w:basedOn w:val="Default"/>
    <w:next w:val="Default"/>
    <w:rPr>
      <w:szCs w:val="24"/>
    </w:rPr>
  </w:style>
  <w:style w:type="paragraph" w:customStyle="1" w:styleId="ipidondertitelnr">
    <w:name w:val="ipid ondertitel+nr"/>
    <w:basedOn w:val="Default"/>
    <w:next w:val="Default"/>
    <w:rPr>
      <w:szCs w:val="24"/>
    </w:rPr>
  </w:style>
  <w:style w:type="paragraph" w:styleId="Header">
    <w:name w:val="header"/>
    <w:basedOn w:val="Normal"/>
    <w:rsid w:val="002B5CC1"/>
    <w:pPr>
      <w:tabs>
        <w:tab w:val="left" w:pos="567"/>
        <w:tab w:val="center" w:pos="4153"/>
        <w:tab w:val="right" w:pos="8306"/>
      </w:tabs>
      <w:jc w:val="left"/>
    </w:pPr>
    <w:rPr>
      <w:rFonts w:ascii="Helvetica" w:hAnsi="Helvetica" w:cs="Times New Roman"/>
      <w:sz w:val="20"/>
    </w:rPr>
  </w:style>
  <w:style w:type="paragraph" w:styleId="EndnoteText">
    <w:name w:val="endnote text"/>
    <w:basedOn w:val="Normal"/>
    <w:semiHidden/>
    <w:rsid w:val="002B5CC1"/>
    <w:pPr>
      <w:tabs>
        <w:tab w:val="left" w:pos="567"/>
      </w:tabs>
      <w:jc w:val="left"/>
    </w:pPr>
    <w:rPr>
      <w:rFonts w:ascii="Times New Roman" w:hAnsi="Times New Roman" w:cs="Times New Roman"/>
      <w:sz w:val="22"/>
    </w:rPr>
  </w:style>
  <w:style w:type="paragraph" w:styleId="Footer">
    <w:name w:val="footer"/>
    <w:basedOn w:val="Normal"/>
    <w:link w:val="FooterChar"/>
    <w:uiPriority w:val="99"/>
    <w:rsid w:val="00F16A3E"/>
    <w:pPr>
      <w:tabs>
        <w:tab w:val="center" w:pos="4153"/>
        <w:tab w:val="right" w:pos="8306"/>
      </w:tabs>
    </w:pPr>
  </w:style>
  <w:style w:type="character" w:customStyle="1" w:styleId="FooterChar">
    <w:name w:val="Footer Char"/>
    <w:link w:val="Footer"/>
    <w:uiPriority w:val="99"/>
    <w:rsid w:val="00F16A3E"/>
    <w:rPr>
      <w:rFonts w:ascii="Arial" w:hAnsi="Arial" w:cs="Arial"/>
      <w:sz w:val="24"/>
      <w:lang w:val="en-GB" w:eastAsia="en-US" w:bidi="ar-SA"/>
    </w:rPr>
  </w:style>
  <w:style w:type="character" w:styleId="PageNumber">
    <w:name w:val="page number"/>
    <w:rsid w:val="00EA7F4E"/>
  </w:style>
  <w:style w:type="paragraph" w:customStyle="1" w:styleId="FooterAgency">
    <w:name w:val="Footer (Agency)"/>
    <w:basedOn w:val="Normal"/>
    <w:link w:val="FooterAgencyCharChar"/>
    <w:semiHidden/>
    <w:rsid w:val="00EA7F4E"/>
    <w:pPr>
      <w:jc w:val="left"/>
    </w:pPr>
    <w:rPr>
      <w:rFonts w:ascii="Verdana" w:eastAsia="Verdana" w:hAnsi="Verdana" w:cs="Times New Roman"/>
      <w:noProof/>
      <w:color w:val="6D6F71"/>
      <w:sz w:val="14"/>
      <w:szCs w:val="14"/>
      <w:lang w:eastAsia="en-GB"/>
    </w:rPr>
  </w:style>
  <w:style w:type="character" w:customStyle="1" w:styleId="FooterAgencyCharChar">
    <w:name w:val="Footer (Agency) Char Char"/>
    <w:link w:val="FooterAgency"/>
    <w:semiHidden/>
    <w:rsid w:val="00EA7F4E"/>
    <w:rPr>
      <w:rFonts w:ascii="Verdana" w:eastAsia="Verdana" w:hAnsi="Verdana"/>
      <w:noProof/>
      <w:color w:val="6D6F71"/>
      <w:sz w:val="14"/>
      <w:szCs w:val="14"/>
      <w:lang w:val="en-GB" w:eastAsia="en-GB"/>
    </w:rPr>
  </w:style>
  <w:style w:type="paragraph" w:styleId="BalloonText">
    <w:name w:val="Balloon Text"/>
    <w:basedOn w:val="Normal"/>
    <w:link w:val="BalloonTextChar"/>
    <w:rsid w:val="00B96B53"/>
    <w:rPr>
      <w:rFonts w:ascii="Tahoma" w:hAnsi="Tahoma" w:cs="Tahoma"/>
      <w:sz w:val="16"/>
      <w:szCs w:val="16"/>
    </w:rPr>
  </w:style>
  <w:style w:type="character" w:customStyle="1" w:styleId="BalloonTextChar">
    <w:name w:val="Balloon Text Char"/>
    <w:link w:val="BalloonText"/>
    <w:rsid w:val="00B96B53"/>
    <w:rPr>
      <w:rFonts w:ascii="Tahoma" w:hAnsi="Tahoma" w:cs="Tahoma"/>
      <w:sz w:val="16"/>
      <w:szCs w:val="16"/>
      <w:lang w:val="en-GB" w:eastAsia="en-US"/>
    </w:rPr>
  </w:style>
  <w:style w:type="character" w:styleId="CommentReference">
    <w:name w:val="annotation reference"/>
    <w:rsid w:val="00D12108"/>
    <w:rPr>
      <w:sz w:val="16"/>
      <w:szCs w:val="16"/>
    </w:rPr>
  </w:style>
  <w:style w:type="paragraph" w:styleId="CommentText">
    <w:name w:val="annotation text"/>
    <w:basedOn w:val="Normal"/>
    <w:link w:val="CommentTextChar"/>
    <w:rsid w:val="00D12108"/>
    <w:rPr>
      <w:sz w:val="20"/>
    </w:rPr>
  </w:style>
  <w:style w:type="character" w:customStyle="1" w:styleId="CommentTextChar">
    <w:name w:val="Comment Text Char"/>
    <w:link w:val="CommentText"/>
    <w:rsid w:val="00D12108"/>
    <w:rPr>
      <w:rFonts w:ascii="Arial" w:hAnsi="Arial" w:cs="Arial"/>
      <w:lang w:val="en-GB" w:eastAsia="en-US"/>
    </w:rPr>
  </w:style>
  <w:style w:type="paragraph" w:styleId="CommentSubject">
    <w:name w:val="annotation subject"/>
    <w:basedOn w:val="CommentText"/>
    <w:next w:val="CommentText"/>
    <w:link w:val="CommentSubjectChar"/>
    <w:rsid w:val="00D12108"/>
    <w:rPr>
      <w:b/>
      <w:bCs/>
    </w:rPr>
  </w:style>
  <w:style w:type="character" w:customStyle="1" w:styleId="CommentSubjectChar">
    <w:name w:val="Comment Subject Char"/>
    <w:link w:val="CommentSubject"/>
    <w:rsid w:val="00D12108"/>
    <w:rPr>
      <w:rFonts w:ascii="Arial" w:hAnsi="Arial" w:cs="Arial"/>
      <w:b/>
      <w:bCs/>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numbering" Target="numbering.xml" /><Relationship Id="rId9"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A54-2F2D-4EE7-9F14-585BB53D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